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11" w:rsidRPr="007451F0" w:rsidRDefault="000F245A" w:rsidP="00BD4F11">
      <w:pPr>
        <w:jc w:val="center"/>
        <w:rPr>
          <w:smallCaps/>
          <w:sz w:val="36"/>
          <w:szCs w:val="36"/>
        </w:rPr>
      </w:pPr>
      <w:r w:rsidRPr="007451F0">
        <w:rPr>
          <w:smallCaps/>
          <w:sz w:val="36"/>
          <w:szCs w:val="36"/>
        </w:rPr>
        <w:t>Usmernenie pre</w:t>
      </w:r>
      <w:r w:rsidR="00AF7EC7" w:rsidRPr="007451F0">
        <w:rPr>
          <w:smallCaps/>
          <w:sz w:val="36"/>
          <w:szCs w:val="36"/>
        </w:rPr>
        <w:t xml:space="preserve"> </w:t>
      </w:r>
      <w:r w:rsidR="004A1DB5" w:rsidRPr="007451F0">
        <w:rPr>
          <w:smallCaps/>
          <w:sz w:val="36"/>
          <w:szCs w:val="36"/>
        </w:rPr>
        <w:t>prijímateľov</w:t>
      </w:r>
      <w:r w:rsidRPr="007451F0">
        <w:rPr>
          <w:smallCaps/>
          <w:sz w:val="36"/>
          <w:szCs w:val="36"/>
        </w:rPr>
        <w:t xml:space="preserve"> </w:t>
      </w:r>
      <w:r w:rsidR="007D56AE" w:rsidRPr="007451F0">
        <w:rPr>
          <w:smallCaps/>
          <w:sz w:val="36"/>
          <w:szCs w:val="36"/>
        </w:rPr>
        <w:t>v rámci schém</w:t>
      </w:r>
      <w:r w:rsidR="00F97FD9" w:rsidRPr="007451F0">
        <w:rPr>
          <w:smallCaps/>
          <w:sz w:val="36"/>
          <w:szCs w:val="36"/>
        </w:rPr>
        <w:t>y</w:t>
      </w:r>
      <w:r w:rsidR="007D56AE" w:rsidRPr="007451F0">
        <w:rPr>
          <w:smallCaps/>
          <w:sz w:val="36"/>
          <w:szCs w:val="36"/>
        </w:rPr>
        <w:t xml:space="preserve"> </w:t>
      </w:r>
      <w:r w:rsidR="00BD4F11" w:rsidRPr="007451F0">
        <w:rPr>
          <w:smallCaps/>
          <w:sz w:val="36"/>
          <w:szCs w:val="36"/>
        </w:rPr>
        <w:t>pomoci de minimis</w:t>
      </w:r>
    </w:p>
    <w:p w:rsidR="004A1DB5" w:rsidRPr="007451F0" w:rsidRDefault="00BD4F11" w:rsidP="00597226">
      <w:pPr>
        <w:tabs>
          <w:tab w:val="left" w:pos="3240"/>
        </w:tabs>
        <w:ind w:firstLine="900"/>
        <w:rPr>
          <w:smallCaps/>
          <w:sz w:val="28"/>
          <w:szCs w:val="28"/>
        </w:rPr>
      </w:pPr>
      <w:r w:rsidRPr="007451F0">
        <w:rPr>
          <w:smallCaps/>
          <w:sz w:val="36"/>
          <w:szCs w:val="36"/>
        </w:rPr>
        <w:t xml:space="preserve">Kód výzvy:    </w:t>
      </w:r>
      <w:r w:rsidR="008B741C" w:rsidRPr="007451F0">
        <w:rPr>
          <w:smallCaps/>
          <w:sz w:val="36"/>
          <w:szCs w:val="36"/>
        </w:rPr>
        <w:tab/>
      </w:r>
      <w:r w:rsidR="00597226" w:rsidRPr="007451F0">
        <w:rPr>
          <w:smallCaps/>
          <w:sz w:val="36"/>
          <w:szCs w:val="36"/>
        </w:rPr>
        <w:t xml:space="preserve"> </w:t>
      </w:r>
      <w:r w:rsidR="004A1DB5" w:rsidRPr="007451F0">
        <w:rPr>
          <w:smallCaps/>
          <w:sz w:val="28"/>
          <w:szCs w:val="28"/>
        </w:rPr>
        <w:t>KaHR-111DM-0801</w:t>
      </w:r>
    </w:p>
    <w:p w:rsidR="004A1DB5" w:rsidRPr="007451F0" w:rsidRDefault="004A1DB5" w:rsidP="00597226">
      <w:pPr>
        <w:jc w:val="center"/>
        <w:rPr>
          <w:smallCaps/>
          <w:sz w:val="28"/>
          <w:szCs w:val="28"/>
        </w:rPr>
      </w:pPr>
      <w:r w:rsidRPr="007451F0">
        <w:rPr>
          <w:smallCaps/>
          <w:sz w:val="28"/>
          <w:szCs w:val="28"/>
        </w:rPr>
        <w:t>KaHR-111DM-0901</w:t>
      </w:r>
    </w:p>
    <w:p w:rsidR="00BD4F11" w:rsidRDefault="00AF331B" w:rsidP="00BD4F11">
      <w:pPr>
        <w:jc w:val="center"/>
        <w:rPr>
          <w:smallCaps/>
          <w:sz w:val="28"/>
          <w:szCs w:val="28"/>
        </w:rPr>
      </w:pPr>
      <w:r w:rsidRPr="00AF331B">
        <w:rPr>
          <w:smallCaps/>
          <w:sz w:val="28"/>
          <w:szCs w:val="28"/>
        </w:rPr>
        <w:t>DOP2008-SIP001</w:t>
      </w:r>
    </w:p>
    <w:p w:rsidR="00AF331B" w:rsidRDefault="00AF331B" w:rsidP="00BD4F11">
      <w:pPr>
        <w:jc w:val="center"/>
        <w:rPr>
          <w:smallCaps/>
          <w:sz w:val="28"/>
          <w:szCs w:val="28"/>
        </w:rPr>
      </w:pPr>
    </w:p>
    <w:p w:rsidR="00AF331B" w:rsidRDefault="00AF331B" w:rsidP="00AF331B">
      <w:pPr>
        <w:ind w:firstLine="708"/>
        <w:jc w:val="both"/>
      </w:pPr>
      <w:r>
        <w:t>Pre výzvy KaHR-111DM-0801 a KaHR-1</w:t>
      </w:r>
      <w:r w:rsidR="00E03DBF">
        <w:t>1</w:t>
      </w:r>
      <w:r>
        <w:t>1DM-</w:t>
      </w:r>
      <w:r w:rsidR="00E03DBF">
        <w:t>0</w:t>
      </w:r>
      <w:r>
        <w:t>901 sú oprávnené jedine kapitálové výdavky v rozsahu a štruktúre schválenom v rozpočte proj</w:t>
      </w:r>
      <w:r w:rsidR="002F1BB9">
        <w:t>ektu.</w:t>
      </w:r>
    </w:p>
    <w:p w:rsidR="00AF331B" w:rsidRPr="007451F0" w:rsidRDefault="00AF331B" w:rsidP="00AF331B">
      <w:pPr>
        <w:ind w:firstLine="708"/>
        <w:jc w:val="both"/>
      </w:pPr>
      <w:r>
        <w:t>Pre projekty výzvy DOP2008-SIP001 sú oprávnené kapitálové aj bežné výdavky v rozsahu a štruktúre schválenom v rozpočte projektu.</w:t>
      </w:r>
    </w:p>
    <w:p w:rsidR="00AF331B" w:rsidRPr="00AF331B" w:rsidRDefault="00AF331B" w:rsidP="00BD4F11">
      <w:pPr>
        <w:jc w:val="center"/>
        <w:rPr>
          <w:smallCaps/>
          <w:sz w:val="28"/>
          <w:szCs w:val="28"/>
        </w:rPr>
      </w:pPr>
    </w:p>
    <w:p w:rsidR="00747BC3" w:rsidRDefault="0066258C" w:rsidP="00030AB2">
      <w:pPr>
        <w:ind w:firstLine="708"/>
        <w:jc w:val="both"/>
      </w:pPr>
      <w:r w:rsidRPr="007451F0">
        <w:t xml:space="preserve">Predkladané usmernenie </w:t>
      </w:r>
      <w:r w:rsidR="00747BC3">
        <w:t xml:space="preserve">je </w:t>
      </w:r>
      <w:r w:rsidRPr="007451F0">
        <w:t xml:space="preserve">vydané zo strany </w:t>
      </w:r>
      <w:r w:rsidR="004B28B3">
        <w:t>Slovenskej inovačnej a energetickej agentúry</w:t>
      </w:r>
      <w:r w:rsidRPr="007451F0">
        <w:t xml:space="preserve"> (ďalej len „</w:t>
      </w:r>
      <w:r w:rsidR="004B28B3">
        <w:t>SIEA</w:t>
      </w:r>
      <w:r w:rsidRPr="007451F0">
        <w:t>“)</w:t>
      </w:r>
      <w:r w:rsidR="00747BC3">
        <w:t>/ Sekcia štrukturálnych fondov pre rozvoj MSP</w:t>
      </w:r>
      <w:r w:rsidR="002F1BB9">
        <w:t xml:space="preserve"> (ďalej len „SŠF pre rozvoj MSP“)</w:t>
      </w:r>
      <w:r w:rsidR="00747BC3">
        <w:t xml:space="preserve">. Dňa </w:t>
      </w:r>
      <w:r w:rsidR="00747BC3">
        <w:rPr>
          <w:sz w:val="22"/>
          <w:szCs w:val="22"/>
        </w:rPr>
        <w:t>11.6.2011</w:t>
      </w:r>
      <w:r w:rsidR="00747BC3" w:rsidRPr="00747BC3">
        <w:t xml:space="preserve"> </w:t>
      </w:r>
      <w:r w:rsidR="00747BC3">
        <w:t xml:space="preserve">na základe </w:t>
      </w:r>
      <w:r w:rsidR="00747BC3">
        <w:rPr>
          <w:sz w:val="22"/>
          <w:szCs w:val="22"/>
        </w:rPr>
        <w:t>rozhodnutia</w:t>
      </w:r>
      <w:r w:rsidR="00747BC3" w:rsidRPr="007056E3">
        <w:rPr>
          <w:sz w:val="22"/>
          <w:szCs w:val="22"/>
        </w:rPr>
        <w:t xml:space="preserve"> ministra hospodárstva </w:t>
      </w:r>
      <w:r w:rsidR="00747BC3">
        <w:rPr>
          <w:sz w:val="22"/>
          <w:szCs w:val="22"/>
        </w:rPr>
        <w:t xml:space="preserve">SR </w:t>
      </w:r>
      <w:r w:rsidR="00747BC3" w:rsidRPr="007056E3">
        <w:rPr>
          <w:sz w:val="22"/>
          <w:szCs w:val="22"/>
        </w:rPr>
        <w:t>č. 25/2011 o presune činností zo dňa 29. apríla 2011</w:t>
      </w:r>
    </w:p>
    <w:p w:rsidR="00747BC3" w:rsidRPr="00747BC3" w:rsidRDefault="00747BC3" w:rsidP="00747B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došlo k </w:t>
      </w:r>
      <w:r w:rsidRPr="007056E3">
        <w:rPr>
          <w:sz w:val="22"/>
          <w:szCs w:val="22"/>
        </w:rPr>
        <w:t>presun</w:t>
      </w:r>
      <w:r>
        <w:rPr>
          <w:sz w:val="22"/>
          <w:szCs w:val="22"/>
        </w:rPr>
        <w:t>u</w:t>
      </w:r>
      <w:r w:rsidRPr="007056E3">
        <w:rPr>
          <w:sz w:val="22"/>
          <w:szCs w:val="22"/>
        </w:rPr>
        <w:t xml:space="preserve"> činností súvisiacich so zabezpečením implementácie štrukturálnych fondov v rámci Operačného programu Konkurencieschopnosť a hospodársky rast  a Sektorového operačného programu Priemysel a služby z Národnej agentúry pre rozvoj malého a stredného podnikania do pôsobnosti Slovenskej  inovačnej  a energetickej ag</w:t>
      </w:r>
      <w:r>
        <w:rPr>
          <w:sz w:val="22"/>
          <w:szCs w:val="22"/>
        </w:rPr>
        <w:t xml:space="preserve">entúry (ďalej len „SIEA“). SIEA </w:t>
      </w:r>
      <w:r w:rsidRPr="00E262C4">
        <w:t xml:space="preserve">v rámci </w:t>
      </w:r>
      <w:r>
        <w:t>Operačného programu Konkurencie</w:t>
      </w:r>
      <w:r w:rsidRPr="00E262C4">
        <w:t>schopnosť a hospodársky rast koná na základe Splnomocnenia sprostredkovateľského orgánu pod Riadiacim orgánom na plnenie úloh Riadiaceho orgánu v platnom znen</w:t>
      </w:r>
      <w:r>
        <w:t xml:space="preserve">í. </w:t>
      </w:r>
    </w:p>
    <w:p w:rsidR="00747BC3" w:rsidRDefault="00747BC3" w:rsidP="0066258C">
      <w:pPr>
        <w:jc w:val="both"/>
      </w:pPr>
    </w:p>
    <w:p w:rsidR="0066258C" w:rsidRDefault="00030AB2" w:rsidP="00030AB2">
      <w:pPr>
        <w:ind w:firstLine="360"/>
        <w:jc w:val="both"/>
      </w:pPr>
      <w:r>
        <w:t xml:space="preserve">  Usmernenie </w:t>
      </w:r>
      <w:r w:rsidR="0066258C" w:rsidRPr="007451F0">
        <w:t>si kladie za cieľ zabezpečiť včasnú informovanosť prijímateľov</w:t>
      </w:r>
      <w:r w:rsidR="00447847">
        <w:t xml:space="preserve"> </w:t>
      </w:r>
      <w:r w:rsidR="00447847" w:rsidRPr="007451F0">
        <w:t>pomoci</w:t>
      </w:r>
      <w:r w:rsidR="00447847">
        <w:t xml:space="preserve"> (ďalej aj „prijímateľ)</w:t>
      </w:r>
      <w:r w:rsidR="0066258C" w:rsidRPr="007451F0">
        <w:t xml:space="preserve"> o podrobnostiach predkladania žiadostí o</w:t>
      </w:r>
      <w:r w:rsidR="000F0C46" w:rsidRPr="007451F0">
        <w:t> </w:t>
      </w:r>
      <w:r w:rsidR="0066258C" w:rsidRPr="007451F0">
        <w:t>platbu</w:t>
      </w:r>
      <w:r w:rsidR="000F0C46" w:rsidRPr="007451F0">
        <w:t xml:space="preserve"> (ďalej </w:t>
      </w:r>
      <w:r w:rsidR="00E262C4">
        <w:t>aj</w:t>
      </w:r>
      <w:r w:rsidR="00E262C4" w:rsidRPr="007451F0">
        <w:t xml:space="preserve"> </w:t>
      </w:r>
      <w:r w:rsidR="000F0C46" w:rsidRPr="007451F0">
        <w:t>„ŽoP“)</w:t>
      </w:r>
      <w:r w:rsidR="0066258C" w:rsidRPr="007451F0">
        <w:t>. Hlavným cieľom je teda informovanie pr</w:t>
      </w:r>
      <w:r w:rsidR="00447847">
        <w:t>ij</w:t>
      </w:r>
      <w:r w:rsidR="0066258C" w:rsidRPr="007451F0">
        <w:t>í</w:t>
      </w:r>
      <w:r w:rsidR="00447847">
        <w:t>mateľov</w:t>
      </w:r>
      <w:r w:rsidR="0066258C" w:rsidRPr="007451F0">
        <w:t xml:space="preserve"> pomoci o povinných prílohách a iných náležitostiach, ktoré je potrebné predložiť/splniť k </w:t>
      </w:r>
      <w:r w:rsidR="000F0C46" w:rsidRPr="007451F0">
        <w:t>ŽoP</w:t>
      </w:r>
      <w:r w:rsidR="0066258C" w:rsidRPr="007451F0">
        <w:t xml:space="preserve">, aby táto mohla byť po výkone </w:t>
      </w:r>
      <w:r w:rsidR="00021385" w:rsidRPr="004C477B">
        <w:t>administratívnej kontroly a kontroly</w:t>
      </w:r>
      <w:r w:rsidR="0066258C" w:rsidRPr="004C477B">
        <w:t xml:space="preserve"> oprávnenosti deklarovaných výdavkov zo strany</w:t>
      </w:r>
      <w:r w:rsidR="0066258C" w:rsidRPr="007451F0">
        <w:t xml:space="preserve"> </w:t>
      </w:r>
      <w:r w:rsidR="00A01FEA">
        <w:t>SIEA</w:t>
      </w:r>
      <w:r w:rsidR="002F1BB9">
        <w:t>/</w:t>
      </w:r>
      <w:r w:rsidR="002F1BB9" w:rsidRPr="002F1BB9">
        <w:t xml:space="preserve"> </w:t>
      </w:r>
      <w:r w:rsidR="002F1BB9">
        <w:t>SŠF pre rozvoj MSP</w:t>
      </w:r>
      <w:r w:rsidR="0066258C" w:rsidRPr="007451F0">
        <w:t xml:space="preserve"> schválená a </w:t>
      </w:r>
      <w:r w:rsidR="00EB2A06">
        <w:t>odoslaná</w:t>
      </w:r>
      <w:r w:rsidR="00EB2A06" w:rsidRPr="007451F0">
        <w:t xml:space="preserve"> </w:t>
      </w:r>
      <w:r w:rsidR="0066258C" w:rsidRPr="007451F0">
        <w:t>na preplatenie. Aby bol proces implementácie projektu a </w:t>
      </w:r>
      <w:r w:rsidR="00021385">
        <w:t>kontroly</w:t>
      </w:r>
      <w:r w:rsidR="0066258C" w:rsidRPr="007451F0">
        <w:t xml:space="preserve"> výdavkov efektívny</w:t>
      </w:r>
      <w:r w:rsidR="00447847">
        <w:t>,</w:t>
      </w:r>
      <w:r w:rsidR="0066258C" w:rsidRPr="007451F0">
        <w:t xml:space="preserve"> je potrebné zabezpečiť úzku spoluprácu medzi prijímateľom a príslušným projektovým manažérom tak, aby si bol prijímateľ vedom</w:t>
      </w:r>
      <w:r w:rsidR="00447847">
        <w:t>ý</w:t>
      </w:r>
      <w:r w:rsidR="0066258C" w:rsidRPr="007451F0">
        <w:t xml:space="preserve"> všetkých jeho povinností,</w:t>
      </w:r>
      <w:r w:rsidR="00597226" w:rsidRPr="007451F0">
        <w:t xml:space="preserve"> ktoré musí splniť, aby došlo k reálnemu</w:t>
      </w:r>
      <w:r w:rsidR="0066258C" w:rsidRPr="007451F0">
        <w:t xml:space="preserve"> preplateniu </w:t>
      </w:r>
      <w:r w:rsidR="00447847">
        <w:t>nenávratného finančného príspevku (ďalej len „</w:t>
      </w:r>
      <w:r w:rsidR="0066258C" w:rsidRPr="007451F0">
        <w:t>NFP</w:t>
      </w:r>
      <w:r w:rsidR="00447847">
        <w:t>“)</w:t>
      </w:r>
      <w:r w:rsidR="0066258C" w:rsidRPr="007451F0">
        <w:t xml:space="preserve"> a nedochádzalo k prieťahom v procese implementácie. Najčastejšie dochádza k prieťahom v procese </w:t>
      </w:r>
      <w:r w:rsidR="00021385">
        <w:t>kontroly</w:t>
      </w:r>
      <w:r w:rsidR="0066258C" w:rsidRPr="007451F0">
        <w:t xml:space="preserve"> oprávnenosti deklarovaných výdavkov z dôvodov dožiadania rôznych podkladov</w:t>
      </w:r>
      <w:r w:rsidR="00447847">
        <w:t>,</w:t>
      </w:r>
      <w:r w:rsidR="0066258C" w:rsidRPr="007451F0">
        <w:t xml:space="preserve"> podľa ktorých </w:t>
      </w:r>
      <w:r w:rsidR="004B28B3">
        <w:t>SIEA</w:t>
      </w:r>
      <w:r w:rsidR="002F1BB9">
        <w:t>/Sekcia štrukturálnych fondov pre rozvoj MSP</w:t>
      </w:r>
      <w:r w:rsidR="0066258C" w:rsidRPr="007451F0">
        <w:t xml:space="preserve"> vykoná </w:t>
      </w:r>
      <w:r w:rsidR="00021385">
        <w:t>kontrolu</w:t>
      </w:r>
      <w:r w:rsidR="0066258C" w:rsidRPr="007451F0">
        <w:t>. Dožiadanie dokladov sa uskutočňuje prostredníctvom výzvy na doplnenie</w:t>
      </w:r>
      <w:r w:rsidR="00A01FEA">
        <w:t xml:space="preserve"> ŽoP</w:t>
      </w:r>
      <w:r w:rsidR="0066258C" w:rsidRPr="007451F0">
        <w:t xml:space="preserve">. Pokiaľ prijímateľ nedoplní ŽoP podľa </w:t>
      </w:r>
      <w:r w:rsidR="00597226" w:rsidRPr="007451F0">
        <w:t xml:space="preserve">vystavenej výzvy </w:t>
      </w:r>
      <w:r w:rsidR="00597226" w:rsidRPr="00665CBE">
        <w:t xml:space="preserve">na doplnenie </w:t>
      </w:r>
      <w:r w:rsidR="0066258C" w:rsidRPr="00665CBE">
        <w:t>v stanovenom termíne (</w:t>
      </w:r>
      <w:r w:rsidR="0014389C" w:rsidRPr="00665CBE">
        <w:t xml:space="preserve">14 </w:t>
      </w:r>
      <w:r w:rsidR="00D86A46" w:rsidRPr="00665CBE">
        <w:t>kalendárnych</w:t>
      </w:r>
      <w:r w:rsidR="0066258C" w:rsidRPr="00665CBE">
        <w:t xml:space="preserve"> dní od </w:t>
      </w:r>
      <w:r w:rsidR="00A01FEA">
        <w:t>prevzatia</w:t>
      </w:r>
      <w:r w:rsidR="0066258C" w:rsidRPr="00665CBE">
        <w:t xml:space="preserve"> výzvy</w:t>
      </w:r>
      <w:r w:rsidR="000F0C46" w:rsidRPr="00665CBE">
        <w:t xml:space="preserve"> na doplnenie</w:t>
      </w:r>
      <w:r w:rsidR="0066258C" w:rsidRPr="00665CBE">
        <w:t>)</w:t>
      </w:r>
      <w:r w:rsidR="00447847" w:rsidRPr="00665CBE">
        <w:t>,</w:t>
      </w:r>
      <w:r w:rsidR="0066258C" w:rsidRPr="007451F0">
        <w:t xml:space="preserve"> </w:t>
      </w:r>
      <w:r w:rsidR="004B28B3">
        <w:t>SIEA</w:t>
      </w:r>
      <w:r w:rsidR="002F1BB9">
        <w:t>/</w:t>
      </w:r>
      <w:r w:rsidR="002F1BB9" w:rsidRPr="002F1BB9">
        <w:t xml:space="preserve"> </w:t>
      </w:r>
      <w:r w:rsidR="002F1BB9">
        <w:t>SŠF pre rozvoj MSP</w:t>
      </w:r>
      <w:r w:rsidR="0066258C" w:rsidRPr="007451F0">
        <w:t xml:space="preserve"> </w:t>
      </w:r>
      <w:r w:rsidR="008109AB">
        <w:t>pristúpi</w:t>
      </w:r>
      <w:r w:rsidR="0066258C" w:rsidRPr="007451F0">
        <w:t xml:space="preserve"> k zamietnutiu ŽoP. Snahou </w:t>
      </w:r>
      <w:r w:rsidR="004B28B3">
        <w:t>SIEA</w:t>
      </w:r>
      <w:r w:rsidR="002F1BB9">
        <w:t>/</w:t>
      </w:r>
      <w:r w:rsidR="0066258C" w:rsidRPr="007451F0">
        <w:t xml:space="preserve"> </w:t>
      </w:r>
      <w:r w:rsidR="002F1BB9">
        <w:t>SŠF pre rozvoj MSP</w:t>
      </w:r>
      <w:r w:rsidR="002F1BB9" w:rsidRPr="007451F0">
        <w:t xml:space="preserve"> </w:t>
      </w:r>
      <w:r w:rsidR="0066258C" w:rsidRPr="007451F0">
        <w:t xml:space="preserve">je zabrániť vzniku prieťahov v procese implementácie. Prieťahom sa môže prijímateľ úspešne vyhnúť </w:t>
      </w:r>
      <w:r w:rsidR="00447847">
        <w:t xml:space="preserve">najmä </w:t>
      </w:r>
      <w:r w:rsidR="0066258C" w:rsidRPr="007451F0">
        <w:t>splnení</w:t>
      </w:r>
      <w:r w:rsidR="000F0C46" w:rsidRPr="007451F0">
        <w:t>m</w:t>
      </w:r>
      <w:r w:rsidR="0066258C" w:rsidRPr="007451F0">
        <w:t xml:space="preserve"> nasledovných podmienok:</w:t>
      </w:r>
    </w:p>
    <w:p w:rsidR="00B629DB" w:rsidRPr="007451F0" w:rsidRDefault="00B629DB" w:rsidP="0066258C">
      <w:pPr>
        <w:jc w:val="both"/>
      </w:pPr>
    </w:p>
    <w:p w:rsidR="00B629DB" w:rsidRDefault="000943D0" w:rsidP="00B629DB">
      <w:pPr>
        <w:numPr>
          <w:ilvl w:val="0"/>
          <w:numId w:val="7"/>
        </w:numPr>
        <w:jc w:val="both"/>
      </w:pPr>
      <w:r w:rsidRPr="007451F0">
        <w:t>s</w:t>
      </w:r>
      <w:r w:rsidR="00B629DB" w:rsidRPr="007451F0">
        <w:t>právne vyplnený formulár žiadosti o</w:t>
      </w:r>
      <w:r w:rsidR="00D86A46">
        <w:t> </w:t>
      </w:r>
      <w:r w:rsidR="00B629DB" w:rsidRPr="007451F0">
        <w:t>platbu</w:t>
      </w:r>
      <w:r w:rsidR="00D86A46">
        <w:t xml:space="preserve"> zaslaný cez verejný portál ITMS</w:t>
      </w:r>
      <w:r w:rsidR="00E35D5E">
        <w:t>.</w:t>
      </w:r>
      <w:r w:rsidR="00E35D5E" w:rsidRPr="00E35D5E">
        <w:t xml:space="preserve"> </w:t>
      </w:r>
      <w:r w:rsidR="00E35D5E">
        <w:t>Pokyny k vyplneniu ŽoP cez verejný portál tvoria prílohu a)tohto usmernenia.</w:t>
      </w:r>
    </w:p>
    <w:p w:rsidR="00B629DB" w:rsidRPr="007451F0" w:rsidRDefault="00B629DB" w:rsidP="00B629DB">
      <w:pPr>
        <w:numPr>
          <w:ilvl w:val="0"/>
          <w:numId w:val="7"/>
        </w:numPr>
        <w:jc w:val="both"/>
      </w:pPr>
      <w:r w:rsidRPr="007451F0">
        <w:lastRenderedPageBreak/>
        <w:t>doručená kompletná a správna povinná/podporná dokumentácia</w:t>
      </w:r>
      <w:r w:rsidR="000943D0" w:rsidRPr="007451F0">
        <w:t xml:space="preserve"> k</w:t>
      </w:r>
      <w:r w:rsidR="00012DD8" w:rsidRPr="007451F0">
        <w:t> </w:t>
      </w:r>
      <w:r w:rsidR="000943D0" w:rsidRPr="007451F0">
        <w:t>ŽoP</w:t>
      </w:r>
    </w:p>
    <w:p w:rsidR="00012DD8" w:rsidRPr="007451F0" w:rsidRDefault="00012DD8" w:rsidP="00B629DB">
      <w:pPr>
        <w:numPr>
          <w:ilvl w:val="0"/>
          <w:numId w:val="7"/>
        </w:numPr>
        <w:jc w:val="both"/>
      </w:pPr>
      <w:r w:rsidRPr="007451F0">
        <w:t>úplné a správne zachytenie obstaraného majetku v účtovnom systéme prijímateľa – splnenie povinnosti viesť analyticky oddelené účtovníctvo</w:t>
      </w:r>
    </w:p>
    <w:p w:rsidR="000943D0" w:rsidRPr="007451F0" w:rsidRDefault="000943D0" w:rsidP="00B629DB">
      <w:pPr>
        <w:numPr>
          <w:ilvl w:val="0"/>
          <w:numId w:val="7"/>
        </w:numPr>
        <w:jc w:val="both"/>
      </w:pPr>
      <w:r w:rsidRPr="007451F0">
        <w:t>splnenie ostatných náležitostí vyplývajúcich zo zmluvy o poskytnutí NFP</w:t>
      </w:r>
    </w:p>
    <w:p w:rsidR="00AF7EC7" w:rsidRDefault="00AF7EC7" w:rsidP="00AF7EC7">
      <w:pPr>
        <w:jc w:val="center"/>
        <w:rPr>
          <w:b/>
          <w:smallCaps/>
          <w:sz w:val="16"/>
          <w:szCs w:val="16"/>
        </w:rPr>
      </w:pPr>
    </w:p>
    <w:p w:rsidR="008109AB" w:rsidRDefault="008109AB" w:rsidP="002F1BB9">
      <w:pPr>
        <w:rPr>
          <w:b/>
          <w:smallCaps/>
          <w:sz w:val="16"/>
          <w:szCs w:val="16"/>
        </w:rPr>
      </w:pPr>
    </w:p>
    <w:p w:rsidR="008109AB" w:rsidRPr="007451F0" w:rsidRDefault="008109AB" w:rsidP="00AE7C24">
      <w:pPr>
        <w:rPr>
          <w:b/>
          <w:smallCaps/>
          <w:sz w:val="16"/>
          <w:szCs w:val="16"/>
        </w:rPr>
      </w:pPr>
    </w:p>
    <w:p w:rsidR="00CE2C50" w:rsidRPr="00CC36CA" w:rsidRDefault="000F245A" w:rsidP="000F245A">
      <w:pPr>
        <w:numPr>
          <w:ilvl w:val="0"/>
          <w:numId w:val="4"/>
        </w:numPr>
        <w:jc w:val="both"/>
      </w:pPr>
      <w:r w:rsidRPr="007451F0">
        <w:t xml:space="preserve">Formulár </w:t>
      </w:r>
      <w:r w:rsidRPr="007451F0">
        <w:rPr>
          <w:b/>
        </w:rPr>
        <w:t>Žiadosti o</w:t>
      </w:r>
      <w:r w:rsidR="00CC36CA">
        <w:rPr>
          <w:b/>
        </w:rPr>
        <w:t> </w:t>
      </w:r>
      <w:r w:rsidRPr="007451F0">
        <w:rPr>
          <w:b/>
        </w:rPr>
        <w:t>platbu</w:t>
      </w:r>
    </w:p>
    <w:p w:rsidR="00B629DB" w:rsidRPr="007451F0" w:rsidRDefault="00B629DB" w:rsidP="00B629DB">
      <w:pPr>
        <w:ind w:left="360"/>
        <w:jc w:val="both"/>
      </w:pPr>
    </w:p>
    <w:p w:rsidR="00CC36CA" w:rsidRDefault="00CE2C50" w:rsidP="00CC36CA">
      <w:pPr>
        <w:ind w:left="720"/>
        <w:jc w:val="both"/>
      </w:pPr>
      <w:r w:rsidRPr="007451F0">
        <w:t xml:space="preserve">Súčasťou tohto usmernenia je tiež </w:t>
      </w:r>
      <w:r w:rsidR="00D86A46">
        <w:t xml:space="preserve">návod ako postupovať pri vytváraní </w:t>
      </w:r>
      <w:r w:rsidRPr="007451F0">
        <w:t>elektronick</w:t>
      </w:r>
      <w:r w:rsidR="00D86A46">
        <w:t>ej</w:t>
      </w:r>
      <w:r w:rsidRPr="007451F0">
        <w:t xml:space="preserve"> verzi</w:t>
      </w:r>
      <w:r w:rsidR="00D86A46">
        <w:t>e</w:t>
      </w:r>
      <w:r w:rsidRPr="007451F0">
        <w:t xml:space="preserve"> ŽoP</w:t>
      </w:r>
      <w:r w:rsidR="008109AB">
        <w:t xml:space="preserve"> cez ITMS portál, ktorý</w:t>
      </w:r>
      <w:r w:rsidRPr="007451F0">
        <w:t xml:space="preserve"> podáva zdôvodnenie čo je potrebné do jednotlivých koloniek ŽoP </w:t>
      </w:r>
      <w:r w:rsidR="00D86A46">
        <w:t xml:space="preserve">podávanej cez verejný portál </w:t>
      </w:r>
      <w:r w:rsidRPr="007451F0">
        <w:t>vyplniť.</w:t>
      </w:r>
    </w:p>
    <w:p w:rsidR="0091344C" w:rsidRPr="007451F0" w:rsidRDefault="0091344C" w:rsidP="0091344C">
      <w:pPr>
        <w:jc w:val="both"/>
      </w:pPr>
    </w:p>
    <w:p w:rsidR="000F245A" w:rsidRPr="007451F0" w:rsidRDefault="000F245A" w:rsidP="000F245A">
      <w:pPr>
        <w:numPr>
          <w:ilvl w:val="0"/>
          <w:numId w:val="4"/>
        </w:numPr>
        <w:jc w:val="both"/>
        <w:rPr>
          <w:b/>
        </w:rPr>
      </w:pPr>
      <w:r w:rsidRPr="007451F0">
        <w:rPr>
          <w:b/>
        </w:rPr>
        <w:t>Prílohy k</w:t>
      </w:r>
      <w:r w:rsidR="008A540D" w:rsidRPr="007451F0">
        <w:rPr>
          <w:b/>
        </w:rPr>
        <w:t> </w:t>
      </w:r>
      <w:r w:rsidRPr="007451F0">
        <w:rPr>
          <w:b/>
        </w:rPr>
        <w:t>ŽoP</w:t>
      </w:r>
      <w:r w:rsidR="008A540D" w:rsidRPr="007451F0">
        <w:rPr>
          <w:b/>
        </w:rPr>
        <w:t xml:space="preserve"> – povinná a iná podporná dokumentácia</w:t>
      </w:r>
    </w:p>
    <w:p w:rsidR="00597226" w:rsidRPr="007451F0" w:rsidRDefault="00597226" w:rsidP="00597226">
      <w:pPr>
        <w:ind w:left="360"/>
        <w:jc w:val="both"/>
        <w:rPr>
          <w:b/>
        </w:rPr>
      </w:pPr>
    </w:p>
    <w:p w:rsidR="007F37CC" w:rsidRPr="007451F0" w:rsidRDefault="007F37CC" w:rsidP="007F37CC">
      <w:pPr>
        <w:ind w:left="360"/>
        <w:jc w:val="both"/>
        <w:rPr>
          <w:b/>
        </w:rPr>
      </w:pPr>
      <w:r w:rsidRPr="007451F0">
        <w:rPr>
          <w:b/>
        </w:rPr>
        <w:t>K ŽoP je potrebné doplniť nasledovnú dokumentáciu:</w:t>
      </w:r>
    </w:p>
    <w:p w:rsidR="00540321" w:rsidRPr="007451F0" w:rsidRDefault="00540321" w:rsidP="00540321">
      <w:pPr>
        <w:ind w:left="360"/>
        <w:jc w:val="both"/>
        <w:rPr>
          <w:b/>
        </w:rPr>
      </w:pPr>
    </w:p>
    <w:p w:rsidR="003D042A" w:rsidRPr="007451F0" w:rsidRDefault="00894A1F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jeden originál</w:t>
      </w:r>
      <w:r w:rsidR="004B28B3">
        <w:t>, alebo štatutárnym zástupcom</w:t>
      </w:r>
      <w:r w:rsidR="000F0C46" w:rsidRPr="007451F0">
        <w:t xml:space="preserve"> overená kópia</w:t>
      </w:r>
      <w:r w:rsidR="003B04DB" w:rsidRPr="007451F0">
        <w:t xml:space="preserve"> </w:t>
      </w:r>
      <w:r w:rsidRPr="007451F0">
        <w:t xml:space="preserve">účtovných dokladov – faktúr a v prípade existencie </w:t>
      </w:r>
      <w:r w:rsidR="00E262C4" w:rsidRPr="007451F0">
        <w:t>zálohových a preddavkových faktúr</w:t>
      </w:r>
      <w:r w:rsidR="00E262C4">
        <w:t>,</w:t>
      </w:r>
      <w:r w:rsidR="00E262C4" w:rsidRPr="007451F0">
        <w:t xml:space="preserve"> </w:t>
      </w:r>
      <w:r w:rsidRPr="007451F0">
        <w:t>tiež jeden originál</w:t>
      </w:r>
      <w:r w:rsidR="004B28B3">
        <w:t>, alebo štatutárnym zástupcom</w:t>
      </w:r>
      <w:r w:rsidR="000F0C46" w:rsidRPr="007451F0">
        <w:t xml:space="preserve"> overená kópia</w:t>
      </w:r>
      <w:r w:rsidRPr="007451F0">
        <w:t xml:space="preserve"> </w:t>
      </w:r>
      <w:r w:rsidR="00E262C4">
        <w:t>týchto dokumentov</w:t>
      </w:r>
      <w:r w:rsidR="00FD19C8" w:rsidRPr="007451F0">
        <w:t>,</w:t>
      </w:r>
      <w:r w:rsidR="00BE36D7" w:rsidRPr="007451F0">
        <w:t xml:space="preserve"> </w:t>
      </w:r>
    </w:p>
    <w:p w:rsidR="00714A8B" w:rsidRPr="007451F0" w:rsidRDefault="00714A8B" w:rsidP="00714A8B">
      <w:pPr>
        <w:jc w:val="both"/>
      </w:pPr>
    </w:p>
    <w:p w:rsidR="003D042A" w:rsidRPr="007451F0" w:rsidRDefault="003D042A" w:rsidP="003D042A">
      <w:pPr>
        <w:numPr>
          <w:ilvl w:val="2"/>
          <w:numId w:val="4"/>
        </w:numPr>
        <w:tabs>
          <w:tab w:val="clear" w:pos="2340"/>
        </w:tabs>
        <w:ind w:left="1620" w:hanging="540"/>
        <w:jc w:val="both"/>
      </w:pPr>
      <w:r w:rsidRPr="007451F0">
        <w:t xml:space="preserve">   o</w:t>
      </w:r>
      <w:r w:rsidR="00BE36D7" w:rsidRPr="007451F0">
        <w:t>dporúčame, aby faktúra obsahovala podrobné členenie obstar</w:t>
      </w:r>
      <w:r w:rsidR="004B28B3">
        <w:t>a</w:t>
      </w:r>
      <w:r w:rsidR="00BE36D7" w:rsidRPr="007451F0">
        <w:t>ného majetku tak ako je to uvedené v prílohe č</w:t>
      </w:r>
      <w:r w:rsidRPr="007451F0">
        <w:t>.11 Podrobný rozpočet projektu</w:t>
      </w:r>
      <w:r w:rsidR="00714A8B" w:rsidRPr="007451F0">
        <w:t xml:space="preserve"> (vrátane uvedenia jednotkovej ceny a množstva)</w:t>
      </w:r>
      <w:r w:rsidR="007A7C90" w:rsidRPr="007451F0">
        <w:t xml:space="preserve"> a</w:t>
      </w:r>
    </w:p>
    <w:p w:rsidR="000F245A" w:rsidRPr="007451F0" w:rsidRDefault="003D042A" w:rsidP="003D042A">
      <w:pPr>
        <w:numPr>
          <w:ilvl w:val="2"/>
          <w:numId w:val="4"/>
        </w:numPr>
        <w:tabs>
          <w:tab w:val="clear" w:pos="2340"/>
        </w:tabs>
        <w:ind w:left="1620" w:hanging="540"/>
        <w:jc w:val="both"/>
      </w:pPr>
      <w:r w:rsidRPr="007451F0">
        <w:t xml:space="preserve">   </w:t>
      </w:r>
      <w:r w:rsidR="00BE36D7" w:rsidRPr="007451F0">
        <w:t>aby faktúra obsahovala odkaz na Kúpnu zmluvu resp. Zmluvu o</w:t>
      </w:r>
      <w:r w:rsidR="00E262C4">
        <w:t> </w:t>
      </w:r>
      <w:r w:rsidR="00BE36D7" w:rsidRPr="007451F0">
        <w:t>dielo</w:t>
      </w:r>
      <w:r w:rsidR="00E262C4">
        <w:t>,</w:t>
      </w:r>
      <w:r w:rsidR="00BE36D7" w:rsidRPr="007451F0">
        <w:t xml:space="preserve"> na základe ktorej sa faktúra vystavuje</w:t>
      </w:r>
      <w:r w:rsidR="00E262C4">
        <w:t xml:space="preserve"> alebo</w:t>
      </w:r>
    </w:p>
    <w:p w:rsidR="00714A8B" w:rsidRDefault="00714A8B" w:rsidP="003D042A">
      <w:pPr>
        <w:numPr>
          <w:ilvl w:val="2"/>
          <w:numId w:val="4"/>
        </w:numPr>
        <w:tabs>
          <w:tab w:val="clear" w:pos="2340"/>
        </w:tabs>
        <w:ind w:left="1620" w:hanging="540"/>
        <w:jc w:val="both"/>
      </w:pPr>
      <w:r w:rsidRPr="007451F0">
        <w:t xml:space="preserve">   v prípade veľkého množstva položiek</w:t>
      </w:r>
      <w:r w:rsidR="00E262C4">
        <w:t>,</w:t>
      </w:r>
      <w:r w:rsidRPr="007451F0">
        <w:t xml:space="preserve"> sa môže faktúra odvolať tiež na priložený dodací list, preberací protokol alebo</w:t>
      </w:r>
      <w:r w:rsidR="00BD2EE3" w:rsidRPr="007451F0">
        <w:t xml:space="preserve"> súpis vykonaných prác</w:t>
      </w:r>
      <w:r w:rsidRPr="007451F0">
        <w:t>, ktorý musí obsahovať úplnú a presnú identifikáciu obstaraného majetku</w:t>
      </w:r>
    </w:p>
    <w:p w:rsidR="00D16FEE" w:rsidRPr="00D16FEE" w:rsidRDefault="00D16FEE" w:rsidP="003D042A">
      <w:pPr>
        <w:numPr>
          <w:ilvl w:val="2"/>
          <w:numId w:val="4"/>
        </w:numPr>
        <w:tabs>
          <w:tab w:val="clear" w:pos="2340"/>
        </w:tabs>
        <w:ind w:left="1620" w:hanging="540"/>
        <w:jc w:val="both"/>
      </w:pPr>
      <w:r>
        <w:t xml:space="preserve">   v</w:t>
      </w:r>
      <w:r w:rsidRPr="00D16FEE">
        <w:t> každom prípade musí byť dodržané presné názvoslovie položiek uvedených na účtovom doklade (resp. dodacom liste, preberacom protokole, súpise vykonaných prác) v kúpnej zmluve (resp. zmluve o dielo) a podrobnom rozpočte (príloha č. 11 zmluvy o poskytnutí NFP)</w:t>
      </w:r>
    </w:p>
    <w:p w:rsidR="00714A8B" w:rsidRPr="007451F0" w:rsidRDefault="00714A8B" w:rsidP="00714A8B">
      <w:pPr>
        <w:jc w:val="both"/>
      </w:pPr>
    </w:p>
    <w:p w:rsidR="00386ED3" w:rsidRPr="007451F0" w:rsidRDefault="00386ED3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originál výpisu z bankového účtu</w:t>
      </w:r>
      <w:r w:rsidR="00894A1F" w:rsidRPr="007451F0">
        <w:t xml:space="preserve"> (alebo jeho kópia overená </w:t>
      </w:r>
      <w:r w:rsidR="00F80243" w:rsidRPr="007451F0">
        <w:t>pečiatkou a podpisom</w:t>
      </w:r>
      <w:r w:rsidR="00894A1F" w:rsidRPr="007451F0">
        <w:t xml:space="preserve"> štatutárn</w:t>
      </w:r>
      <w:r w:rsidR="00F80243" w:rsidRPr="007451F0">
        <w:t>eho zástupcu</w:t>
      </w:r>
      <w:r w:rsidR="00894A1F" w:rsidRPr="007451F0">
        <w:t xml:space="preserve"> </w:t>
      </w:r>
      <w:r w:rsidR="000F0C46" w:rsidRPr="007451F0">
        <w:t>prijímateľa</w:t>
      </w:r>
      <w:r w:rsidR="00894A1F" w:rsidRPr="007451F0">
        <w:t>)</w:t>
      </w:r>
      <w:r w:rsidR="00B73356" w:rsidRPr="007451F0">
        <w:t xml:space="preserve"> o úhrade faktúr (</w:t>
      </w:r>
      <w:r w:rsidRPr="007451F0">
        <w:t>je potr</w:t>
      </w:r>
      <w:r w:rsidR="00894A1F" w:rsidRPr="007451F0">
        <w:t>ebné</w:t>
      </w:r>
      <w:r w:rsidR="009C35DF" w:rsidRPr="007451F0">
        <w:t>,</w:t>
      </w:r>
      <w:r w:rsidR="00894A1F" w:rsidRPr="007451F0">
        <w:t xml:space="preserve"> aby na výpise z účtu</w:t>
      </w:r>
      <w:r w:rsidRPr="007451F0">
        <w:t xml:space="preserve"> </w:t>
      </w:r>
      <w:r w:rsidR="00B73356" w:rsidRPr="007451F0">
        <w:t xml:space="preserve">bol uvedený variabilný symbol </w:t>
      </w:r>
      <w:r w:rsidR="00994FC8" w:rsidRPr="007451F0">
        <w:t>a číslo účtu</w:t>
      </w:r>
      <w:r w:rsidR="00B73356" w:rsidRPr="007451F0">
        <w:t xml:space="preserve"> v súlade s variabilným symbolom </w:t>
      </w:r>
      <w:r w:rsidR="00994FC8" w:rsidRPr="007451F0">
        <w:t xml:space="preserve">a číslom účtu dodávateľa uvedených na </w:t>
      </w:r>
      <w:r w:rsidR="00B73356" w:rsidRPr="007451F0">
        <w:t>uhrádzanej faktúr</w:t>
      </w:r>
      <w:r w:rsidR="00994FC8" w:rsidRPr="007451F0">
        <w:t>e</w:t>
      </w:r>
      <w:r w:rsidR="00B97A40">
        <w:t xml:space="preserve">, </w:t>
      </w:r>
      <w:r w:rsidR="00EF06E2">
        <w:t>odporúčame, aby variabilný symbol bol totožný s číslom faktúry dodávateľa</w:t>
      </w:r>
      <w:r w:rsidR="00EF06E2" w:rsidRPr="00D62949">
        <w:t>)</w:t>
      </w:r>
      <w:r w:rsidR="00994FC8" w:rsidRPr="007451F0">
        <w:t>. Ď</w:t>
      </w:r>
      <w:r w:rsidRPr="007451F0">
        <w:t xml:space="preserve">alej na výpise musí byť </w:t>
      </w:r>
      <w:r w:rsidR="00894A1F" w:rsidRPr="007451F0">
        <w:t>zreteľn</w:t>
      </w:r>
      <w:r w:rsidR="00994FC8" w:rsidRPr="007451F0">
        <w:t>á</w:t>
      </w:r>
      <w:r w:rsidR="00894A1F" w:rsidRPr="007451F0">
        <w:t xml:space="preserve"> </w:t>
      </w:r>
      <w:r w:rsidR="000F2C4C" w:rsidRPr="007451F0">
        <w:t>uhrádzaná suma</w:t>
      </w:r>
      <w:r w:rsidR="00FD19C8" w:rsidRPr="007451F0">
        <w:t>,</w:t>
      </w:r>
      <w:r w:rsidR="000F0C46" w:rsidRPr="007451F0">
        <w:t xml:space="preserve"> a majiteľ účtu z ktorého sa vykonáva platba</w:t>
      </w:r>
      <w:r w:rsidR="00B97A40">
        <w:t>. Zároveň odporúčame, aby prijímateľ uskutočnil úhradu faktúr/y v období realizácie stanovenom v prílohe č. 11 Zmluvy o poskytnutí NFP</w:t>
      </w:r>
    </w:p>
    <w:p w:rsidR="00540321" w:rsidRDefault="00540321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v prípade úhrady faktúry</w:t>
      </w:r>
      <w:r w:rsidR="009C35DF" w:rsidRPr="007451F0">
        <w:t>,</w:t>
      </w:r>
      <w:r w:rsidRPr="007451F0">
        <w:t xml:space="preserve"> ktorá je vystavená v </w:t>
      </w:r>
      <w:r w:rsidR="00BD2EE3" w:rsidRPr="007451F0">
        <w:t xml:space="preserve">zahraničnej </w:t>
      </w:r>
      <w:r w:rsidRPr="007451F0">
        <w:t>mene</w:t>
      </w:r>
      <w:r w:rsidR="00B73356" w:rsidRPr="007451F0">
        <w:t xml:space="preserve"> alebo sa jedná o cezhraničný prevod finančných prostriedkov</w:t>
      </w:r>
      <w:r w:rsidRPr="007451F0">
        <w:t xml:space="preserve"> </w:t>
      </w:r>
      <w:r w:rsidR="00B73356" w:rsidRPr="007451F0">
        <w:t xml:space="preserve">je potrebné </w:t>
      </w:r>
      <w:r w:rsidRPr="007451F0">
        <w:t xml:space="preserve">k výpisu z bankového účtu tiež doložiť </w:t>
      </w:r>
      <w:r w:rsidRPr="007451F0">
        <w:rPr>
          <w:b/>
        </w:rPr>
        <w:t>debetné avízo</w:t>
      </w:r>
      <w:r w:rsidRPr="007451F0">
        <w:t xml:space="preserve"> komerčnej banky</w:t>
      </w:r>
      <w:r w:rsidR="00894A1F" w:rsidRPr="007451F0">
        <w:t xml:space="preserve"> (originál alebo </w:t>
      </w:r>
      <w:r w:rsidR="00994FC8" w:rsidRPr="007451F0">
        <w:t>pečiatkou a podpisom štatutárneho zástupcu overená kópia</w:t>
      </w:r>
      <w:r w:rsidR="00894A1F" w:rsidRPr="007451F0">
        <w:t>)</w:t>
      </w:r>
      <w:r w:rsidR="000F0C46" w:rsidRPr="007451F0">
        <w:t>.</w:t>
      </w:r>
      <w:r w:rsidRPr="007451F0">
        <w:t xml:space="preserve"> </w:t>
      </w:r>
      <w:r w:rsidR="003C3C7D" w:rsidRPr="007451F0">
        <w:t xml:space="preserve">Pri cezhraničnom prevode nie je </w:t>
      </w:r>
      <w:r w:rsidR="003C3C7D" w:rsidRPr="007451F0">
        <w:lastRenderedPageBreak/>
        <w:t>na výpise z účtu viditeľné číslo účtu dodávateľa a variabilný symbol</w:t>
      </w:r>
      <w:r w:rsidR="009C35DF" w:rsidRPr="007451F0">
        <w:t>,</w:t>
      </w:r>
      <w:r w:rsidR="003C3C7D" w:rsidRPr="007451F0">
        <w:t xml:space="preserve"> a preto je debetné avíz</w:t>
      </w:r>
      <w:r w:rsidR="00FD19C8" w:rsidRPr="007451F0">
        <w:t>o nevyhnutne potrebné,</w:t>
      </w:r>
      <w:r w:rsidR="00386E8F">
        <w:t xml:space="preserve"> </w:t>
      </w:r>
    </w:p>
    <w:p w:rsidR="00386E8F" w:rsidRPr="007451F0" w:rsidRDefault="00386E8F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>
        <w:t>ak je faktúra/y, resp. dodací list/preberací protokol od dodávateľa vystavená/é v cudzom jazyku, je nevyhnutné pred podaním ŽoP zabezpečiť úradný preklad týchto dokladov do slovenského jazyka</w:t>
      </w:r>
    </w:p>
    <w:p w:rsidR="000F0C46" w:rsidRDefault="000F0C46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V prípade úhrady faktúry, ktorá je vystavená</w:t>
      </w:r>
      <w:r w:rsidR="001467F2" w:rsidRPr="007451F0">
        <w:t xml:space="preserve"> a uhradená</w:t>
      </w:r>
      <w:r w:rsidRPr="007451F0">
        <w:t xml:space="preserve"> v </w:t>
      </w:r>
      <w:r w:rsidR="001467F2" w:rsidRPr="007451F0">
        <w:t>zahraničnej</w:t>
      </w:r>
      <w:r w:rsidRPr="007451F0">
        <w:t xml:space="preserve"> mene</w:t>
      </w:r>
      <w:r w:rsidR="00E262C4">
        <w:t>,</w:t>
      </w:r>
      <w:r w:rsidRPr="007451F0">
        <w:t xml:space="preserve"> je potrebné uviesť do ŽoP výdavky v mene EUR. Prepočet vykoná prijímateľ na základe nasledovných </w:t>
      </w:r>
      <w:r w:rsidR="003D042A" w:rsidRPr="007451F0">
        <w:t>pokynov</w:t>
      </w:r>
      <w:r w:rsidRPr="007451F0">
        <w:t>:</w:t>
      </w:r>
    </w:p>
    <w:p w:rsidR="007F37CC" w:rsidRPr="007451F0" w:rsidRDefault="007F37CC" w:rsidP="002F1BB9">
      <w:pPr>
        <w:jc w:val="both"/>
      </w:pPr>
    </w:p>
    <w:p w:rsidR="00BC4F1A" w:rsidRPr="00AF331B" w:rsidRDefault="007F37CC" w:rsidP="007F37CC">
      <w:pPr>
        <w:numPr>
          <w:ilvl w:val="2"/>
          <w:numId w:val="4"/>
        </w:numPr>
        <w:tabs>
          <w:tab w:val="clear" w:pos="2340"/>
        </w:tabs>
        <w:ind w:left="1620" w:hanging="540"/>
        <w:jc w:val="both"/>
      </w:pPr>
      <w:r w:rsidRPr="007451F0">
        <w:t xml:space="preserve">   </w:t>
      </w:r>
      <w:r w:rsidR="009E4784" w:rsidRPr="007451F0">
        <w:t>v</w:t>
      </w:r>
      <w:r w:rsidR="00540321" w:rsidRPr="007451F0">
        <w:t> prípade úhrady faktúry</w:t>
      </w:r>
      <w:r w:rsidR="009C35DF" w:rsidRPr="007451F0">
        <w:t>,</w:t>
      </w:r>
      <w:r w:rsidR="00540321" w:rsidRPr="007451F0">
        <w:t xml:space="preserve"> ktorá je vystavená v </w:t>
      </w:r>
      <w:r w:rsidR="000F0C46" w:rsidRPr="007451F0">
        <w:t xml:space="preserve">zahraničnej </w:t>
      </w:r>
      <w:r w:rsidR="00540321" w:rsidRPr="007451F0">
        <w:t>mene</w:t>
      </w:r>
      <w:r w:rsidR="000F0C46" w:rsidRPr="007451F0">
        <w:t xml:space="preserve"> (napr. CZK)</w:t>
      </w:r>
      <w:r w:rsidR="00540321" w:rsidRPr="007451F0">
        <w:t xml:space="preserve"> a je uhrádzaná z účtu </w:t>
      </w:r>
      <w:r w:rsidR="000F0C46" w:rsidRPr="007451F0">
        <w:t xml:space="preserve">prijímateľa </w:t>
      </w:r>
      <w:r w:rsidR="00540321" w:rsidRPr="007451F0">
        <w:t>vedeného v rovnakej zahraničnej mene</w:t>
      </w:r>
      <w:r w:rsidR="000F0C46" w:rsidRPr="007451F0">
        <w:t xml:space="preserve"> </w:t>
      </w:r>
      <w:r w:rsidR="000F0C46" w:rsidRPr="00AF331B">
        <w:t>(CZK)</w:t>
      </w:r>
      <w:r w:rsidR="00540321" w:rsidRPr="00AF331B">
        <w:t xml:space="preserve">, prepočet na </w:t>
      </w:r>
      <w:r w:rsidR="000F0C46" w:rsidRPr="00AF331B">
        <w:t>EUR</w:t>
      </w:r>
      <w:r w:rsidR="00540321" w:rsidRPr="00AF331B">
        <w:t xml:space="preserve"> </w:t>
      </w:r>
      <w:r w:rsidR="000F2C4C" w:rsidRPr="00AF331B">
        <w:t xml:space="preserve">do </w:t>
      </w:r>
      <w:r w:rsidR="00B97A40">
        <w:t>ŽoP</w:t>
      </w:r>
      <w:r w:rsidR="000F2C4C" w:rsidRPr="00AF331B">
        <w:t xml:space="preserve"> </w:t>
      </w:r>
      <w:r w:rsidR="00E262C4" w:rsidRPr="00AF331B">
        <w:t xml:space="preserve">sa </w:t>
      </w:r>
      <w:r w:rsidR="00BC4F1A" w:rsidRPr="00AF331B">
        <w:t xml:space="preserve">použije </w:t>
      </w:r>
      <w:r w:rsidR="00BC4F1A" w:rsidRPr="00AF331B">
        <w:rPr>
          <w:bCs/>
        </w:rPr>
        <w:t xml:space="preserve">referenčný výmenný kurz určený a vyhlásený Európskou centrálnou bankou v deň </w:t>
      </w:r>
      <w:r w:rsidR="00BC4F1A" w:rsidRPr="00AF331B">
        <w:rPr>
          <w:b/>
          <w:bCs/>
        </w:rPr>
        <w:t>predchádzajúci</w:t>
      </w:r>
      <w:r w:rsidR="00BC4F1A" w:rsidRPr="00AF331B">
        <w:rPr>
          <w:bCs/>
        </w:rPr>
        <w:t xml:space="preserve"> dňu uskutočnenia účtovného prípadu</w:t>
      </w:r>
      <w:r w:rsidRPr="00AF331B">
        <w:t xml:space="preserve">   </w:t>
      </w:r>
    </w:p>
    <w:p w:rsidR="00B73356" w:rsidRPr="007451F0" w:rsidRDefault="00BC4F1A" w:rsidP="007F37CC">
      <w:pPr>
        <w:numPr>
          <w:ilvl w:val="2"/>
          <w:numId w:val="4"/>
        </w:numPr>
        <w:tabs>
          <w:tab w:val="clear" w:pos="2340"/>
        </w:tabs>
        <w:ind w:left="1620" w:hanging="540"/>
        <w:jc w:val="both"/>
      </w:pPr>
      <w:r>
        <w:t xml:space="preserve">  </w:t>
      </w:r>
      <w:r w:rsidR="007F37CC" w:rsidRPr="007451F0">
        <w:t xml:space="preserve"> </w:t>
      </w:r>
      <w:r w:rsidR="00B73356" w:rsidRPr="007451F0">
        <w:t>v prípade úhrady faktúry</w:t>
      </w:r>
      <w:r w:rsidR="009C35DF" w:rsidRPr="007451F0">
        <w:t>,</w:t>
      </w:r>
      <w:r w:rsidR="00B73356" w:rsidRPr="007451F0">
        <w:t xml:space="preserve"> ktorá je vystavená v </w:t>
      </w:r>
      <w:r w:rsidR="001467F2" w:rsidRPr="007451F0">
        <w:t xml:space="preserve">zahraničnej </w:t>
      </w:r>
      <w:r w:rsidR="00B73356" w:rsidRPr="007451F0">
        <w:t xml:space="preserve">mene </w:t>
      </w:r>
      <w:r w:rsidR="001467F2" w:rsidRPr="007451F0">
        <w:t xml:space="preserve">(napr. CZK) </w:t>
      </w:r>
      <w:r w:rsidR="00B73356" w:rsidRPr="007451F0">
        <w:t xml:space="preserve">a je uhrádzaná z účtu </w:t>
      </w:r>
      <w:r w:rsidR="000F0C46" w:rsidRPr="007451F0">
        <w:t xml:space="preserve">prijímateľa </w:t>
      </w:r>
      <w:r w:rsidR="00B73356" w:rsidRPr="007451F0">
        <w:t xml:space="preserve">vedeného v mene </w:t>
      </w:r>
      <w:r w:rsidR="000F0C46" w:rsidRPr="007451F0">
        <w:t>EUR</w:t>
      </w:r>
      <w:r w:rsidR="00B73356" w:rsidRPr="007451F0">
        <w:t xml:space="preserve">, prepočet na </w:t>
      </w:r>
      <w:r w:rsidR="001467F2" w:rsidRPr="007451F0">
        <w:t xml:space="preserve">tuzemskú menu </w:t>
      </w:r>
      <w:r w:rsidR="00E262C4">
        <w:t>sa uvedie</w:t>
      </w:r>
      <w:r w:rsidR="00E262C4" w:rsidRPr="007451F0">
        <w:t xml:space="preserve"> </w:t>
      </w:r>
      <w:r w:rsidR="000F2C4C" w:rsidRPr="007451F0">
        <w:t xml:space="preserve">do </w:t>
      </w:r>
      <w:r w:rsidR="00B97A40">
        <w:t>ŽoP</w:t>
      </w:r>
      <w:r w:rsidR="000F2C4C" w:rsidRPr="007451F0">
        <w:t xml:space="preserve"> </w:t>
      </w:r>
      <w:r w:rsidR="001467F2" w:rsidRPr="007451F0">
        <w:t xml:space="preserve">na </w:t>
      </w:r>
      <w:r w:rsidR="00B73356" w:rsidRPr="007451F0">
        <w:t xml:space="preserve">základe </w:t>
      </w:r>
      <w:r w:rsidR="001467F2" w:rsidRPr="007451F0">
        <w:t xml:space="preserve">použitia </w:t>
      </w:r>
      <w:r w:rsidR="00B73356" w:rsidRPr="007451F0">
        <w:t>kurzu komerčnej ban</w:t>
      </w:r>
      <w:r w:rsidR="00FD19C8" w:rsidRPr="007451F0">
        <w:t>ky uvedeného na debetnom avíze,</w:t>
      </w:r>
    </w:p>
    <w:p w:rsidR="002C0B3D" w:rsidRPr="007451F0" w:rsidRDefault="002C0B3D" w:rsidP="002C0B3D">
      <w:pPr>
        <w:ind w:left="1080"/>
        <w:jc w:val="both"/>
      </w:pPr>
    </w:p>
    <w:p w:rsidR="002C0B3D" w:rsidRPr="007451F0" w:rsidRDefault="00AE7C24" w:rsidP="002C0B3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>
        <w:t>SIEA</w:t>
      </w:r>
      <w:r w:rsidR="002F1BB9">
        <w:t>/SŠF pre rozvoj MSP</w:t>
      </w:r>
      <w:r w:rsidR="002C0B3D" w:rsidRPr="007451F0">
        <w:t xml:space="preserve"> </w:t>
      </w:r>
      <w:r w:rsidR="002F1BB9">
        <w:t>kontroluje/</w:t>
      </w:r>
      <w:r w:rsidR="002C0B3D" w:rsidRPr="007451F0">
        <w:t>vypočítava výšku oprávneného výdavk</w:t>
      </w:r>
      <w:r w:rsidR="00E262C4">
        <w:t>u</w:t>
      </w:r>
      <w:r w:rsidR="002C0B3D" w:rsidRPr="007451F0">
        <w:t xml:space="preserve"> podľa skutočne vynaložených oprávnených výdavkov</w:t>
      </w:r>
      <w:r w:rsidR="00EF06E2">
        <w:t xml:space="preserve"> </w:t>
      </w:r>
      <w:r w:rsidR="00EF06E2" w:rsidRPr="00D62949">
        <w:t>(</w:t>
      </w:r>
      <w:r w:rsidR="00EF06E2">
        <w:t>pričom presun medzi položkami rozpočtu nie je možný, kontrola tzv. neprekrývania sa výdavkov</w:t>
      </w:r>
      <w:r w:rsidR="00EF06E2" w:rsidRPr="00D62949">
        <w:t>)</w:t>
      </w:r>
      <w:r w:rsidR="002C0B3D" w:rsidRPr="007451F0">
        <w:t>, teda na základe skutočného toku finančných prostriedkov a nie na základe účtovnej hodnoty nadobudnutého majetku. V prípade kurzových rozdielov, pri úhrade v </w:t>
      </w:r>
      <w:r w:rsidR="00BD2EE3" w:rsidRPr="007451F0">
        <w:t>zahraničnej</w:t>
      </w:r>
      <w:r w:rsidR="002C0B3D" w:rsidRPr="007451F0">
        <w:t xml:space="preserve"> mene, tieto znáša prijímateľ,</w:t>
      </w:r>
    </w:p>
    <w:p w:rsidR="00221F32" w:rsidRPr="007451F0" w:rsidRDefault="00221F32" w:rsidP="002C0B3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 w:rsidRPr="007451F0">
        <w:t xml:space="preserve">prijímateľ v zmysle zmluvy o poskytnutí NFP nemôže vykonať úhradu oprávnených výdavkov uvedených v podrobnom rozpočte projektu (príloha č.11) v hotovosti, ale </w:t>
      </w:r>
      <w:r w:rsidRPr="007451F0">
        <w:rPr>
          <w:b/>
        </w:rPr>
        <w:t>vždy len formou bankového prevodu</w:t>
      </w:r>
    </w:p>
    <w:p w:rsidR="00386ED3" w:rsidRPr="007451F0" w:rsidRDefault="000F2C4C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o</w:t>
      </w:r>
      <w:r w:rsidR="00386ED3" w:rsidRPr="007451F0">
        <w:t>riginál</w:t>
      </w:r>
      <w:r w:rsidR="005E6E2B" w:rsidRPr="007451F0">
        <w:t xml:space="preserve"> alebo štatutárom overenú kópiu</w:t>
      </w:r>
      <w:r w:rsidR="00386ED3" w:rsidRPr="007451F0">
        <w:t xml:space="preserve"> dodacieho listu, resp. preberacieho protokolu</w:t>
      </w:r>
      <w:r w:rsidR="00FD19C8" w:rsidRPr="007451F0">
        <w:t>,</w:t>
      </w:r>
    </w:p>
    <w:p w:rsidR="002C0B3D" w:rsidRPr="007451F0" w:rsidRDefault="00FD19C8" w:rsidP="003805FD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 w:rsidRPr="007451F0">
        <w:t>p</w:t>
      </w:r>
      <w:r w:rsidR="005E6E2B" w:rsidRPr="007451F0">
        <w:t>oložky na dodacích listoch, faktúrach a kúpnej zmluve</w:t>
      </w:r>
      <w:r w:rsidR="001676DF">
        <w:t>, resp. zmluve o dielo</w:t>
      </w:r>
      <w:r w:rsidR="005E6E2B" w:rsidRPr="007451F0">
        <w:t xml:space="preserve"> musia byť totožné a  korešpondovať so skutočne dodaným majetkom</w:t>
      </w:r>
      <w:r w:rsidR="00012DD8" w:rsidRPr="007451F0">
        <w:t xml:space="preserve"> a musia za projekt ako celok obsahovať taxatívne vymenované všetky položky </w:t>
      </w:r>
      <w:r w:rsidR="002C0B3D" w:rsidRPr="007451F0">
        <w:t>uvedené v</w:t>
      </w:r>
      <w:r w:rsidR="00012DD8" w:rsidRPr="007451F0">
        <w:t> podrobn</w:t>
      </w:r>
      <w:r w:rsidR="002C0B3D" w:rsidRPr="007451F0">
        <w:t>om rozpočte</w:t>
      </w:r>
      <w:r w:rsidR="00012DD8" w:rsidRPr="007451F0">
        <w:t xml:space="preserve"> projektu. </w:t>
      </w:r>
      <w:r w:rsidR="005E6E2B" w:rsidRPr="007451F0">
        <w:t xml:space="preserve"> Skutočné dodanie majetku podľa dodacích listov (preberacích protokolov) bude predmetom kontroly na mieste zo strany zamestnancov </w:t>
      </w:r>
      <w:r w:rsidR="00B97A40">
        <w:t>SIEA</w:t>
      </w:r>
      <w:r w:rsidR="002F580B">
        <w:t>/SŠF pre rozvoj MSP</w:t>
      </w:r>
      <w:r w:rsidRPr="007451F0">
        <w:t xml:space="preserve">. </w:t>
      </w:r>
      <w:r w:rsidR="00994FC8" w:rsidRPr="007451F0">
        <w:t xml:space="preserve">Na dodacom liste resp. preberacom protokole nesmie chýbať záznam o prebratí </w:t>
      </w:r>
      <w:r w:rsidR="00012DD8" w:rsidRPr="007451F0">
        <w:t xml:space="preserve">obstaraného majetku </w:t>
      </w:r>
      <w:r w:rsidR="00994FC8" w:rsidRPr="007451F0">
        <w:t xml:space="preserve">zo strany </w:t>
      </w:r>
      <w:r w:rsidR="001467F2" w:rsidRPr="007451F0">
        <w:t xml:space="preserve">prijímateľa </w:t>
      </w:r>
      <w:r w:rsidR="00994FC8" w:rsidRPr="007451F0">
        <w:t xml:space="preserve">(t.j. pečiatka a podpis zodpovednej osoby </w:t>
      </w:r>
      <w:r w:rsidR="001467F2" w:rsidRPr="007451F0">
        <w:t>prijímateľa</w:t>
      </w:r>
      <w:r w:rsidR="00994FC8" w:rsidRPr="007451F0">
        <w:t>).</w:t>
      </w:r>
      <w:r w:rsidRPr="007451F0">
        <w:t>,</w:t>
      </w:r>
      <w:r w:rsidR="001467F2" w:rsidRPr="007451F0">
        <w:t xml:space="preserve"> </w:t>
      </w:r>
    </w:p>
    <w:p w:rsidR="002F580B" w:rsidRDefault="002C0B3D" w:rsidP="005D2247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 w:rsidRPr="007451F0">
        <w:t>j</w:t>
      </w:r>
      <w:r w:rsidR="00012DD8" w:rsidRPr="007451F0">
        <w:t xml:space="preserve">e </w:t>
      </w:r>
      <w:r w:rsidR="008109AB">
        <w:t>veľmi vhodné</w:t>
      </w:r>
      <w:r w:rsidR="001467F2" w:rsidRPr="007451F0">
        <w:t xml:space="preserve">, aby dodacie listy a preberacie protokoly presne identifikovali obstaraný majetok napr. prostredníctvom presne určeného typu zariadenia a jeho výrobného čísla. Presná identifikácia na dodacom liste alebo preberacom protokole </w:t>
      </w:r>
      <w:r w:rsidR="00012DD8" w:rsidRPr="007451F0">
        <w:t>uľahčí</w:t>
      </w:r>
      <w:r w:rsidR="001467F2" w:rsidRPr="007451F0">
        <w:t xml:space="preserve"> proces fyzickej kontroly dodaných zariadení a tiež pomôže pri</w:t>
      </w:r>
      <w:r w:rsidR="00012DD8" w:rsidRPr="007451F0">
        <w:t xml:space="preserve"> presnej identifikácii majetku poisteného na základe</w:t>
      </w:r>
      <w:r w:rsidR="00BB5C71">
        <w:t xml:space="preserve"> poistnej zmluvy nadobudnutého</w:t>
      </w:r>
      <w:r w:rsidR="002F580B">
        <w:t xml:space="preserve"> z podpory ŠF.</w:t>
      </w:r>
      <w:r w:rsidRPr="007451F0">
        <w:t xml:space="preserve"> Ďalej viď bod 4.</w:t>
      </w:r>
    </w:p>
    <w:p w:rsidR="002F580B" w:rsidRDefault="002F580B" w:rsidP="005D2247">
      <w:pPr>
        <w:jc w:val="both"/>
      </w:pPr>
    </w:p>
    <w:p w:rsidR="00012DD8" w:rsidRPr="007451F0" w:rsidRDefault="00012DD8" w:rsidP="00012DD8">
      <w:pPr>
        <w:numPr>
          <w:ilvl w:val="0"/>
          <w:numId w:val="4"/>
        </w:numPr>
        <w:jc w:val="both"/>
      </w:pPr>
      <w:r w:rsidRPr="007451F0">
        <w:lastRenderedPageBreak/>
        <w:t>Vedenie účtovníctva</w:t>
      </w:r>
    </w:p>
    <w:p w:rsidR="002C0B3D" w:rsidRPr="007451F0" w:rsidRDefault="002C0B3D" w:rsidP="002C0B3D">
      <w:pPr>
        <w:ind w:left="360"/>
        <w:jc w:val="both"/>
      </w:pPr>
    </w:p>
    <w:p w:rsidR="002C0B3D" w:rsidRPr="007451F0" w:rsidRDefault="002C0B3D" w:rsidP="002C0B3D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v zmysle Zmluvy o poskytnutí NFP má prijímateľ povinnosť viesť analyticky oddelené účtovníctvo,</w:t>
      </w:r>
      <w:r w:rsidR="001676DF" w:rsidRPr="001676DF">
        <w:t xml:space="preserve"> </w:t>
      </w:r>
      <w:r w:rsidR="001676DF" w:rsidRPr="004D70A7">
        <w:t>ak účtuje v sústave podvojného účtovníctva</w:t>
      </w:r>
    </w:p>
    <w:p w:rsidR="00386ED3" w:rsidRPr="007451F0" w:rsidRDefault="00B87415" w:rsidP="00B87415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v prípade vedenia podvojného účtovníctva je prijímateľ povinný vytvoriť vhodným spôsobom analytické členenie vo svojom účtovnom systéme tak, aby boli všetky výdavky (všetky účtovné prípady)  realizované v súvislosti s projektom ľahko identifikovateľné.</w:t>
      </w:r>
      <w:r>
        <w:t xml:space="preserve"> V tomto prípade </w:t>
      </w:r>
      <w:r w:rsidR="001467F2" w:rsidRPr="007451F0">
        <w:t xml:space="preserve">prijímateľ </w:t>
      </w:r>
      <w:r>
        <w:t xml:space="preserve">je povinný predložiť SIEA/SŠF pre rozvoj MSP </w:t>
      </w:r>
      <w:r w:rsidR="00BB5C71">
        <w:t xml:space="preserve">analytické </w:t>
      </w:r>
      <w:r w:rsidR="00386ED3" w:rsidRPr="007451F0">
        <w:t xml:space="preserve">zaúčtovanie </w:t>
      </w:r>
      <w:r w:rsidR="00BD2EE3" w:rsidRPr="007451F0">
        <w:t xml:space="preserve">obstaraného majetku </w:t>
      </w:r>
      <w:r>
        <w:t>minimálne v rozsahu nasledovných účtov:</w:t>
      </w:r>
      <w:r w:rsidR="00386ED3" w:rsidRPr="007451F0">
        <w:t xml:space="preserve"> 022, 042</w:t>
      </w:r>
      <w:r w:rsidR="00D62949">
        <w:t xml:space="preserve"> (v prípade obstarávania softvérového vybavenia prijímateľ predloží výpis z</w:t>
      </w:r>
      <w:r w:rsidR="00BB5C71">
        <w:t> </w:t>
      </w:r>
      <w:r w:rsidR="00D62949">
        <w:t>účtov</w:t>
      </w:r>
      <w:r w:rsidR="00BB5C71">
        <w:t xml:space="preserve"> analytickej evidencie</w:t>
      </w:r>
      <w:r w:rsidR="00D62949">
        <w:t xml:space="preserve"> 013 a 041)</w:t>
      </w:r>
      <w:r w:rsidR="00AF331B">
        <w:t xml:space="preserve"> resp. príslušné účty pre bežné výdavky účtovnej skupiny 5</w:t>
      </w:r>
      <w:r w:rsidR="00BD2EE3" w:rsidRPr="007451F0">
        <w:t>.</w:t>
      </w:r>
      <w:r w:rsidR="00386ED3" w:rsidRPr="007451F0">
        <w:t xml:space="preserve"> </w:t>
      </w:r>
      <w:r w:rsidR="00BD2EE3" w:rsidRPr="007451F0">
        <w:t>A</w:t>
      </w:r>
      <w:r w:rsidR="00386ED3" w:rsidRPr="007451F0">
        <w:t xml:space="preserve">k je </w:t>
      </w:r>
      <w:r w:rsidR="001467F2" w:rsidRPr="007451F0">
        <w:t xml:space="preserve">prijímateľ </w:t>
      </w:r>
      <w:r w:rsidR="00386ED3" w:rsidRPr="007451F0">
        <w:t>platcom DPH</w:t>
      </w:r>
      <w:r w:rsidR="001676DF">
        <w:t>,</w:t>
      </w:r>
      <w:r w:rsidR="00386ED3" w:rsidRPr="007451F0">
        <w:t xml:space="preserve"> je </w:t>
      </w:r>
      <w:r w:rsidR="001467F2" w:rsidRPr="007451F0">
        <w:t xml:space="preserve">odporučené </w:t>
      </w:r>
      <w:r w:rsidR="00386ED3" w:rsidRPr="007451F0">
        <w:t>preukázan</w:t>
      </w:r>
      <w:r w:rsidR="00B73356" w:rsidRPr="007451F0">
        <w:t>ie aj zaúčtovania DPH</w:t>
      </w:r>
      <w:r w:rsidR="00F22C0B">
        <w:t>,</w:t>
      </w:r>
      <w:r w:rsidR="00B73356" w:rsidRPr="007451F0">
        <w:t xml:space="preserve"> t.j.</w:t>
      </w:r>
      <w:r w:rsidR="002C0B3D" w:rsidRPr="007451F0">
        <w:t xml:space="preserve"> predložiť</w:t>
      </w:r>
      <w:r w:rsidR="00B73356" w:rsidRPr="007451F0">
        <w:t xml:space="preserve"> výpis z hlavnej knihy</w:t>
      </w:r>
      <w:r w:rsidR="00F22C0B">
        <w:t xml:space="preserve"> a</w:t>
      </w:r>
      <w:r w:rsidR="00386ED3" w:rsidRPr="007451F0">
        <w:t xml:space="preserve"> likvidačný</w:t>
      </w:r>
      <w:r w:rsidR="00B73356" w:rsidRPr="007451F0">
        <w:t xml:space="preserve"> list k</w:t>
      </w:r>
      <w:r w:rsidR="00FD19C8" w:rsidRPr="007451F0">
        <w:t> </w:t>
      </w:r>
      <w:r w:rsidR="00B73356" w:rsidRPr="007451F0">
        <w:t>faktúre</w:t>
      </w:r>
      <w:r w:rsidR="00FD19C8" w:rsidRPr="007451F0">
        <w:t>,</w:t>
      </w:r>
      <w:r w:rsidR="002C0B3D" w:rsidRPr="007451F0">
        <w:t xml:space="preserve"> </w:t>
      </w:r>
    </w:p>
    <w:p w:rsidR="002C0B3D" w:rsidRPr="007451F0" w:rsidRDefault="002C0B3D" w:rsidP="002C0B3D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spolu so ŽoP je potrebné tiež doručiť inventárnu kartu majetku,</w:t>
      </w:r>
    </w:p>
    <w:p w:rsidR="009C35DF" w:rsidRPr="007451F0" w:rsidRDefault="009C35DF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 xml:space="preserve">v prípade, že </w:t>
      </w:r>
      <w:r w:rsidR="001467F2" w:rsidRPr="007451F0">
        <w:t xml:space="preserve">prijímateľ </w:t>
      </w:r>
      <w:r w:rsidRPr="007451F0">
        <w:t>vedie jednoduché účtovníctvo je potrebné pre</w:t>
      </w:r>
      <w:r w:rsidR="006D391A" w:rsidRPr="007451F0">
        <w:t>d</w:t>
      </w:r>
      <w:r w:rsidRPr="007451F0">
        <w:t>ložiť zápisy v knihe záväzkov a peňažný denník</w:t>
      </w:r>
    </w:p>
    <w:p w:rsidR="002C0B3D" w:rsidRPr="007451F0" w:rsidRDefault="002C0B3D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v prípade, že prijímateľ vedie jednoduché účtovníctvo</w:t>
      </w:r>
      <w:r w:rsidR="00F22C0B">
        <w:t>,</w:t>
      </w:r>
      <w:r w:rsidRPr="007451F0">
        <w:t xml:space="preserve"> vykoná odčlenenie účtovných prípadov projektu od iných účtovných prípadov iným vhodným spôsobom, napr. </w:t>
      </w:r>
      <w:r w:rsidR="00EB2A06">
        <w:t>osobitne so slovným a číselným označením projektu v účtovných zápisoch.</w:t>
      </w:r>
      <w:r w:rsidR="00EB2A06" w:rsidRPr="007451F0">
        <w:t xml:space="preserve"> </w:t>
      </w:r>
      <w:r w:rsidRPr="007451F0">
        <w:t>Podstatou ostáva povinnosť prijímateľa kedykoľvek jednoducho a rýchlo preukázať účtovné prípady súvisiace s realizáciou projektu</w:t>
      </w:r>
      <w:r w:rsidR="00867F15">
        <w:t>,</w:t>
      </w:r>
      <w:r w:rsidRPr="007451F0">
        <w:t xml:space="preserve"> a to tak</w:t>
      </w:r>
      <w:r w:rsidR="00867F15">
        <w:t>,</w:t>
      </w:r>
      <w:r w:rsidRPr="007451F0">
        <w:t xml:space="preserve"> aby </w:t>
      </w:r>
      <w:r w:rsidR="007A7C90" w:rsidRPr="007451F0">
        <w:t>neuviedol</w:t>
      </w:r>
      <w:r w:rsidRPr="007451F0">
        <w:t xml:space="preserve"> kontrolný subjekt do omylu.</w:t>
      </w:r>
    </w:p>
    <w:p w:rsidR="005E6E2B" w:rsidRPr="007451F0" w:rsidRDefault="005E6E2B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všetky zaúčtovania musia byť opečiatkované a podpísané štatutár</w:t>
      </w:r>
      <w:r w:rsidR="00FD19C8" w:rsidRPr="007451F0">
        <w:t>nym zástupcom a účtovníkom/čkou,</w:t>
      </w:r>
    </w:p>
    <w:p w:rsidR="005E6E2B" w:rsidRPr="007451F0" w:rsidRDefault="005E6E2B" w:rsidP="005E6E2B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 w:rsidRPr="007451F0">
        <w:t>majetok musí byť zaevidovaný do účtovníctva a zaraden</w:t>
      </w:r>
      <w:r w:rsidR="00F22C0B">
        <w:t>ý</w:t>
      </w:r>
      <w:r w:rsidRPr="007451F0">
        <w:t xml:space="preserve"> do majetku </w:t>
      </w:r>
      <w:r w:rsidR="001467F2" w:rsidRPr="007451F0">
        <w:t xml:space="preserve">a fyzicky dodaný na miesto realizácie projektu </w:t>
      </w:r>
      <w:r w:rsidRPr="007451F0">
        <w:t>v súlade s harmonogramom realizácie projektu</w:t>
      </w:r>
      <w:r w:rsidR="001467F2" w:rsidRPr="007451F0">
        <w:t>. Až po spl</w:t>
      </w:r>
      <w:r w:rsidR="007A7C90" w:rsidRPr="007451F0">
        <w:t>n</w:t>
      </w:r>
      <w:r w:rsidR="001467F2" w:rsidRPr="007451F0">
        <w:t>ení tejto povinnosti je prijímateľ oprávnený predložiť ŽoP.</w:t>
      </w:r>
      <w:r w:rsidR="002C0B3D" w:rsidRPr="007451F0">
        <w:t xml:space="preserve"> (spolu so splnením povinností v bod</w:t>
      </w:r>
      <w:r w:rsidR="00221F32" w:rsidRPr="007451F0">
        <w:t>e</w:t>
      </w:r>
      <w:r w:rsidR="002C0B3D" w:rsidRPr="007451F0">
        <w:t xml:space="preserve"> 4)</w:t>
      </w:r>
    </w:p>
    <w:p w:rsidR="00894A1F" w:rsidRPr="007451F0" w:rsidRDefault="00894A1F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oprávnené sú len výdavky zrealizované v súlade s časovým harmonogramom</w:t>
      </w:r>
      <w:r w:rsidR="000F2C4C" w:rsidRPr="007451F0">
        <w:t xml:space="preserve"> príloha č.1</w:t>
      </w:r>
      <w:r w:rsidR="001467F2" w:rsidRPr="007451F0">
        <w:t>1</w:t>
      </w:r>
      <w:r w:rsidR="00F22C0B">
        <w:t xml:space="preserve"> - </w:t>
      </w:r>
      <w:r w:rsidR="001467F2" w:rsidRPr="007451F0">
        <w:t>Podro</w:t>
      </w:r>
      <w:r w:rsidR="00951686" w:rsidRPr="007451F0">
        <w:t>b</w:t>
      </w:r>
      <w:r w:rsidR="001467F2" w:rsidRPr="007451F0">
        <w:t>ný rozpočet projektu</w:t>
      </w:r>
    </w:p>
    <w:p w:rsidR="00894A1F" w:rsidRPr="007451F0" w:rsidRDefault="00894A1F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7451F0">
        <w:t>uhradená musí byť celá výška faktúry</w:t>
      </w:r>
      <w:r w:rsidR="00F22C0B">
        <w:t>,</w:t>
      </w:r>
      <w:r w:rsidRPr="007451F0">
        <w:t xml:space="preserve"> t.j. aj DPH</w:t>
      </w:r>
      <w:r w:rsidR="00867F15">
        <w:t>,</w:t>
      </w:r>
      <w:r w:rsidRPr="007451F0">
        <w:t xml:space="preserve"> a to aj v prípade, </w:t>
      </w:r>
      <w:r w:rsidR="00FD19C8" w:rsidRPr="007451F0">
        <w:t>že je DPH neoprávneným výdavkom,</w:t>
      </w:r>
    </w:p>
    <w:p w:rsidR="00785B2F" w:rsidRPr="007451F0" w:rsidRDefault="00785B2F" w:rsidP="00785B2F">
      <w:pPr>
        <w:jc w:val="both"/>
      </w:pPr>
    </w:p>
    <w:p w:rsidR="00785B2F" w:rsidRPr="007451F0" w:rsidRDefault="00785B2F" w:rsidP="00785B2F">
      <w:pPr>
        <w:numPr>
          <w:ilvl w:val="0"/>
          <w:numId w:val="4"/>
        </w:numPr>
        <w:jc w:val="both"/>
        <w:rPr>
          <w:b/>
        </w:rPr>
      </w:pPr>
      <w:r w:rsidRPr="007451F0">
        <w:rPr>
          <w:b/>
        </w:rPr>
        <w:t>Ostatné náležitosti zmluvy o poskytnutí NFP</w:t>
      </w:r>
    </w:p>
    <w:p w:rsidR="00221F32" w:rsidRPr="007451F0" w:rsidRDefault="00221F32" w:rsidP="00BE36D7">
      <w:pPr>
        <w:ind w:left="720"/>
        <w:jc w:val="both"/>
      </w:pPr>
    </w:p>
    <w:p w:rsidR="001A7D5B" w:rsidRPr="00DB43A9" w:rsidRDefault="007A7C90" w:rsidP="00DB43A9">
      <w:pPr>
        <w:numPr>
          <w:ilvl w:val="0"/>
          <w:numId w:val="14"/>
        </w:numPr>
        <w:tabs>
          <w:tab w:val="clear" w:pos="1485"/>
          <w:tab w:val="num" w:pos="700"/>
        </w:tabs>
        <w:ind w:left="700" w:hanging="700"/>
        <w:jc w:val="both"/>
        <w:rPr>
          <w:sz w:val="22"/>
          <w:szCs w:val="22"/>
        </w:rPr>
      </w:pPr>
      <w:r w:rsidRPr="002F4D84">
        <w:t>v zmysle zmluvy o poskytnutí NFP a záložnej zmluvy je potrebné najneskôr k termínu predloženia ŽoP predložiť</w:t>
      </w:r>
      <w:r w:rsidR="001A7D5B" w:rsidRPr="002F4D84">
        <w:t xml:space="preserve"> poistenie majetku</w:t>
      </w:r>
      <w:r w:rsidRPr="002F4D84">
        <w:t xml:space="preserve"> nadobudnutého z podpory ŠF a to</w:t>
      </w:r>
      <w:r w:rsidR="001A7D5B" w:rsidRPr="002F4D84">
        <w:t xml:space="preserve"> minimálne do výšky NFP</w:t>
      </w:r>
      <w:r w:rsidR="001839F6">
        <w:t xml:space="preserve"> </w:t>
      </w:r>
      <w:r w:rsidR="001839F6" w:rsidRPr="00D62949">
        <w:t>(</w:t>
      </w:r>
      <w:r w:rsidR="001839F6" w:rsidRPr="001839F6">
        <w:rPr>
          <w:b/>
        </w:rPr>
        <w:t xml:space="preserve">v prípade, že záložná zmluva obsahuje majetok tvoriaci záloh, ktorý je založený v prospech </w:t>
      </w:r>
      <w:r w:rsidR="00BB5C71">
        <w:rPr>
          <w:b/>
        </w:rPr>
        <w:t>SIEA</w:t>
      </w:r>
      <w:r w:rsidR="001839F6" w:rsidRPr="002F580B">
        <w:rPr>
          <w:b/>
        </w:rPr>
        <w:t xml:space="preserve"> </w:t>
      </w:r>
      <w:r w:rsidR="001839F6" w:rsidRPr="001839F6">
        <w:rPr>
          <w:b/>
        </w:rPr>
        <w:t xml:space="preserve">vo vyššej hodnote ako je podiel NFP na tomto majetku je potrebné poistiť tento majetok </w:t>
      </w:r>
      <w:r w:rsidR="002F580B">
        <w:rPr>
          <w:b/>
        </w:rPr>
        <w:t xml:space="preserve">minimálne </w:t>
      </w:r>
      <w:r w:rsidR="001839F6" w:rsidRPr="001839F6">
        <w:rPr>
          <w:b/>
        </w:rPr>
        <w:t>na výšku zálohu</w:t>
      </w:r>
      <w:r w:rsidR="001839F6" w:rsidRPr="00D62949">
        <w:t>)</w:t>
      </w:r>
      <w:r w:rsidRPr="002F4D84">
        <w:t xml:space="preserve"> </w:t>
      </w:r>
      <w:r w:rsidR="001A7D5B" w:rsidRPr="002F4D84">
        <w:t xml:space="preserve">pre prípad </w:t>
      </w:r>
      <w:r w:rsidR="00D349BA" w:rsidRPr="002F4D84">
        <w:t xml:space="preserve">jeho poškodenia, zničenia, straty, odcudzenia alebo iných škôd (napr. poistenie lomu stroja, poistenie </w:t>
      </w:r>
      <w:r w:rsidR="002F580B">
        <w:t>elektroniky stroja a podobne),</w:t>
      </w:r>
      <w:r w:rsidR="00785B2F" w:rsidRPr="002F4D84">
        <w:t xml:space="preserve"> </w:t>
      </w:r>
      <w:r w:rsidR="00D349BA" w:rsidRPr="002F4D84">
        <w:t>ktoré by mohli na ňom vzniknúť. V prípade majetku, ktorého charakter vylučuje možnosť jeho straty (napr. hmotnosť, pevné ukotvenie do podlahy</w:t>
      </w:r>
      <w:r w:rsidR="002F580B">
        <w:t xml:space="preserve"> a pod.</w:t>
      </w:r>
      <w:r w:rsidR="00D349BA" w:rsidRPr="002F4D84">
        <w:t>), sa poistenie voči strate nevyžaduje.</w:t>
      </w:r>
      <w:r w:rsidR="00D349BA" w:rsidRPr="002F4D84" w:rsidDel="00D349BA">
        <w:t xml:space="preserve"> </w:t>
      </w:r>
      <w:r w:rsidR="001A7D5B" w:rsidRPr="002F4D84">
        <w:t>Súčasne s poistnou zmluvou a návrhom poistnej zmluvy je potrebné z</w:t>
      </w:r>
      <w:r w:rsidR="00FD19C8" w:rsidRPr="002F4D84">
        <w:t xml:space="preserve">aslať doklad o úhrade </w:t>
      </w:r>
      <w:r w:rsidR="00FD19C8" w:rsidRPr="002F4D84">
        <w:lastRenderedPageBreak/>
        <w:t>poistného</w:t>
      </w:r>
      <w:r w:rsidR="00BB5C71">
        <w:t xml:space="preserve"> (originál, </w:t>
      </w:r>
      <w:r w:rsidR="00BB5C71" w:rsidRPr="002F580B">
        <w:t>resp. kópiu overenú štatutárnym zástupcom prijímateľa)</w:t>
      </w:r>
      <w:r w:rsidRPr="002F580B">
        <w:t>.</w:t>
      </w:r>
      <w:r w:rsidR="00DB43A9" w:rsidRPr="00DB43A9">
        <w:t xml:space="preserve"> </w:t>
      </w:r>
      <w:r w:rsidR="00DB43A9" w:rsidRPr="002F580B">
        <w:t>V poistnej zmluve je potrebné presne identifikovať majetok, ktorý je poistený (typ zariadenia, šarža, výrobné číslo a pod.), aby nemohlo dôjsť k</w:t>
      </w:r>
      <w:r w:rsidR="00DB43A9">
        <w:t> </w:t>
      </w:r>
      <w:r w:rsidR="00DB43A9" w:rsidRPr="002F580B">
        <w:t>zámene</w:t>
      </w:r>
      <w:r w:rsidR="00DB43A9">
        <w:t>.</w:t>
      </w:r>
      <w:r w:rsidRPr="002F580B">
        <w:t xml:space="preserve"> Spolu s poistnou zmluvou a návrhom poistnej </w:t>
      </w:r>
      <w:r w:rsidR="004A0D95" w:rsidRPr="002F580B">
        <w:t>zmluvy</w:t>
      </w:r>
      <w:r w:rsidR="00FF7FCA">
        <w:t xml:space="preserve"> (najneskôr však do času odoslania ŽoP na RO)</w:t>
      </w:r>
      <w:r w:rsidR="00F22C0B" w:rsidRPr="002F580B">
        <w:t>,</w:t>
      </w:r>
      <w:r w:rsidRPr="002F580B">
        <w:t xml:space="preserve"> je prijímateľ povinný </w:t>
      </w:r>
      <w:r w:rsidR="00DE3452" w:rsidRPr="002F580B">
        <w:t>tak</w:t>
      </w:r>
      <w:r w:rsidRPr="002F580B">
        <w:t xml:space="preserve">tiež predložiť </w:t>
      </w:r>
      <w:r w:rsidR="00DB43A9">
        <w:t>:</w:t>
      </w:r>
      <w:r w:rsidR="008046DF" w:rsidRPr="00DB43A9">
        <w:rPr>
          <w:b/>
        </w:rPr>
        <w:t>Osobitné dojednania</w:t>
      </w:r>
      <w:r w:rsidR="00DB43A9" w:rsidRPr="00DB43A9">
        <w:rPr>
          <w:b/>
          <w:sz w:val="22"/>
          <w:szCs w:val="22"/>
        </w:rPr>
        <w:t xml:space="preserve"> </w:t>
      </w:r>
      <w:r w:rsidR="00DB43A9" w:rsidRPr="00BE5E21">
        <w:rPr>
          <w:b/>
          <w:sz w:val="22"/>
          <w:szCs w:val="22"/>
        </w:rPr>
        <w:t xml:space="preserve">v nadväznosti na režim upravený § 151 mc ods. </w:t>
      </w:r>
      <w:r w:rsidR="00DB43A9" w:rsidRPr="00345128">
        <w:rPr>
          <w:b/>
          <w:sz w:val="22"/>
          <w:szCs w:val="22"/>
        </w:rPr>
        <w:t xml:space="preserve">2 zákona </w:t>
      </w:r>
      <w:r w:rsidR="00DB43A9" w:rsidRPr="00345128">
        <w:rPr>
          <w:b/>
          <w:sz w:val="22"/>
          <w:szCs w:val="22"/>
        </w:rPr>
        <w:br/>
        <w:t>č. 40/1964 Zb. Občianskeho zákonníka v znení neskorších predpisov</w:t>
      </w:r>
      <w:r w:rsidR="00DB43A9">
        <w:rPr>
          <w:b/>
          <w:sz w:val="22"/>
          <w:szCs w:val="22"/>
        </w:rPr>
        <w:t xml:space="preserve"> (ďalej len „Osobitné dojednania“)</w:t>
      </w:r>
      <w:r w:rsidR="008659D7" w:rsidRPr="002F580B">
        <w:t xml:space="preserve">. </w:t>
      </w:r>
      <w:r w:rsidR="002F580B">
        <w:t>Dokument „Osobitné dojednania“ sú</w:t>
      </w:r>
      <w:r w:rsidR="00DB43A9">
        <w:t xml:space="preserve"> zasielané SIEA/</w:t>
      </w:r>
      <w:r w:rsidR="00DB43A9" w:rsidRPr="00DB43A9">
        <w:t xml:space="preserve"> </w:t>
      </w:r>
      <w:r w:rsidR="00DB43A9">
        <w:t xml:space="preserve">SŠF pre rozvoj MSP </w:t>
      </w:r>
      <w:r w:rsidR="00DB43A9" w:rsidRPr="00345128">
        <w:rPr>
          <w:sz w:val="22"/>
          <w:szCs w:val="22"/>
        </w:rPr>
        <w:t xml:space="preserve">v </w:t>
      </w:r>
      <w:r w:rsidR="00DB43A9" w:rsidRPr="00DB43A9">
        <w:rPr>
          <w:sz w:val="22"/>
          <w:szCs w:val="22"/>
        </w:rPr>
        <w:t>troch</w:t>
      </w:r>
      <w:r w:rsidR="00DB43A9" w:rsidRPr="00345128">
        <w:rPr>
          <w:sz w:val="22"/>
          <w:szCs w:val="22"/>
        </w:rPr>
        <w:t xml:space="preserve"> vyhotoveniach. Predmetné tlačivo</w:t>
      </w:r>
      <w:r w:rsidR="00DB43A9">
        <w:rPr>
          <w:sz w:val="22"/>
          <w:szCs w:val="22"/>
        </w:rPr>
        <w:t xml:space="preserve"> je potrebné po podpise zo strany prijímateľa doručiť do príslušnej poisťovne na podpis a následne </w:t>
      </w:r>
      <w:r w:rsidR="00DB43A9" w:rsidRPr="00DB43A9">
        <w:rPr>
          <w:sz w:val="22"/>
          <w:szCs w:val="22"/>
        </w:rPr>
        <w:t>obratom doručiť</w:t>
      </w:r>
      <w:r w:rsidR="00DB43A9">
        <w:rPr>
          <w:sz w:val="22"/>
          <w:szCs w:val="22"/>
        </w:rPr>
        <w:t xml:space="preserve"> jeden rovnopis  na SIEA/</w:t>
      </w:r>
      <w:r w:rsidR="00DB43A9" w:rsidRPr="00DB43A9">
        <w:t xml:space="preserve"> </w:t>
      </w:r>
      <w:r w:rsidR="00DB43A9">
        <w:t xml:space="preserve">SŠF pre rozvoj MSP </w:t>
      </w:r>
      <w:r w:rsidR="00DB43A9" w:rsidRPr="00DB43A9">
        <w:rPr>
          <w:sz w:val="22"/>
          <w:szCs w:val="22"/>
        </w:rPr>
        <w:t>(</w:t>
      </w:r>
      <w:r w:rsidR="00DB43A9">
        <w:rPr>
          <w:sz w:val="22"/>
          <w:szCs w:val="22"/>
        </w:rPr>
        <w:t xml:space="preserve">1x </w:t>
      </w:r>
      <w:r w:rsidR="00DB43A9" w:rsidRPr="00DB43A9">
        <w:rPr>
          <w:sz w:val="22"/>
          <w:szCs w:val="22"/>
        </w:rPr>
        <w:t xml:space="preserve">pre prijímateľa, </w:t>
      </w:r>
      <w:r w:rsidR="00DB43A9">
        <w:rPr>
          <w:sz w:val="22"/>
          <w:szCs w:val="22"/>
        </w:rPr>
        <w:t xml:space="preserve">1x </w:t>
      </w:r>
      <w:r w:rsidR="00DB43A9" w:rsidRPr="00DB43A9">
        <w:rPr>
          <w:sz w:val="22"/>
          <w:szCs w:val="22"/>
        </w:rPr>
        <w:t>pre poisťovňu, jedno pre SIEA</w:t>
      </w:r>
      <w:r w:rsidR="00DB43A9">
        <w:rPr>
          <w:sz w:val="22"/>
          <w:szCs w:val="22"/>
        </w:rPr>
        <w:t>/</w:t>
      </w:r>
      <w:r w:rsidR="00DB43A9" w:rsidRPr="00DB43A9">
        <w:t xml:space="preserve"> </w:t>
      </w:r>
      <w:r w:rsidR="00DB43A9">
        <w:t>SŠF pre rozvoj MSP</w:t>
      </w:r>
      <w:r w:rsidR="00DB43A9" w:rsidRPr="00DB43A9">
        <w:rPr>
          <w:sz w:val="22"/>
          <w:szCs w:val="22"/>
        </w:rPr>
        <w:t>)</w:t>
      </w:r>
      <w:r w:rsidR="00DB43A9">
        <w:rPr>
          <w:sz w:val="22"/>
          <w:szCs w:val="22"/>
        </w:rPr>
        <w:t>.</w:t>
      </w:r>
      <w:r w:rsidR="00921C3F" w:rsidRPr="002F580B">
        <w:t>Predloha</w:t>
      </w:r>
      <w:r w:rsidR="00867F15" w:rsidRPr="002F580B">
        <w:t> </w:t>
      </w:r>
      <w:r w:rsidR="008046DF" w:rsidRPr="002F580B">
        <w:t xml:space="preserve">„Osobitného dojednania“ </w:t>
      </w:r>
      <w:r w:rsidR="00D349BA" w:rsidRPr="002F580B">
        <w:t>tvor</w:t>
      </w:r>
      <w:r w:rsidR="004547C8" w:rsidRPr="002F580B">
        <w:t>í</w:t>
      </w:r>
      <w:r w:rsidR="00D349BA" w:rsidRPr="002F580B">
        <w:t xml:space="preserve"> prílohu </w:t>
      </w:r>
      <w:r w:rsidR="00E35D5E">
        <w:t>b)</w:t>
      </w:r>
      <w:r w:rsidR="00D349BA" w:rsidRPr="002F580B">
        <w:t>tohto usmernenia.</w:t>
      </w:r>
    </w:p>
    <w:p w:rsidR="007A7C90" w:rsidRPr="00E35D5E" w:rsidRDefault="004A0D95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E35D5E">
        <w:t>v</w:t>
      </w:r>
      <w:r w:rsidR="007A7C90" w:rsidRPr="00E35D5E">
        <w:t> prípade, že zálohom podľa záložnej zmluvy nie je majetok, ktorý prijímateľ nadobudne z podpory ŠF</w:t>
      </w:r>
      <w:r w:rsidR="00F22C0B" w:rsidRPr="00E35D5E">
        <w:t>,</w:t>
      </w:r>
      <w:r w:rsidR="007A7C90" w:rsidRPr="00E35D5E">
        <w:t xml:space="preserve"> je prijímateľ povinný </w:t>
      </w:r>
      <w:r w:rsidR="00F22C0B" w:rsidRPr="00E35D5E">
        <w:t xml:space="preserve">ho </w:t>
      </w:r>
      <w:r w:rsidR="007A7C90" w:rsidRPr="00E35D5E">
        <w:t>poistiť</w:t>
      </w:r>
      <w:r w:rsidR="00F22C0B" w:rsidRPr="00E35D5E">
        <w:t>, resp. zabezpečiť jeho poistenie</w:t>
      </w:r>
      <w:r w:rsidR="007A7C90" w:rsidRPr="00E35D5E">
        <w:t xml:space="preserve"> za rovnakých podmienok ako </w:t>
      </w:r>
      <w:r w:rsidR="002B706B" w:rsidRPr="00E35D5E">
        <w:t xml:space="preserve">vo </w:t>
      </w:r>
      <w:r w:rsidR="007A7C90" w:rsidRPr="00E35D5E">
        <w:t>vyššie uv</w:t>
      </w:r>
      <w:r w:rsidR="00785B2F" w:rsidRPr="00E35D5E">
        <w:t>ede</w:t>
      </w:r>
      <w:r w:rsidR="004C477B" w:rsidRPr="00E35D5E">
        <w:t>nom odseku aj predmet zálohu a t</w:t>
      </w:r>
      <w:r w:rsidR="00785B2F" w:rsidRPr="00E35D5E">
        <w:t>o takisto do času predloženia ŽoP.</w:t>
      </w:r>
    </w:p>
    <w:p w:rsidR="00867F15" w:rsidRPr="002F4D84" w:rsidRDefault="00867F15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>
        <w:t xml:space="preserve">súčasne so </w:t>
      </w:r>
      <w:r w:rsidR="008046DF">
        <w:t>ŽoP</w:t>
      </w:r>
      <w:r>
        <w:t xml:space="preserve"> je prijímateľ povinný predložiť </w:t>
      </w:r>
      <w:r w:rsidR="00921A7B">
        <w:t>Č</w:t>
      </w:r>
      <w:r>
        <w:t>estné vyhlásenie</w:t>
      </w:r>
      <w:r w:rsidR="00921A7B">
        <w:t xml:space="preserve"> k ŽoP, </w:t>
      </w:r>
      <w:r>
        <w:t xml:space="preserve">ktoré tvorí prílohu </w:t>
      </w:r>
      <w:r w:rsidR="00E35D5E">
        <w:t xml:space="preserve">c) </w:t>
      </w:r>
      <w:r>
        <w:t xml:space="preserve">tohto usmernenia. </w:t>
      </w:r>
      <w:r w:rsidR="00921A7B">
        <w:t xml:space="preserve">Typ A sa použije pre projekty v rámci výzvy KaHR111DM0901 a DOP2008-SIP001. Typ B </w:t>
      </w:r>
      <w:r w:rsidR="00921A7B" w:rsidRPr="00921A7B">
        <w:t xml:space="preserve"> </w:t>
      </w:r>
      <w:r w:rsidR="00921A7B">
        <w:t>sa použije pre projekty v rámci výzvy KaHR111DM0801.</w:t>
      </w:r>
    </w:p>
    <w:p w:rsidR="001A7D5B" w:rsidRPr="00623F5E" w:rsidRDefault="004A0D95" w:rsidP="008C2491">
      <w:pPr>
        <w:numPr>
          <w:ilvl w:val="1"/>
          <w:numId w:val="4"/>
        </w:numPr>
        <w:tabs>
          <w:tab w:val="clear" w:pos="1440"/>
          <w:tab w:val="num" w:pos="-4860"/>
        </w:tabs>
        <w:ind w:left="1080"/>
        <w:jc w:val="both"/>
      </w:pPr>
      <w:r w:rsidRPr="00623F5E">
        <w:t>v zmysle zmluvy o poskytnutí NFP</w:t>
      </w:r>
      <w:r w:rsidR="00714A8B" w:rsidRPr="00623F5E">
        <w:t xml:space="preserve"> je prijímateľ povinný predložiť </w:t>
      </w:r>
      <w:r w:rsidR="0000322E">
        <w:t xml:space="preserve">aj </w:t>
      </w:r>
      <w:r w:rsidR="00714A8B" w:rsidRPr="00623F5E">
        <w:t xml:space="preserve">elektronickú verziu </w:t>
      </w:r>
      <w:r w:rsidR="00EC6C28">
        <w:t xml:space="preserve">ŽoP </w:t>
      </w:r>
      <w:r w:rsidR="00EC6C28" w:rsidRPr="00D62949">
        <w:t>(</w:t>
      </w:r>
      <w:r w:rsidR="00EC6C28">
        <w:t>vygenerovanú z ITMS vo formáte PDF</w:t>
      </w:r>
      <w:r w:rsidR="00EC6C28" w:rsidRPr="00D62949">
        <w:t>)</w:t>
      </w:r>
      <w:r w:rsidR="008109AB" w:rsidRPr="00D62949">
        <w:t>. Pri vystavovaní žiadosti o platbu cez verejný portal ITMS</w:t>
      </w:r>
      <w:r w:rsidR="00EC6C28">
        <w:t xml:space="preserve"> </w:t>
      </w:r>
      <w:r w:rsidR="008109AB">
        <w:t>odporúčame</w:t>
      </w:r>
      <w:r w:rsidR="00714A8B" w:rsidRPr="00623F5E">
        <w:t xml:space="preserve"> v snahe zabezpečenia plynulosti implementácie projektu komunikovať s projektovým manažérom</w:t>
      </w:r>
      <w:r w:rsidR="008109AB">
        <w:t xml:space="preserve"> a riešiť nejasnosti pri zadávaní údajov do ITMS v čase pred odoslaním ŽoP.</w:t>
      </w:r>
    </w:p>
    <w:p w:rsidR="00606427" w:rsidRPr="00276752" w:rsidRDefault="00276752" w:rsidP="00606427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 w:rsidRPr="00276752">
        <w:t>Odporúčame k ŽoP priložiť tiež certifikát zhody preukazujúci splnenie príslušných noriem a predpisov vyžadovaných v rámci EU.</w:t>
      </w:r>
    </w:p>
    <w:p w:rsidR="00012DD8" w:rsidRDefault="00012DD8" w:rsidP="00012DD8">
      <w:pPr>
        <w:numPr>
          <w:ilvl w:val="1"/>
          <w:numId w:val="4"/>
        </w:numPr>
        <w:tabs>
          <w:tab w:val="clear" w:pos="1440"/>
        </w:tabs>
        <w:ind w:left="1080"/>
        <w:jc w:val="both"/>
      </w:pPr>
      <w:r w:rsidRPr="007451F0">
        <w:t>v</w:t>
      </w:r>
      <w:r w:rsidR="00F22C0B">
        <w:t> </w:t>
      </w:r>
      <w:r w:rsidRPr="007451F0">
        <w:t>prípade</w:t>
      </w:r>
      <w:r w:rsidR="00F22C0B">
        <w:t>,</w:t>
      </w:r>
      <w:r w:rsidRPr="007451F0">
        <w:t xml:space="preserve"> ak v mene spoločnosti konajú viacer</w:t>
      </w:r>
      <w:r w:rsidR="00F22C0B">
        <w:t>é osoby</w:t>
      </w:r>
      <w:r w:rsidRPr="007451F0">
        <w:t xml:space="preserve"> a </w:t>
      </w:r>
      <w:r w:rsidR="00F22C0B">
        <w:t>títo</w:t>
      </w:r>
      <w:r w:rsidRPr="007451F0">
        <w:t xml:space="preserve"> musia vystupovať v mene spoločnosti spoločne, je potrebné aby všetky dokumenty, kde je potrebný podpis štatutárneho zástupcu</w:t>
      </w:r>
      <w:r w:rsidR="007F2956">
        <w:t>,</w:t>
      </w:r>
      <w:r w:rsidRPr="007451F0">
        <w:t xml:space="preserve"> podpísal taký počet štatutárnych zástupcov</w:t>
      </w:r>
      <w:r w:rsidR="007F2956">
        <w:t>,</w:t>
      </w:r>
      <w:r w:rsidRPr="007451F0">
        <w:t xml:space="preserve"> ako je uvedené ich spoločné konanie podľa obchodného registra</w:t>
      </w:r>
      <w:r w:rsidR="002B706B" w:rsidRPr="007451F0">
        <w:t xml:space="preserve"> a v súlade s podpisovým vzorom uvedeným v zmluve o poskytnutí NFP</w:t>
      </w:r>
      <w:r w:rsidR="008046DF">
        <w:t>.</w:t>
      </w:r>
    </w:p>
    <w:p w:rsidR="000607AF" w:rsidRPr="007451F0" w:rsidRDefault="000607AF" w:rsidP="000607AF">
      <w:pPr>
        <w:tabs>
          <w:tab w:val="num" w:pos="-4860"/>
        </w:tabs>
        <w:jc w:val="both"/>
      </w:pPr>
    </w:p>
    <w:p w:rsidR="003C3C7D" w:rsidRPr="007451F0" w:rsidRDefault="003C3C7D" w:rsidP="003C3C7D">
      <w:pPr>
        <w:tabs>
          <w:tab w:val="num" w:pos="-4860"/>
        </w:tabs>
        <w:jc w:val="both"/>
      </w:pPr>
      <w:r w:rsidRPr="007451F0">
        <w:tab/>
        <w:t>V prípade akýchkoľvek nejasností kontaktujte svojho projektového manažéra.</w:t>
      </w:r>
      <w:r w:rsidR="00DC2D27" w:rsidRPr="007451F0">
        <w:t xml:space="preserve"> </w:t>
      </w:r>
      <w:r w:rsidRPr="007451F0">
        <w:t xml:space="preserve">Sme presvedčení, že striktné dodržiavania uvedených základných podmienok ako aj </w:t>
      </w:r>
      <w:r w:rsidRPr="007451F0">
        <w:rPr>
          <w:b/>
        </w:rPr>
        <w:t>včasná komunikácia</w:t>
      </w:r>
      <w:r w:rsidRPr="007451F0">
        <w:t xml:space="preserve"> </w:t>
      </w:r>
      <w:r w:rsidR="00F80243" w:rsidRPr="007451F0">
        <w:t>s</w:t>
      </w:r>
      <w:r w:rsidRPr="007451F0">
        <w:t> Vaši</w:t>
      </w:r>
      <w:r w:rsidR="00DC2D27" w:rsidRPr="007451F0">
        <w:t>m</w:t>
      </w:r>
      <w:r w:rsidRPr="007451F0">
        <w:t xml:space="preserve"> projektovým manažérom urýchli a zjednoduší proces </w:t>
      </w:r>
      <w:r w:rsidR="00714A8B" w:rsidRPr="007451F0">
        <w:t>implementácie/</w:t>
      </w:r>
      <w:r w:rsidRPr="007451F0">
        <w:t>kontroly</w:t>
      </w:r>
      <w:r w:rsidR="00F80243" w:rsidRPr="007451F0">
        <w:t>.</w:t>
      </w:r>
      <w:r w:rsidR="00BB6EE1">
        <w:t xml:space="preserve"> </w:t>
      </w:r>
    </w:p>
    <w:p w:rsidR="00597226" w:rsidRPr="007451F0" w:rsidRDefault="00597226" w:rsidP="000607AF">
      <w:pPr>
        <w:tabs>
          <w:tab w:val="num" w:pos="-4860"/>
        </w:tabs>
        <w:jc w:val="both"/>
        <w:rPr>
          <w:b/>
        </w:rPr>
      </w:pPr>
    </w:p>
    <w:p w:rsidR="000607AF" w:rsidRDefault="000607AF" w:rsidP="000607AF">
      <w:pPr>
        <w:tabs>
          <w:tab w:val="num" w:pos="-4860"/>
        </w:tabs>
        <w:jc w:val="both"/>
        <w:rPr>
          <w:b/>
        </w:rPr>
      </w:pPr>
      <w:r w:rsidRPr="007451F0">
        <w:rPr>
          <w:b/>
        </w:rPr>
        <w:t>Použité skratky</w:t>
      </w:r>
    </w:p>
    <w:p w:rsidR="00E35D5E" w:rsidRPr="007451F0" w:rsidRDefault="00E35D5E" w:rsidP="000607AF">
      <w:pPr>
        <w:tabs>
          <w:tab w:val="num" w:pos="-4860"/>
        </w:tabs>
        <w:jc w:val="both"/>
        <w:rPr>
          <w:b/>
        </w:rPr>
      </w:pPr>
    </w:p>
    <w:p w:rsidR="000607AF" w:rsidRPr="007451F0" w:rsidRDefault="008046DF" w:rsidP="000607AF">
      <w:pPr>
        <w:tabs>
          <w:tab w:val="num" w:pos="-4860"/>
        </w:tabs>
        <w:jc w:val="both"/>
      </w:pPr>
      <w:r>
        <w:t>SIEA</w:t>
      </w:r>
      <w:r w:rsidR="000607AF" w:rsidRPr="007451F0">
        <w:t xml:space="preserve">- </w:t>
      </w:r>
      <w:r>
        <w:t>Slovenská inovačná a energetická agentúra</w:t>
      </w:r>
    </w:p>
    <w:p w:rsidR="000607AF" w:rsidRPr="007451F0" w:rsidRDefault="000607AF" w:rsidP="000607AF">
      <w:pPr>
        <w:tabs>
          <w:tab w:val="num" w:pos="-4860"/>
        </w:tabs>
        <w:jc w:val="both"/>
      </w:pPr>
      <w:r w:rsidRPr="007451F0">
        <w:t>NFP – nenávratný finančný príspevok</w:t>
      </w:r>
    </w:p>
    <w:p w:rsidR="000607AF" w:rsidRPr="007451F0" w:rsidRDefault="000607AF" w:rsidP="000607AF">
      <w:pPr>
        <w:tabs>
          <w:tab w:val="num" w:pos="-4860"/>
        </w:tabs>
        <w:jc w:val="both"/>
      </w:pPr>
      <w:r w:rsidRPr="007451F0">
        <w:t>ŽoP – žiadosť o platbu (refundáciu)</w:t>
      </w:r>
    </w:p>
    <w:p w:rsidR="003B04DB" w:rsidRDefault="003B04DB" w:rsidP="000607AF">
      <w:pPr>
        <w:tabs>
          <w:tab w:val="num" w:pos="-4860"/>
        </w:tabs>
        <w:jc w:val="both"/>
      </w:pPr>
      <w:r w:rsidRPr="007451F0">
        <w:t>ŠF – štrukturálne fondy</w:t>
      </w:r>
    </w:p>
    <w:p w:rsidR="00E35D5E" w:rsidRPr="007451F0" w:rsidRDefault="00E35D5E" w:rsidP="000607AF">
      <w:pPr>
        <w:tabs>
          <w:tab w:val="num" w:pos="-4860"/>
        </w:tabs>
        <w:jc w:val="both"/>
      </w:pPr>
      <w:r>
        <w:t>SŠF pre rozvoj MSP – Sekcia štrukturálnych fondov pre rozvoj malého a stredného podnikania</w:t>
      </w:r>
    </w:p>
    <w:p w:rsidR="00CA5EF3" w:rsidRPr="007451F0" w:rsidRDefault="00CA5EF3" w:rsidP="000607AF">
      <w:pPr>
        <w:tabs>
          <w:tab w:val="num" w:pos="-4860"/>
        </w:tabs>
        <w:jc w:val="both"/>
      </w:pPr>
    </w:p>
    <w:p w:rsidR="00E35D5E" w:rsidRDefault="00E35D5E" w:rsidP="000607AF">
      <w:pPr>
        <w:tabs>
          <w:tab w:val="num" w:pos="-4860"/>
        </w:tabs>
        <w:jc w:val="both"/>
        <w:rPr>
          <w:b/>
        </w:rPr>
      </w:pPr>
    </w:p>
    <w:p w:rsidR="00E35D5E" w:rsidRDefault="00E35D5E" w:rsidP="000607AF">
      <w:pPr>
        <w:tabs>
          <w:tab w:val="num" w:pos="-4860"/>
        </w:tabs>
        <w:jc w:val="both"/>
        <w:rPr>
          <w:b/>
        </w:rPr>
      </w:pPr>
    </w:p>
    <w:p w:rsidR="00CA5EF3" w:rsidRPr="007451F0" w:rsidRDefault="00CA5EF3" w:rsidP="000607AF">
      <w:pPr>
        <w:tabs>
          <w:tab w:val="num" w:pos="-4860"/>
        </w:tabs>
        <w:jc w:val="both"/>
        <w:rPr>
          <w:b/>
        </w:rPr>
      </w:pPr>
      <w:r w:rsidRPr="007451F0">
        <w:rPr>
          <w:b/>
        </w:rPr>
        <w:t>Prílohy:</w:t>
      </w:r>
    </w:p>
    <w:p w:rsidR="0092423B" w:rsidRPr="007451F0" w:rsidRDefault="0092423B" w:rsidP="000607AF">
      <w:pPr>
        <w:tabs>
          <w:tab w:val="num" w:pos="-4860"/>
        </w:tabs>
        <w:jc w:val="both"/>
      </w:pPr>
    </w:p>
    <w:p w:rsidR="0092423B" w:rsidRDefault="0092423B" w:rsidP="0092423B">
      <w:pPr>
        <w:numPr>
          <w:ilvl w:val="0"/>
          <w:numId w:val="9"/>
        </w:numPr>
        <w:jc w:val="both"/>
      </w:pPr>
      <w:r>
        <w:t>Pokyny k vyplneniu ŽoP cez verejný portál</w:t>
      </w:r>
      <w:r w:rsidR="00844CE0">
        <w:t xml:space="preserve"> – aktualizovaná verzia od 1.5.2010</w:t>
      </w:r>
    </w:p>
    <w:p w:rsidR="00921A7B" w:rsidRDefault="008046DF" w:rsidP="0092423B">
      <w:pPr>
        <w:numPr>
          <w:ilvl w:val="0"/>
          <w:numId w:val="9"/>
        </w:numPr>
        <w:jc w:val="both"/>
      </w:pPr>
      <w:r>
        <w:t>Osobitné dojednania</w:t>
      </w:r>
    </w:p>
    <w:p w:rsidR="00921A7B" w:rsidRDefault="00921A7B" w:rsidP="0092423B">
      <w:pPr>
        <w:numPr>
          <w:ilvl w:val="0"/>
          <w:numId w:val="9"/>
        </w:numPr>
        <w:jc w:val="both"/>
      </w:pPr>
      <w:r>
        <w:t>Čestné vyhlásenie k ŽoP – typ A/B</w:t>
      </w:r>
    </w:p>
    <w:sectPr w:rsidR="00921A7B" w:rsidSect="00EC6C28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ED" w:rsidRDefault="00264CED">
      <w:r>
        <w:separator/>
      </w:r>
    </w:p>
  </w:endnote>
  <w:endnote w:type="continuationSeparator" w:id="0">
    <w:p w:rsidR="00264CED" w:rsidRDefault="0026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8" w:rsidRDefault="00AA3CA8" w:rsidP="007A488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A3CA8" w:rsidRDefault="00AA3CA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8" w:rsidRDefault="00AA3CA8" w:rsidP="007A488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7FCA">
      <w:rPr>
        <w:rStyle w:val="slostrany"/>
        <w:noProof/>
      </w:rPr>
      <w:t>1</w:t>
    </w:r>
    <w:r>
      <w:rPr>
        <w:rStyle w:val="slostrany"/>
      </w:rPr>
      <w:fldChar w:fldCharType="end"/>
    </w:r>
  </w:p>
  <w:p w:rsidR="00AA3CA8" w:rsidRDefault="00AA3CA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ED" w:rsidRDefault="00264CED">
      <w:r>
        <w:separator/>
      </w:r>
    </w:p>
  </w:footnote>
  <w:footnote w:type="continuationSeparator" w:id="0">
    <w:p w:rsidR="00264CED" w:rsidRDefault="0026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E1" w:rsidRDefault="00FF7FCA" w:rsidP="00BB6EE1">
    <w:pPr>
      <w:rPr>
        <w:b/>
        <w:bCs/>
        <w:sz w:val="26"/>
      </w:rPr>
    </w:pPr>
    <w:r>
      <w:rPr>
        <w:noProof/>
      </w:rPr>
      <w:drawing>
        <wp:inline distT="0" distB="0" distL="0" distR="0">
          <wp:extent cx="904875" cy="58102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6EE1">
      <w:t xml:space="preserve">                                               </w:t>
    </w:r>
    <w:r w:rsidR="000A36B4">
      <w:rPr>
        <w:b/>
        <w:bCs/>
        <w:sz w:val="26"/>
      </w:rPr>
      <w:t xml:space="preserve">Slovenská inovačná a energetická </w:t>
    </w:r>
    <w:r w:rsidR="00BB6EE1">
      <w:rPr>
        <w:b/>
        <w:bCs/>
        <w:sz w:val="26"/>
      </w:rPr>
      <w:t>agentúra</w:t>
    </w:r>
  </w:p>
  <w:p w:rsidR="00AA3CA8" w:rsidRPr="00BB6EE1" w:rsidRDefault="000A36B4" w:rsidP="00BB6EE1">
    <w:pPr>
      <w:jc w:val="right"/>
      <w:rPr>
        <w:b/>
        <w:bCs/>
        <w:sz w:val="26"/>
      </w:rPr>
    </w:pPr>
    <w:r>
      <w:rPr>
        <w:b/>
        <w:bCs/>
      </w:rPr>
      <w:t>S</w:t>
    </w:r>
    <w:r w:rsidR="00AA3CA8">
      <w:rPr>
        <w:b/>
        <w:bCs/>
      </w:rPr>
      <w:t>ekcia štrukturálnych fondov</w:t>
    </w:r>
    <w:r>
      <w:rPr>
        <w:b/>
        <w:bCs/>
      </w:rPr>
      <w:t xml:space="preserve"> pre rozvoj MSP</w:t>
    </w:r>
  </w:p>
  <w:p w:rsidR="00AA3CA8" w:rsidRDefault="000A36B4" w:rsidP="00AF7EC7">
    <w:pPr>
      <w:jc w:val="right"/>
      <w:rPr>
        <w:sz w:val="22"/>
      </w:rPr>
    </w:pPr>
    <w:r>
      <w:rPr>
        <w:sz w:val="22"/>
      </w:rPr>
      <w:t>Bajkalská 27, 827 99</w:t>
    </w:r>
    <w:r w:rsidR="00AA3CA8">
      <w:rPr>
        <w:sz w:val="22"/>
      </w:rPr>
      <w:t xml:space="preserve"> Bratislava 2</w:t>
    </w:r>
    <w:r>
      <w:rPr>
        <w:sz w:val="22"/>
      </w:rPr>
      <w:t>7</w:t>
    </w:r>
  </w:p>
  <w:p w:rsidR="00AA3CA8" w:rsidRPr="007721E8" w:rsidRDefault="00AA3CA8" w:rsidP="00AF7EC7">
    <w:pPr>
      <w:pStyle w:val="Hlavika"/>
      <w:rPr>
        <w:szCs w:val="22"/>
      </w:rPr>
    </w:pPr>
  </w:p>
  <w:p w:rsidR="00AA3CA8" w:rsidRDefault="00AA3CA8" w:rsidP="00AF7EC7">
    <w:pPr>
      <w:pStyle w:val="Hlavika"/>
    </w:pPr>
  </w:p>
  <w:p w:rsidR="00AA3CA8" w:rsidRDefault="00AA3CA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5C"/>
    <w:multiLevelType w:val="hybridMultilevel"/>
    <w:tmpl w:val="2BBC534E"/>
    <w:lvl w:ilvl="0" w:tplc="7C34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24A6A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0313"/>
    <w:multiLevelType w:val="multilevel"/>
    <w:tmpl w:val="E34C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B01D1"/>
    <w:multiLevelType w:val="multilevel"/>
    <w:tmpl w:val="2BBC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33CBC"/>
    <w:multiLevelType w:val="hybridMultilevel"/>
    <w:tmpl w:val="97C851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75A27"/>
    <w:multiLevelType w:val="hybridMultilevel"/>
    <w:tmpl w:val="B77A43F2"/>
    <w:lvl w:ilvl="0" w:tplc="041C0C9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5">
    <w:nsid w:val="26720E70"/>
    <w:multiLevelType w:val="hybridMultilevel"/>
    <w:tmpl w:val="1FA43E8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C0515"/>
    <w:multiLevelType w:val="hybridMultilevel"/>
    <w:tmpl w:val="68DE9B0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3EDB2701"/>
    <w:multiLevelType w:val="hybridMultilevel"/>
    <w:tmpl w:val="05504DF6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4E3CE1"/>
    <w:multiLevelType w:val="hybridMultilevel"/>
    <w:tmpl w:val="73B8E8DE"/>
    <w:lvl w:ilvl="0" w:tplc="041C0C9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9">
    <w:nsid w:val="56EC694E"/>
    <w:multiLevelType w:val="hybridMultilevel"/>
    <w:tmpl w:val="61E4CF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24014"/>
    <w:multiLevelType w:val="hybridMultilevel"/>
    <w:tmpl w:val="21FE927C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690A0069"/>
    <w:multiLevelType w:val="hybridMultilevel"/>
    <w:tmpl w:val="71B486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53229"/>
    <w:multiLevelType w:val="hybridMultilevel"/>
    <w:tmpl w:val="5B740B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65EF5"/>
    <w:multiLevelType w:val="multilevel"/>
    <w:tmpl w:val="B840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5B27"/>
    <w:rsid w:val="0000322E"/>
    <w:rsid w:val="00003F6C"/>
    <w:rsid w:val="00012DD8"/>
    <w:rsid w:val="00021385"/>
    <w:rsid w:val="00030AB2"/>
    <w:rsid w:val="000607AF"/>
    <w:rsid w:val="00067BA8"/>
    <w:rsid w:val="000943D0"/>
    <w:rsid w:val="0009531F"/>
    <w:rsid w:val="000A36B4"/>
    <w:rsid w:val="000D557C"/>
    <w:rsid w:val="000F0C46"/>
    <w:rsid w:val="000F245A"/>
    <w:rsid w:val="000F2C4C"/>
    <w:rsid w:val="00100D59"/>
    <w:rsid w:val="001032B4"/>
    <w:rsid w:val="00103BCB"/>
    <w:rsid w:val="0013492E"/>
    <w:rsid w:val="0014389C"/>
    <w:rsid w:val="001467F2"/>
    <w:rsid w:val="001662EB"/>
    <w:rsid w:val="001676DF"/>
    <w:rsid w:val="001839F6"/>
    <w:rsid w:val="001A1906"/>
    <w:rsid w:val="001A7D5B"/>
    <w:rsid w:val="001B35EA"/>
    <w:rsid w:val="001B4535"/>
    <w:rsid w:val="001C1D45"/>
    <w:rsid w:val="00213DB3"/>
    <w:rsid w:val="00221F32"/>
    <w:rsid w:val="00223F90"/>
    <w:rsid w:val="002637D5"/>
    <w:rsid w:val="00263A86"/>
    <w:rsid w:val="00264CED"/>
    <w:rsid w:val="00276752"/>
    <w:rsid w:val="002B706B"/>
    <w:rsid w:val="002C0B3D"/>
    <w:rsid w:val="002F1BB9"/>
    <w:rsid w:val="002F4D84"/>
    <w:rsid w:val="002F580B"/>
    <w:rsid w:val="003541B2"/>
    <w:rsid w:val="00377211"/>
    <w:rsid w:val="003805FD"/>
    <w:rsid w:val="00386E8F"/>
    <w:rsid w:val="00386ED3"/>
    <w:rsid w:val="003B04DB"/>
    <w:rsid w:val="003C3C7D"/>
    <w:rsid w:val="003C5479"/>
    <w:rsid w:val="003D042A"/>
    <w:rsid w:val="003D2C2D"/>
    <w:rsid w:val="003E4951"/>
    <w:rsid w:val="003F11B0"/>
    <w:rsid w:val="0042566C"/>
    <w:rsid w:val="00447847"/>
    <w:rsid w:val="004547C8"/>
    <w:rsid w:val="00466B50"/>
    <w:rsid w:val="004916D7"/>
    <w:rsid w:val="004A0D95"/>
    <w:rsid w:val="004A17A9"/>
    <w:rsid w:val="004A1DB5"/>
    <w:rsid w:val="004B28B3"/>
    <w:rsid w:val="004C477B"/>
    <w:rsid w:val="005032B7"/>
    <w:rsid w:val="005156EE"/>
    <w:rsid w:val="005315BF"/>
    <w:rsid w:val="00535954"/>
    <w:rsid w:val="00540321"/>
    <w:rsid w:val="0054372C"/>
    <w:rsid w:val="00547296"/>
    <w:rsid w:val="005523B0"/>
    <w:rsid w:val="0057459F"/>
    <w:rsid w:val="00597226"/>
    <w:rsid w:val="005C0AE0"/>
    <w:rsid w:val="005C7591"/>
    <w:rsid w:val="005D2247"/>
    <w:rsid w:val="005E4D51"/>
    <w:rsid w:val="005E5BDA"/>
    <w:rsid w:val="005E6E2B"/>
    <w:rsid w:val="00606427"/>
    <w:rsid w:val="00623F5E"/>
    <w:rsid w:val="0062661C"/>
    <w:rsid w:val="00647931"/>
    <w:rsid w:val="00661B9C"/>
    <w:rsid w:val="0066258C"/>
    <w:rsid w:val="00662DFD"/>
    <w:rsid w:val="00665CBE"/>
    <w:rsid w:val="006662D6"/>
    <w:rsid w:val="006A741B"/>
    <w:rsid w:val="006C46D1"/>
    <w:rsid w:val="006D391A"/>
    <w:rsid w:val="006E60B2"/>
    <w:rsid w:val="00707C67"/>
    <w:rsid w:val="00714A8B"/>
    <w:rsid w:val="00716A60"/>
    <w:rsid w:val="00725575"/>
    <w:rsid w:val="00726A74"/>
    <w:rsid w:val="00730CCA"/>
    <w:rsid w:val="007451F0"/>
    <w:rsid w:val="00747BC3"/>
    <w:rsid w:val="007654EC"/>
    <w:rsid w:val="007752B6"/>
    <w:rsid w:val="00785B2F"/>
    <w:rsid w:val="007A457C"/>
    <w:rsid w:val="007A4885"/>
    <w:rsid w:val="007A4FC1"/>
    <w:rsid w:val="007A7C90"/>
    <w:rsid w:val="007C015D"/>
    <w:rsid w:val="007D56AE"/>
    <w:rsid w:val="007D6F79"/>
    <w:rsid w:val="007E4BB4"/>
    <w:rsid w:val="007F0786"/>
    <w:rsid w:val="007F2956"/>
    <w:rsid w:val="007F37CC"/>
    <w:rsid w:val="008046DF"/>
    <w:rsid w:val="008109AB"/>
    <w:rsid w:val="00812DF5"/>
    <w:rsid w:val="00844CE0"/>
    <w:rsid w:val="00853814"/>
    <w:rsid w:val="008659D7"/>
    <w:rsid w:val="00867F15"/>
    <w:rsid w:val="00880608"/>
    <w:rsid w:val="00885578"/>
    <w:rsid w:val="00890E81"/>
    <w:rsid w:val="00894A1F"/>
    <w:rsid w:val="008A444F"/>
    <w:rsid w:val="008A540D"/>
    <w:rsid w:val="008A7FEC"/>
    <w:rsid w:val="008B741C"/>
    <w:rsid w:val="008C2491"/>
    <w:rsid w:val="008D4A7B"/>
    <w:rsid w:val="0091344C"/>
    <w:rsid w:val="00921A7B"/>
    <w:rsid w:val="00921C3F"/>
    <w:rsid w:val="0092423B"/>
    <w:rsid w:val="00935696"/>
    <w:rsid w:val="009362EE"/>
    <w:rsid w:val="00951686"/>
    <w:rsid w:val="00963A4C"/>
    <w:rsid w:val="00971B54"/>
    <w:rsid w:val="00980C09"/>
    <w:rsid w:val="00994FC8"/>
    <w:rsid w:val="009C0320"/>
    <w:rsid w:val="009C35DF"/>
    <w:rsid w:val="009D158E"/>
    <w:rsid w:val="009D54CF"/>
    <w:rsid w:val="009E4784"/>
    <w:rsid w:val="00A01FEA"/>
    <w:rsid w:val="00A072EF"/>
    <w:rsid w:val="00A07C00"/>
    <w:rsid w:val="00A40AAE"/>
    <w:rsid w:val="00A47D50"/>
    <w:rsid w:val="00A85472"/>
    <w:rsid w:val="00AA3CA8"/>
    <w:rsid w:val="00AA69AC"/>
    <w:rsid w:val="00AB7819"/>
    <w:rsid w:val="00AC4F9A"/>
    <w:rsid w:val="00AE7C24"/>
    <w:rsid w:val="00AF1DE6"/>
    <w:rsid w:val="00AF331B"/>
    <w:rsid w:val="00AF7EC7"/>
    <w:rsid w:val="00B10680"/>
    <w:rsid w:val="00B629DB"/>
    <w:rsid w:val="00B658FA"/>
    <w:rsid w:val="00B73356"/>
    <w:rsid w:val="00B75B27"/>
    <w:rsid w:val="00B8671A"/>
    <w:rsid w:val="00B87415"/>
    <w:rsid w:val="00B97A40"/>
    <w:rsid w:val="00BB4849"/>
    <w:rsid w:val="00BB5C71"/>
    <w:rsid w:val="00BB6EE1"/>
    <w:rsid w:val="00BC1B5E"/>
    <w:rsid w:val="00BC4F1A"/>
    <w:rsid w:val="00BD2EE3"/>
    <w:rsid w:val="00BD4F11"/>
    <w:rsid w:val="00BE36D7"/>
    <w:rsid w:val="00C061A6"/>
    <w:rsid w:val="00C4007E"/>
    <w:rsid w:val="00C505F9"/>
    <w:rsid w:val="00C65DEA"/>
    <w:rsid w:val="00CA233A"/>
    <w:rsid w:val="00CA5EF3"/>
    <w:rsid w:val="00CC36CA"/>
    <w:rsid w:val="00CD511E"/>
    <w:rsid w:val="00CE0DB9"/>
    <w:rsid w:val="00CE2C50"/>
    <w:rsid w:val="00CF3D70"/>
    <w:rsid w:val="00CF73EA"/>
    <w:rsid w:val="00D16FEE"/>
    <w:rsid w:val="00D26688"/>
    <w:rsid w:val="00D349BA"/>
    <w:rsid w:val="00D62949"/>
    <w:rsid w:val="00D86A46"/>
    <w:rsid w:val="00D97031"/>
    <w:rsid w:val="00DB43A9"/>
    <w:rsid w:val="00DC2D27"/>
    <w:rsid w:val="00DE3452"/>
    <w:rsid w:val="00DE7EC5"/>
    <w:rsid w:val="00E03DBF"/>
    <w:rsid w:val="00E15405"/>
    <w:rsid w:val="00E262C4"/>
    <w:rsid w:val="00E35D5E"/>
    <w:rsid w:val="00E403F3"/>
    <w:rsid w:val="00E60E8E"/>
    <w:rsid w:val="00EA5FB8"/>
    <w:rsid w:val="00EB2A06"/>
    <w:rsid w:val="00EC6C28"/>
    <w:rsid w:val="00EF06E2"/>
    <w:rsid w:val="00EF21EA"/>
    <w:rsid w:val="00F22C0B"/>
    <w:rsid w:val="00F24424"/>
    <w:rsid w:val="00F478B7"/>
    <w:rsid w:val="00F800F1"/>
    <w:rsid w:val="00F80243"/>
    <w:rsid w:val="00F81134"/>
    <w:rsid w:val="00F953F0"/>
    <w:rsid w:val="00F978DF"/>
    <w:rsid w:val="00F97FD9"/>
    <w:rsid w:val="00FA4990"/>
    <w:rsid w:val="00FA7CFE"/>
    <w:rsid w:val="00FB0E92"/>
    <w:rsid w:val="00FD19C8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5">
    <w:name w:val="heading 5"/>
    <w:aliases w:val="1-1-1"/>
    <w:basedOn w:val="Normlny"/>
    <w:next w:val="Normlny"/>
    <w:qFormat/>
    <w:rsid w:val="00AF7EC7"/>
    <w:pPr>
      <w:keepNext/>
      <w:outlineLvl w:val="4"/>
    </w:pPr>
    <w:rPr>
      <w:b/>
      <w:bCs/>
      <w:color w:val="000000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sid w:val="001B453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1B4535"/>
    <w:rPr>
      <w:vertAlign w:val="superscript"/>
    </w:rPr>
  </w:style>
  <w:style w:type="paragraph" w:styleId="Hlavika">
    <w:name w:val="header"/>
    <w:basedOn w:val="Normlny"/>
    <w:rsid w:val="00AF7EC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F7E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9C032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3541B2"/>
  </w:style>
  <w:style w:type="character" w:styleId="Odkaznakomentr">
    <w:name w:val="annotation reference"/>
    <w:basedOn w:val="Predvolenpsmoodseku"/>
    <w:semiHidden/>
    <w:rsid w:val="00447847"/>
    <w:rPr>
      <w:sz w:val="16"/>
      <w:szCs w:val="16"/>
    </w:rPr>
  </w:style>
  <w:style w:type="paragraph" w:styleId="Textkomentra">
    <w:name w:val="annotation text"/>
    <w:basedOn w:val="Normlny"/>
    <w:semiHidden/>
    <w:rsid w:val="00447847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47847"/>
    <w:rPr>
      <w:b/>
      <w:bCs/>
    </w:rPr>
  </w:style>
  <w:style w:type="paragraph" w:customStyle="1" w:styleId="CharChar1">
    <w:name w:val=" Char Char1"/>
    <w:basedOn w:val="Normlny"/>
    <w:rsid w:val="001676DF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CharCharCharCharCharCharCharChar">
    <w:name w:val=" Char Char1 Char Char Char Char Char Char Char Char Char Char"/>
    <w:basedOn w:val="Normlny"/>
    <w:link w:val="Predvolenpsmoodseku"/>
    <w:rsid w:val="00D349BA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CharCharCharCharCharCharCharCharCharCharCharCharCharCharCharChar">
    <w:name w:val=" Char Char Char Char Char Char Char Char Char Char Char Char Char Char Char Char Char Char Char Char Char Char Char"/>
    <w:basedOn w:val="Normlny"/>
    <w:rsid w:val="00AC4F9A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Dokumenty potrebné k schváleniu žiadosti o zúčtovanie zálohovej platby:</vt:lpstr>
      <vt:lpstr>Dokumenty potrebné k schváleniu žiadosti o zúčtovanie zálohovej platby:</vt:lpstr>
    </vt:vector>
  </TitlesOfParts>
  <Company>NADSME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potrebné k schváleniu žiadosti o zúčtovanie zálohovej platby:</dc:title>
  <dc:subject/>
  <dc:creator>nemec</dc:creator>
  <cp:keywords/>
  <dc:description/>
  <cp:lastModifiedBy>hlavata</cp:lastModifiedBy>
  <cp:revision>2</cp:revision>
  <cp:lastPrinted>2009-07-14T10:12:00Z</cp:lastPrinted>
  <dcterms:created xsi:type="dcterms:W3CDTF">2011-07-11T13:29:00Z</dcterms:created>
  <dcterms:modified xsi:type="dcterms:W3CDTF">2011-07-11T13:29:00Z</dcterms:modified>
</cp:coreProperties>
</file>