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16E" w:rsidRPr="00A26D06" w:rsidRDefault="0024416E" w:rsidP="0024416E">
      <w:pPr>
        <w:keepNext/>
        <w:keepLines/>
        <w:spacing w:before="480" w:line="276" w:lineRule="auto"/>
        <w:outlineLvl w:val="0"/>
        <w:rPr>
          <w:b/>
          <w:bCs/>
          <w:sz w:val="28"/>
          <w:szCs w:val="28"/>
          <w:lang w:eastAsia="en-US"/>
        </w:rPr>
      </w:pPr>
      <w:bookmarkStart w:id="0" w:name="_Toc475385081"/>
      <w:r w:rsidRPr="00A26D06">
        <w:rPr>
          <w:b/>
          <w:bCs/>
          <w:sz w:val="28"/>
          <w:szCs w:val="28"/>
          <w:lang w:eastAsia="en-US"/>
        </w:rPr>
        <w:t xml:space="preserve">Príloha č. 4: </w:t>
      </w:r>
      <w:r w:rsidRPr="00A26D06">
        <w:rPr>
          <w:rFonts w:ascii="Cambria" w:hAnsi="Cambria"/>
          <w:b/>
          <w:bCs/>
          <w:sz w:val="28"/>
          <w:szCs w:val="28"/>
          <w:lang w:eastAsia="en-US"/>
        </w:rPr>
        <w:t>Ročná správa o pokroku pri dosahovaní národných cieľov energetickej efektívnosti za rok 2016</w:t>
      </w:r>
      <w:bookmarkEnd w:id="0"/>
    </w:p>
    <w:p w:rsidR="0024416E" w:rsidRPr="00A26D06" w:rsidRDefault="0024416E" w:rsidP="0024416E">
      <w:pPr>
        <w:keepNext/>
        <w:keepLines/>
        <w:spacing w:before="480" w:line="276" w:lineRule="auto"/>
        <w:outlineLvl w:val="0"/>
        <w:rPr>
          <w:rFonts w:ascii="Cambria" w:hAnsi="Cambria"/>
          <w:b/>
          <w:bCs/>
          <w:sz w:val="28"/>
          <w:szCs w:val="28"/>
          <w:lang w:eastAsia="en-US"/>
        </w:rPr>
      </w:pPr>
      <w:bookmarkStart w:id="1" w:name="_Toc475385082"/>
      <w:r w:rsidRPr="00A26D06">
        <w:rPr>
          <w:rFonts w:ascii="Cambria" w:hAnsi="Cambria"/>
          <w:b/>
          <w:bCs/>
          <w:sz w:val="28"/>
          <w:szCs w:val="28"/>
          <w:lang w:eastAsia="en-US"/>
        </w:rPr>
        <w:t>1. Základné štatistické údaje k energetickej efektívnosti</w:t>
      </w:r>
      <w:bookmarkEnd w:id="1"/>
      <w:r w:rsidRPr="00A26D06">
        <w:rPr>
          <w:rFonts w:ascii="Cambria" w:hAnsi="Cambria"/>
          <w:b/>
          <w:bCs/>
          <w:sz w:val="28"/>
          <w:szCs w:val="28"/>
          <w:lang w:eastAsia="en-US"/>
        </w:rPr>
        <w:t xml:space="preserve">  </w:t>
      </w:r>
    </w:p>
    <w:p w:rsidR="0024416E" w:rsidRPr="00A459B8" w:rsidRDefault="0024416E" w:rsidP="0024416E">
      <w:pPr>
        <w:spacing w:after="200" w:line="276" w:lineRule="auto"/>
        <w:rPr>
          <w:rFonts w:eastAsia="Calibri"/>
          <w:sz w:val="24"/>
          <w:szCs w:val="24"/>
          <w:lang w:eastAsia="en-US"/>
        </w:rPr>
      </w:pPr>
      <w:r w:rsidRPr="00A459B8">
        <w:rPr>
          <w:rFonts w:eastAsia="Calibri"/>
          <w:sz w:val="24"/>
          <w:szCs w:val="24"/>
          <w:lang w:eastAsia="en-US"/>
        </w:rPr>
        <w:t>Tabuľka č. 1: Základné údaje k energetickej efektívnosti za roky 2014 a 2015</w:t>
      </w:r>
    </w:p>
    <w:tbl>
      <w:tblPr>
        <w:tblW w:w="9062" w:type="dxa"/>
        <w:tblCellMar>
          <w:left w:w="70" w:type="dxa"/>
          <w:right w:w="70" w:type="dxa"/>
        </w:tblCellMar>
        <w:tblLook w:val="04A0" w:firstRow="1" w:lastRow="0" w:firstColumn="1" w:lastColumn="0" w:noHBand="0" w:noVBand="1"/>
      </w:tblPr>
      <w:tblGrid>
        <w:gridCol w:w="4581"/>
        <w:gridCol w:w="1197"/>
        <w:gridCol w:w="1113"/>
        <w:gridCol w:w="1197"/>
        <w:gridCol w:w="974"/>
      </w:tblGrid>
      <w:tr w:rsidR="0024416E" w:rsidRPr="00A459B8" w:rsidTr="00A26D06">
        <w:trPr>
          <w:trHeight w:val="300"/>
        </w:trPr>
        <w:tc>
          <w:tcPr>
            <w:tcW w:w="4581" w:type="dxa"/>
            <w:vMerge w:val="restart"/>
            <w:tcBorders>
              <w:top w:val="single" w:sz="4" w:space="0" w:color="auto"/>
              <w:left w:val="single" w:sz="4" w:space="0" w:color="auto"/>
              <w:right w:val="nil"/>
            </w:tcBorders>
            <w:shd w:val="clear" w:color="auto" w:fill="BFBFBF"/>
            <w:noWrap/>
            <w:vAlign w:val="bottom"/>
            <w:hideMark/>
          </w:tcPr>
          <w:p w:rsidR="0024416E" w:rsidRPr="00A459B8" w:rsidRDefault="0024416E" w:rsidP="00A26D06">
            <w:pPr>
              <w:jc w:val="center"/>
              <w:rPr>
                <w:sz w:val="24"/>
                <w:szCs w:val="24"/>
              </w:rPr>
            </w:pPr>
            <w:r w:rsidRPr="00A459B8">
              <w:rPr>
                <w:b/>
                <w:bCs/>
                <w:color w:val="000000"/>
                <w:sz w:val="18"/>
                <w:szCs w:val="18"/>
              </w:rPr>
              <w:t>Ukazovateľ</w:t>
            </w:r>
          </w:p>
        </w:tc>
        <w:tc>
          <w:tcPr>
            <w:tcW w:w="2310" w:type="dxa"/>
            <w:gridSpan w:val="2"/>
            <w:tcBorders>
              <w:top w:val="single" w:sz="4" w:space="0" w:color="auto"/>
              <w:left w:val="single" w:sz="4" w:space="0" w:color="auto"/>
              <w:bottom w:val="single" w:sz="4" w:space="0" w:color="auto"/>
              <w:right w:val="single" w:sz="4" w:space="0" w:color="auto"/>
            </w:tcBorders>
            <w:shd w:val="clear" w:color="auto" w:fill="BFBFBF"/>
            <w:noWrap/>
            <w:vAlign w:val="bottom"/>
            <w:hideMark/>
          </w:tcPr>
          <w:p w:rsidR="0024416E" w:rsidRPr="00A459B8" w:rsidRDefault="0024416E" w:rsidP="00A26D06">
            <w:pPr>
              <w:jc w:val="center"/>
              <w:rPr>
                <w:b/>
                <w:color w:val="000000"/>
                <w:sz w:val="22"/>
                <w:szCs w:val="22"/>
              </w:rPr>
            </w:pPr>
            <w:proofErr w:type="spellStart"/>
            <w:r w:rsidRPr="00A459B8">
              <w:rPr>
                <w:b/>
                <w:color w:val="000000"/>
                <w:sz w:val="22"/>
                <w:szCs w:val="22"/>
              </w:rPr>
              <w:t>Eurostat</w:t>
            </w:r>
            <w:proofErr w:type="spellEnd"/>
          </w:p>
        </w:tc>
        <w:tc>
          <w:tcPr>
            <w:tcW w:w="2171" w:type="dxa"/>
            <w:gridSpan w:val="2"/>
            <w:tcBorders>
              <w:top w:val="single" w:sz="4" w:space="0" w:color="auto"/>
              <w:left w:val="nil"/>
              <w:bottom w:val="single" w:sz="4" w:space="0" w:color="auto"/>
              <w:right w:val="single" w:sz="4" w:space="0" w:color="auto"/>
            </w:tcBorders>
            <w:shd w:val="clear" w:color="auto" w:fill="BFBFBF"/>
            <w:noWrap/>
            <w:vAlign w:val="bottom"/>
            <w:hideMark/>
          </w:tcPr>
          <w:p w:rsidR="0024416E" w:rsidRPr="00A459B8" w:rsidRDefault="0024416E" w:rsidP="00A26D06">
            <w:pPr>
              <w:jc w:val="center"/>
              <w:rPr>
                <w:b/>
                <w:color w:val="000000"/>
                <w:sz w:val="22"/>
                <w:szCs w:val="22"/>
              </w:rPr>
            </w:pPr>
            <w:r w:rsidRPr="00A459B8">
              <w:rPr>
                <w:b/>
                <w:color w:val="000000"/>
                <w:sz w:val="22"/>
                <w:szCs w:val="22"/>
              </w:rPr>
              <w:t>ŠÚSR</w:t>
            </w:r>
          </w:p>
        </w:tc>
      </w:tr>
      <w:tr w:rsidR="0024416E" w:rsidRPr="00A459B8" w:rsidTr="00A26D06">
        <w:trPr>
          <w:trHeight w:val="300"/>
        </w:trPr>
        <w:tc>
          <w:tcPr>
            <w:tcW w:w="4581" w:type="dxa"/>
            <w:vMerge/>
            <w:tcBorders>
              <w:left w:val="single" w:sz="4" w:space="0" w:color="auto"/>
              <w:bottom w:val="single" w:sz="4" w:space="0" w:color="auto"/>
              <w:right w:val="single" w:sz="4" w:space="0" w:color="auto"/>
            </w:tcBorders>
            <w:shd w:val="clear" w:color="000000" w:fill="BFBFBF"/>
            <w:noWrap/>
            <w:vAlign w:val="center"/>
            <w:hideMark/>
          </w:tcPr>
          <w:p w:rsidR="0024416E" w:rsidRPr="00A459B8" w:rsidRDefault="0024416E" w:rsidP="00A26D06">
            <w:pPr>
              <w:rPr>
                <w:b/>
                <w:bCs/>
                <w:color w:val="000000"/>
                <w:sz w:val="18"/>
                <w:szCs w:val="18"/>
              </w:rPr>
            </w:pPr>
          </w:p>
        </w:tc>
        <w:tc>
          <w:tcPr>
            <w:tcW w:w="1197" w:type="dxa"/>
            <w:tcBorders>
              <w:top w:val="single" w:sz="4" w:space="0" w:color="auto"/>
              <w:left w:val="nil"/>
              <w:bottom w:val="single" w:sz="4" w:space="0" w:color="auto"/>
              <w:right w:val="single" w:sz="4" w:space="0" w:color="auto"/>
            </w:tcBorders>
            <w:shd w:val="clear" w:color="000000" w:fill="BFBFBF"/>
            <w:vAlign w:val="center"/>
            <w:hideMark/>
          </w:tcPr>
          <w:p w:rsidR="0024416E" w:rsidRPr="00A459B8" w:rsidRDefault="0024416E" w:rsidP="00A26D06">
            <w:pPr>
              <w:jc w:val="right"/>
              <w:rPr>
                <w:b/>
                <w:bCs/>
                <w:color w:val="000000"/>
                <w:sz w:val="18"/>
                <w:szCs w:val="18"/>
              </w:rPr>
            </w:pPr>
            <w:r w:rsidRPr="00A459B8">
              <w:rPr>
                <w:b/>
                <w:bCs/>
                <w:color w:val="000000"/>
                <w:sz w:val="18"/>
                <w:szCs w:val="18"/>
              </w:rPr>
              <w:t>2014</w:t>
            </w:r>
          </w:p>
        </w:tc>
        <w:tc>
          <w:tcPr>
            <w:tcW w:w="1113" w:type="dxa"/>
            <w:tcBorders>
              <w:top w:val="single" w:sz="4" w:space="0" w:color="auto"/>
              <w:left w:val="nil"/>
              <w:bottom w:val="single" w:sz="4" w:space="0" w:color="auto"/>
              <w:right w:val="single" w:sz="4" w:space="0" w:color="auto"/>
            </w:tcBorders>
            <w:shd w:val="clear" w:color="000000" w:fill="BFBFBF"/>
            <w:vAlign w:val="center"/>
            <w:hideMark/>
          </w:tcPr>
          <w:p w:rsidR="0024416E" w:rsidRPr="00A459B8" w:rsidRDefault="0024416E" w:rsidP="00A26D06">
            <w:pPr>
              <w:jc w:val="right"/>
              <w:rPr>
                <w:b/>
                <w:bCs/>
                <w:color w:val="000000"/>
                <w:sz w:val="18"/>
                <w:szCs w:val="18"/>
              </w:rPr>
            </w:pPr>
            <w:r w:rsidRPr="00A459B8">
              <w:rPr>
                <w:b/>
                <w:bCs/>
                <w:color w:val="000000"/>
                <w:sz w:val="18"/>
                <w:szCs w:val="18"/>
              </w:rPr>
              <w:t>2015</w:t>
            </w:r>
            <w:r>
              <w:rPr>
                <w:b/>
                <w:bCs/>
                <w:color w:val="000000"/>
                <w:sz w:val="18"/>
                <w:szCs w:val="18"/>
              </w:rPr>
              <w:t>****</w:t>
            </w:r>
          </w:p>
        </w:tc>
        <w:tc>
          <w:tcPr>
            <w:tcW w:w="1197" w:type="dxa"/>
            <w:tcBorders>
              <w:top w:val="single" w:sz="4" w:space="0" w:color="auto"/>
              <w:left w:val="nil"/>
              <w:bottom w:val="single" w:sz="4" w:space="0" w:color="auto"/>
              <w:right w:val="single" w:sz="4" w:space="0" w:color="auto"/>
            </w:tcBorders>
            <w:shd w:val="clear" w:color="000000" w:fill="BFBFBF"/>
            <w:vAlign w:val="center"/>
            <w:hideMark/>
          </w:tcPr>
          <w:p w:rsidR="0024416E" w:rsidRPr="00A459B8" w:rsidRDefault="0024416E" w:rsidP="00A26D06">
            <w:pPr>
              <w:jc w:val="right"/>
              <w:rPr>
                <w:b/>
                <w:bCs/>
                <w:color w:val="000000"/>
                <w:sz w:val="18"/>
                <w:szCs w:val="18"/>
              </w:rPr>
            </w:pPr>
            <w:r w:rsidRPr="00A459B8">
              <w:rPr>
                <w:b/>
                <w:bCs/>
                <w:color w:val="000000"/>
                <w:sz w:val="18"/>
                <w:szCs w:val="18"/>
              </w:rPr>
              <w:t>2014</w:t>
            </w:r>
          </w:p>
        </w:tc>
        <w:tc>
          <w:tcPr>
            <w:tcW w:w="974" w:type="dxa"/>
            <w:tcBorders>
              <w:top w:val="single" w:sz="4" w:space="0" w:color="auto"/>
              <w:left w:val="nil"/>
              <w:bottom w:val="single" w:sz="4" w:space="0" w:color="auto"/>
              <w:right w:val="single" w:sz="4" w:space="0" w:color="auto"/>
            </w:tcBorders>
            <w:shd w:val="clear" w:color="000000" w:fill="BFBFBF"/>
            <w:vAlign w:val="center"/>
            <w:hideMark/>
          </w:tcPr>
          <w:p w:rsidR="0024416E" w:rsidRPr="00A459B8" w:rsidRDefault="0024416E" w:rsidP="00A26D06">
            <w:pPr>
              <w:jc w:val="right"/>
              <w:rPr>
                <w:b/>
                <w:bCs/>
                <w:color w:val="000000"/>
                <w:sz w:val="18"/>
                <w:szCs w:val="18"/>
              </w:rPr>
            </w:pPr>
            <w:r w:rsidRPr="00A459B8">
              <w:rPr>
                <w:b/>
                <w:bCs/>
                <w:color w:val="000000"/>
                <w:sz w:val="18"/>
                <w:szCs w:val="18"/>
              </w:rPr>
              <w:t>2015</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Primárna energetická spotreba</w:t>
            </w:r>
            <w:r w:rsidRPr="00A459B8">
              <w:rPr>
                <w:color w:val="000000"/>
                <w:sz w:val="18"/>
                <w:szCs w:val="18"/>
                <w:vertAlign w:val="superscript"/>
              </w:rPr>
              <w:t>1)</w:t>
            </w:r>
            <w:r w:rsidRPr="00A459B8">
              <w:rPr>
                <w:color w:val="000000"/>
                <w:sz w:val="18"/>
                <w:szCs w:val="18"/>
              </w:rPr>
              <w:t xml:space="preserve"> (</w:t>
            </w:r>
            <w:proofErr w:type="spellStart"/>
            <w:r w:rsidRPr="00A459B8">
              <w:rPr>
                <w:color w:val="000000"/>
                <w:sz w:val="18"/>
                <w:szCs w:val="18"/>
              </w:rPr>
              <w:t>ktoe</w:t>
            </w:r>
            <w:proofErr w:type="spellEnd"/>
            <w:r w:rsidRPr="00A459B8">
              <w:rPr>
                <w:color w:val="000000"/>
                <w:sz w:val="18"/>
                <w:szCs w:val="18"/>
              </w:rPr>
              <w:t>)</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15 252</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14 975</w:t>
            </w:r>
          </w:p>
        </w:tc>
        <w:tc>
          <w:tcPr>
            <w:tcW w:w="974"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15 276</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Konečná energetická spotreba (</w:t>
            </w:r>
            <w:proofErr w:type="spellStart"/>
            <w:r w:rsidRPr="00A459B8">
              <w:rPr>
                <w:color w:val="000000"/>
                <w:sz w:val="18"/>
                <w:szCs w:val="18"/>
              </w:rPr>
              <w:t>ktoe</w:t>
            </w:r>
            <w:proofErr w:type="spellEnd"/>
            <w:r w:rsidRPr="00A459B8">
              <w:rPr>
                <w:color w:val="000000"/>
                <w:sz w:val="18"/>
                <w:szCs w:val="18"/>
              </w:rPr>
              <w:t>)</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10 057</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8 711</w:t>
            </w:r>
          </w:p>
        </w:tc>
        <w:tc>
          <w:tcPr>
            <w:tcW w:w="974"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9 146</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Konečná energetická spotreba – priemysel (</w:t>
            </w:r>
            <w:proofErr w:type="spellStart"/>
            <w:r w:rsidRPr="00A459B8">
              <w:rPr>
                <w:color w:val="000000"/>
                <w:sz w:val="18"/>
                <w:szCs w:val="18"/>
              </w:rPr>
              <w:t>ktoe</w:t>
            </w:r>
            <w:proofErr w:type="spellEnd"/>
            <w:r w:rsidRPr="00A459B8">
              <w:rPr>
                <w:color w:val="000000"/>
                <w:sz w:val="18"/>
                <w:szCs w:val="18"/>
              </w:rPr>
              <w:t>)</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4 449</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3 220</w:t>
            </w:r>
          </w:p>
        </w:tc>
        <w:tc>
          <w:tcPr>
            <w:tcW w:w="974"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3 315</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Konečná energetická spotreba – doprava (</w:t>
            </w:r>
            <w:proofErr w:type="spellStart"/>
            <w:r w:rsidRPr="00A459B8">
              <w:rPr>
                <w:color w:val="000000"/>
                <w:sz w:val="18"/>
                <w:szCs w:val="18"/>
              </w:rPr>
              <w:t>ktoe</w:t>
            </w:r>
            <w:proofErr w:type="spellEnd"/>
            <w:r w:rsidRPr="00A459B8">
              <w:rPr>
                <w:color w:val="000000"/>
                <w:sz w:val="18"/>
                <w:szCs w:val="18"/>
              </w:rPr>
              <w:t xml:space="preserve">) </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2 212*</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2 168</w:t>
            </w:r>
          </w:p>
        </w:tc>
        <w:tc>
          <w:tcPr>
            <w:tcW w:w="974"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2 169</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Konečná energetická spotreba – domácnosti (</w:t>
            </w:r>
            <w:proofErr w:type="spellStart"/>
            <w:r w:rsidRPr="00A459B8">
              <w:rPr>
                <w:color w:val="000000"/>
                <w:sz w:val="18"/>
                <w:szCs w:val="18"/>
              </w:rPr>
              <w:t>ktoe</w:t>
            </w:r>
            <w:proofErr w:type="spellEnd"/>
            <w:r w:rsidRPr="00A459B8">
              <w:rPr>
                <w:color w:val="000000"/>
                <w:sz w:val="18"/>
                <w:szCs w:val="18"/>
              </w:rPr>
              <w:t xml:space="preserve">) </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1 952</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1 952</w:t>
            </w:r>
          </w:p>
        </w:tc>
        <w:tc>
          <w:tcPr>
            <w:tcW w:w="974"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1 988</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Konečná energetická spotreba –</w:t>
            </w:r>
            <w:r w:rsidR="008978D6">
              <w:rPr>
                <w:color w:val="000000"/>
                <w:sz w:val="18"/>
                <w:szCs w:val="18"/>
              </w:rPr>
              <w:t xml:space="preserve"> obchod a</w:t>
            </w:r>
            <w:r w:rsidRPr="00A459B8">
              <w:rPr>
                <w:color w:val="000000"/>
                <w:sz w:val="18"/>
                <w:szCs w:val="18"/>
              </w:rPr>
              <w:t xml:space="preserve"> služby (</w:t>
            </w:r>
            <w:proofErr w:type="spellStart"/>
            <w:r w:rsidRPr="00A459B8">
              <w:rPr>
                <w:color w:val="000000"/>
                <w:sz w:val="18"/>
                <w:szCs w:val="18"/>
              </w:rPr>
              <w:t>ktoe</w:t>
            </w:r>
            <w:proofErr w:type="spellEnd"/>
            <w:r w:rsidRPr="00A459B8">
              <w:rPr>
                <w:color w:val="000000"/>
                <w:sz w:val="18"/>
                <w:szCs w:val="18"/>
              </w:rPr>
              <w:t>)</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1 308</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1 233</w:t>
            </w:r>
          </w:p>
        </w:tc>
        <w:tc>
          <w:tcPr>
            <w:tcW w:w="974"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1 523</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Konečná energetická spotreba – pôdohospodárstvo (</w:t>
            </w:r>
            <w:proofErr w:type="spellStart"/>
            <w:r w:rsidRPr="00A459B8">
              <w:rPr>
                <w:color w:val="000000"/>
                <w:sz w:val="18"/>
                <w:szCs w:val="18"/>
              </w:rPr>
              <w:t>ktoe</w:t>
            </w:r>
            <w:proofErr w:type="spellEnd"/>
            <w:r w:rsidRPr="00A459B8">
              <w:rPr>
                <w:color w:val="000000"/>
                <w:sz w:val="18"/>
                <w:szCs w:val="18"/>
              </w:rPr>
              <w:t>)</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137</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137</w:t>
            </w:r>
          </w:p>
        </w:tc>
        <w:tc>
          <w:tcPr>
            <w:tcW w:w="974"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150</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tcPr>
          <w:p w:rsidR="0024416E" w:rsidRPr="00A459B8" w:rsidRDefault="0024416E" w:rsidP="00A26D06">
            <w:pPr>
              <w:rPr>
                <w:color w:val="000000"/>
                <w:sz w:val="18"/>
                <w:szCs w:val="18"/>
              </w:rPr>
            </w:pPr>
            <w:r w:rsidRPr="00A459B8">
              <w:rPr>
                <w:color w:val="000000"/>
                <w:sz w:val="18"/>
                <w:szCs w:val="18"/>
              </w:rPr>
              <w:t>Hrubá pridaná hodnota – priemysel (NACE Rev.2 B-F) - mil. E</w:t>
            </w:r>
            <w:r>
              <w:rPr>
                <w:color w:val="000000"/>
                <w:sz w:val="18"/>
                <w:szCs w:val="18"/>
              </w:rPr>
              <w:t>ur</w:t>
            </w:r>
            <w:r w:rsidRPr="00A459B8">
              <w:rPr>
                <w:color w:val="000000"/>
                <w:sz w:val="18"/>
                <w:szCs w:val="18"/>
              </w:rPr>
              <w:t xml:space="preserve"> v stálych cenách</w:t>
            </w:r>
            <w:r w:rsidRPr="00A459B8">
              <w:rPr>
                <w:color w:val="000000"/>
                <w:sz w:val="18"/>
                <w:szCs w:val="18"/>
                <w:vertAlign w:val="superscript"/>
              </w:rPr>
              <w:t>2)</w:t>
            </w:r>
          </w:p>
        </w:tc>
        <w:tc>
          <w:tcPr>
            <w:tcW w:w="1197" w:type="dxa"/>
            <w:tcBorders>
              <w:top w:val="nil"/>
              <w:left w:val="nil"/>
              <w:bottom w:val="single" w:sz="4" w:space="0" w:color="auto"/>
              <w:right w:val="single" w:sz="4" w:space="0" w:color="auto"/>
            </w:tcBorders>
            <w:shd w:val="clear" w:color="auto" w:fill="auto"/>
            <w:noWrap/>
            <w:vAlign w:val="bottom"/>
          </w:tcPr>
          <w:p w:rsidR="0024416E" w:rsidRPr="008A49E9" w:rsidRDefault="0024416E" w:rsidP="00A26D06">
            <w:pPr>
              <w:jc w:val="right"/>
              <w:rPr>
                <w:color w:val="000000"/>
                <w:sz w:val="18"/>
                <w:szCs w:val="18"/>
              </w:rPr>
            </w:pPr>
            <w:r w:rsidRPr="00A26D06">
              <w:rPr>
                <w:color w:val="000000"/>
                <w:sz w:val="18"/>
                <w:szCs w:val="18"/>
              </w:rPr>
              <w:t>24 277</w:t>
            </w:r>
          </w:p>
        </w:tc>
        <w:tc>
          <w:tcPr>
            <w:tcW w:w="1113" w:type="dxa"/>
            <w:tcBorders>
              <w:top w:val="nil"/>
              <w:left w:val="nil"/>
              <w:bottom w:val="single" w:sz="4" w:space="0" w:color="auto"/>
              <w:right w:val="single" w:sz="4" w:space="0" w:color="auto"/>
            </w:tcBorders>
            <w:shd w:val="clear" w:color="auto" w:fill="auto"/>
            <w:noWrap/>
            <w:vAlign w:val="bottom"/>
          </w:tcPr>
          <w:p w:rsidR="0024416E" w:rsidRPr="008A49E9" w:rsidRDefault="0024416E" w:rsidP="00A26D06">
            <w:pPr>
              <w:jc w:val="right"/>
              <w:rPr>
                <w:color w:val="000000"/>
                <w:sz w:val="18"/>
                <w:szCs w:val="18"/>
              </w:rPr>
            </w:pPr>
            <w:r w:rsidRPr="00A26D06">
              <w:rPr>
                <w:color w:val="000000"/>
                <w:sz w:val="18"/>
                <w:szCs w:val="18"/>
              </w:rPr>
              <w:t>26 133</w:t>
            </w:r>
          </w:p>
        </w:tc>
        <w:tc>
          <w:tcPr>
            <w:tcW w:w="1197" w:type="dxa"/>
            <w:tcBorders>
              <w:top w:val="nil"/>
              <w:left w:val="nil"/>
              <w:bottom w:val="single" w:sz="4" w:space="0" w:color="auto"/>
              <w:right w:val="single" w:sz="4" w:space="0" w:color="auto"/>
            </w:tcBorders>
            <w:shd w:val="clear" w:color="auto" w:fill="auto"/>
            <w:noWrap/>
            <w:vAlign w:val="bottom"/>
          </w:tcPr>
          <w:p w:rsidR="0024416E" w:rsidRPr="008A49E9" w:rsidRDefault="0024416E" w:rsidP="00A26D06">
            <w:pPr>
              <w:jc w:val="right"/>
              <w:rPr>
                <w:color w:val="000000"/>
                <w:sz w:val="18"/>
                <w:szCs w:val="18"/>
              </w:rPr>
            </w:pPr>
            <w:r w:rsidRPr="00A26D06">
              <w:rPr>
                <w:color w:val="000000"/>
                <w:sz w:val="18"/>
                <w:szCs w:val="18"/>
              </w:rPr>
              <w:t>24 277</w:t>
            </w:r>
          </w:p>
        </w:tc>
        <w:tc>
          <w:tcPr>
            <w:tcW w:w="974" w:type="dxa"/>
            <w:tcBorders>
              <w:top w:val="nil"/>
              <w:left w:val="nil"/>
              <w:bottom w:val="single" w:sz="4" w:space="0" w:color="auto"/>
              <w:right w:val="single" w:sz="4" w:space="0" w:color="auto"/>
            </w:tcBorders>
            <w:shd w:val="clear" w:color="auto" w:fill="auto"/>
            <w:noWrap/>
            <w:vAlign w:val="bottom"/>
          </w:tcPr>
          <w:p w:rsidR="0024416E" w:rsidRPr="008A49E9" w:rsidRDefault="0024416E" w:rsidP="00A26D06">
            <w:pPr>
              <w:jc w:val="right"/>
              <w:rPr>
                <w:color w:val="000000"/>
                <w:sz w:val="18"/>
                <w:szCs w:val="18"/>
              </w:rPr>
            </w:pPr>
            <w:r w:rsidRPr="00A26D06">
              <w:rPr>
                <w:color w:val="000000"/>
                <w:sz w:val="18"/>
                <w:szCs w:val="18"/>
              </w:rPr>
              <w:t>26 133</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tcPr>
          <w:p w:rsidR="0024416E" w:rsidRPr="00A459B8" w:rsidRDefault="0024416E" w:rsidP="00A26D06">
            <w:pPr>
              <w:rPr>
                <w:color w:val="000000"/>
                <w:sz w:val="18"/>
                <w:szCs w:val="18"/>
              </w:rPr>
            </w:pPr>
            <w:r w:rsidRPr="00A459B8">
              <w:rPr>
                <w:color w:val="000000"/>
                <w:sz w:val="18"/>
                <w:szCs w:val="18"/>
              </w:rPr>
              <w:t>Hrubá pridaná hodnota – služby (NACE Rev.2 G-U)  - mil. E</w:t>
            </w:r>
            <w:r>
              <w:rPr>
                <w:color w:val="000000"/>
                <w:sz w:val="18"/>
                <w:szCs w:val="18"/>
              </w:rPr>
              <w:t>ur</w:t>
            </w:r>
            <w:r w:rsidR="00690E45">
              <w:rPr>
                <w:color w:val="000000"/>
                <w:sz w:val="18"/>
                <w:szCs w:val="18"/>
              </w:rPr>
              <w:t xml:space="preserve"> </w:t>
            </w:r>
            <w:r w:rsidRPr="00A459B8">
              <w:rPr>
                <w:color w:val="000000"/>
                <w:sz w:val="18"/>
                <w:szCs w:val="18"/>
              </w:rPr>
              <w:t>v stálych cenách</w:t>
            </w:r>
            <w:r w:rsidRPr="00A459B8">
              <w:rPr>
                <w:color w:val="000000"/>
                <w:sz w:val="18"/>
                <w:szCs w:val="18"/>
                <w:vertAlign w:val="superscript"/>
              </w:rPr>
              <w:t>2)</w:t>
            </w:r>
          </w:p>
        </w:tc>
        <w:tc>
          <w:tcPr>
            <w:tcW w:w="1197" w:type="dxa"/>
            <w:tcBorders>
              <w:top w:val="nil"/>
              <w:left w:val="nil"/>
              <w:bottom w:val="single" w:sz="4" w:space="0" w:color="auto"/>
              <w:right w:val="single" w:sz="4" w:space="0" w:color="auto"/>
            </w:tcBorders>
            <w:shd w:val="clear" w:color="auto" w:fill="auto"/>
            <w:noWrap/>
            <w:vAlign w:val="bottom"/>
          </w:tcPr>
          <w:p w:rsidR="0024416E" w:rsidRPr="008A49E9" w:rsidRDefault="0024416E" w:rsidP="00A26D06">
            <w:pPr>
              <w:jc w:val="right"/>
              <w:rPr>
                <w:color w:val="000000"/>
                <w:sz w:val="18"/>
                <w:szCs w:val="18"/>
              </w:rPr>
            </w:pPr>
            <w:r w:rsidRPr="00A26D06">
              <w:rPr>
                <w:color w:val="000000"/>
                <w:sz w:val="18"/>
                <w:szCs w:val="18"/>
              </w:rPr>
              <w:t>39 381</w:t>
            </w:r>
          </w:p>
        </w:tc>
        <w:tc>
          <w:tcPr>
            <w:tcW w:w="1113" w:type="dxa"/>
            <w:tcBorders>
              <w:top w:val="nil"/>
              <w:left w:val="nil"/>
              <w:bottom w:val="single" w:sz="4" w:space="0" w:color="auto"/>
              <w:right w:val="single" w:sz="4" w:space="0" w:color="auto"/>
            </w:tcBorders>
            <w:shd w:val="clear" w:color="auto" w:fill="auto"/>
            <w:noWrap/>
            <w:vAlign w:val="bottom"/>
          </w:tcPr>
          <w:p w:rsidR="0024416E" w:rsidRPr="008A49E9" w:rsidRDefault="0024416E" w:rsidP="00A26D06">
            <w:pPr>
              <w:jc w:val="right"/>
              <w:rPr>
                <w:color w:val="000000"/>
                <w:sz w:val="18"/>
                <w:szCs w:val="18"/>
              </w:rPr>
            </w:pPr>
            <w:r w:rsidRPr="00A26D06">
              <w:rPr>
                <w:color w:val="000000"/>
                <w:sz w:val="18"/>
                <w:szCs w:val="18"/>
              </w:rPr>
              <w:t>40 317</w:t>
            </w:r>
          </w:p>
        </w:tc>
        <w:tc>
          <w:tcPr>
            <w:tcW w:w="1197" w:type="dxa"/>
            <w:tcBorders>
              <w:top w:val="nil"/>
              <w:left w:val="nil"/>
              <w:bottom w:val="single" w:sz="4" w:space="0" w:color="auto"/>
              <w:right w:val="single" w:sz="4" w:space="0" w:color="auto"/>
            </w:tcBorders>
            <w:shd w:val="clear" w:color="auto" w:fill="auto"/>
            <w:noWrap/>
            <w:vAlign w:val="bottom"/>
          </w:tcPr>
          <w:p w:rsidR="0024416E" w:rsidRPr="008A49E9" w:rsidRDefault="0024416E" w:rsidP="00A26D06">
            <w:pPr>
              <w:jc w:val="right"/>
              <w:rPr>
                <w:color w:val="000000"/>
                <w:sz w:val="18"/>
                <w:szCs w:val="18"/>
              </w:rPr>
            </w:pPr>
            <w:r w:rsidRPr="00A26D06">
              <w:rPr>
                <w:color w:val="000000"/>
                <w:sz w:val="18"/>
                <w:szCs w:val="18"/>
              </w:rPr>
              <w:t>39 381</w:t>
            </w:r>
          </w:p>
        </w:tc>
        <w:tc>
          <w:tcPr>
            <w:tcW w:w="974" w:type="dxa"/>
            <w:tcBorders>
              <w:top w:val="nil"/>
              <w:left w:val="nil"/>
              <w:bottom w:val="single" w:sz="4" w:space="0" w:color="auto"/>
              <w:right w:val="single" w:sz="4" w:space="0" w:color="auto"/>
            </w:tcBorders>
            <w:shd w:val="clear" w:color="auto" w:fill="auto"/>
            <w:noWrap/>
            <w:vAlign w:val="bottom"/>
          </w:tcPr>
          <w:p w:rsidR="0024416E" w:rsidRPr="008A49E9" w:rsidRDefault="0024416E" w:rsidP="00A26D06">
            <w:pPr>
              <w:jc w:val="right"/>
              <w:rPr>
                <w:color w:val="000000"/>
                <w:sz w:val="18"/>
                <w:szCs w:val="18"/>
              </w:rPr>
            </w:pPr>
            <w:r w:rsidRPr="00A26D06">
              <w:rPr>
                <w:color w:val="000000"/>
                <w:sz w:val="18"/>
                <w:szCs w:val="18"/>
              </w:rPr>
              <w:t>40 317</w:t>
            </w:r>
          </w:p>
        </w:tc>
      </w:tr>
      <w:tr w:rsidR="0024416E" w:rsidRPr="00A459B8" w:rsidTr="00A26D06">
        <w:trPr>
          <w:trHeight w:val="300"/>
        </w:trPr>
        <w:tc>
          <w:tcPr>
            <w:tcW w:w="45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416E" w:rsidRPr="00A459B8" w:rsidRDefault="0024416E" w:rsidP="00A26D06">
            <w:pPr>
              <w:rPr>
                <w:color w:val="000000"/>
                <w:sz w:val="18"/>
                <w:szCs w:val="18"/>
              </w:rPr>
            </w:pPr>
            <w:r w:rsidRPr="00A459B8">
              <w:rPr>
                <w:color w:val="000000"/>
                <w:sz w:val="18"/>
                <w:szCs w:val="18"/>
              </w:rPr>
              <w:t>Hrubý disponibilný dôchodok (mil. E</w:t>
            </w:r>
            <w:r>
              <w:rPr>
                <w:color w:val="000000"/>
                <w:sz w:val="18"/>
                <w:szCs w:val="18"/>
              </w:rPr>
              <w:t>ur</w:t>
            </w:r>
            <w:r w:rsidRPr="00A459B8">
              <w:rPr>
                <w:color w:val="000000"/>
                <w:sz w:val="18"/>
                <w:szCs w:val="18"/>
              </w:rPr>
              <w:t>)</w:t>
            </w:r>
          </w:p>
        </w:tc>
        <w:tc>
          <w:tcPr>
            <w:tcW w:w="1197" w:type="dxa"/>
            <w:tcBorders>
              <w:top w:val="nil"/>
              <w:left w:val="nil"/>
              <w:bottom w:val="single" w:sz="4" w:space="0" w:color="auto"/>
              <w:right w:val="single" w:sz="4" w:space="0" w:color="auto"/>
            </w:tcBorders>
            <w:shd w:val="clear" w:color="auto" w:fill="auto"/>
            <w:noWrap/>
            <w:vAlign w:val="bottom"/>
          </w:tcPr>
          <w:p w:rsidR="0024416E" w:rsidRPr="008A49E9" w:rsidRDefault="0024416E" w:rsidP="00A26D06">
            <w:pPr>
              <w:jc w:val="right"/>
              <w:rPr>
                <w:color w:val="000000"/>
                <w:sz w:val="18"/>
                <w:szCs w:val="18"/>
              </w:rPr>
            </w:pPr>
            <w:r w:rsidRPr="00A26D06">
              <w:rPr>
                <w:color w:val="000000"/>
                <w:sz w:val="18"/>
                <w:szCs w:val="18"/>
              </w:rPr>
              <w:t> 45 067</w:t>
            </w:r>
          </w:p>
        </w:tc>
        <w:tc>
          <w:tcPr>
            <w:tcW w:w="1113" w:type="dxa"/>
            <w:tcBorders>
              <w:top w:val="nil"/>
              <w:left w:val="nil"/>
              <w:bottom w:val="single" w:sz="4" w:space="0" w:color="auto"/>
              <w:right w:val="single" w:sz="4" w:space="0" w:color="auto"/>
            </w:tcBorders>
            <w:shd w:val="clear" w:color="auto" w:fill="auto"/>
            <w:vAlign w:val="bottom"/>
          </w:tcPr>
          <w:p w:rsidR="0024416E" w:rsidRPr="008A49E9" w:rsidRDefault="0024416E" w:rsidP="00A26D06">
            <w:pPr>
              <w:jc w:val="right"/>
              <w:rPr>
                <w:color w:val="000000"/>
                <w:sz w:val="18"/>
                <w:szCs w:val="18"/>
              </w:rPr>
            </w:pPr>
            <w:r w:rsidRPr="00A26D06">
              <w:rPr>
                <w:color w:val="000000"/>
                <w:sz w:val="18"/>
                <w:szCs w:val="18"/>
              </w:rPr>
              <w:t>46 827</w:t>
            </w:r>
          </w:p>
        </w:tc>
        <w:tc>
          <w:tcPr>
            <w:tcW w:w="1197" w:type="dxa"/>
            <w:tcBorders>
              <w:top w:val="nil"/>
              <w:left w:val="nil"/>
              <w:bottom w:val="single" w:sz="4" w:space="0" w:color="auto"/>
              <w:right w:val="single" w:sz="4" w:space="0" w:color="auto"/>
            </w:tcBorders>
            <w:shd w:val="clear" w:color="auto" w:fill="auto"/>
            <w:noWrap/>
            <w:vAlign w:val="bottom"/>
          </w:tcPr>
          <w:p w:rsidR="0024416E" w:rsidRPr="008A49E9" w:rsidRDefault="0024416E" w:rsidP="00A26D06">
            <w:pPr>
              <w:jc w:val="right"/>
              <w:rPr>
                <w:color w:val="000000"/>
                <w:sz w:val="18"/>
                <w:szCs w:val="18"/>
              </w:rPr>
            </w:pPr>
            <w:r w:rsidRPr="00A26D06">
              <w:rPr>
                <w:color w:val="000000"/>
                <w:sz w:val="18"/>
                <w:szCs w:val="18"/>
              </w:rPr>
              <w:t> 45 067</w:t>
            </w:r>
          </w:p>
        </w:tc>
        <w:tc>
          <w:tcPr>
            <w:tcW w:w="974" w:type="dxa"/>
            <w:tcBorders>
              <w:top w:val="nil"/>
              <w:left w:val="nil"/>
              <w:bottom w:val="single" w:sz="4" w:space="0" w:color="auto"/>
              <w:right w:val="single" w:sz="4" w:space="0" w:color="auto"/>
            </w:tcBorders>
            <w:shd w:val="clear" w:color="auto" w:fill="auto"/>
            <w:noWrap/>
            <w:vAlign w:val="bottom"/>
          </w:tcPr>
          <w:p w:rsidR="0024416E" w:rsidRPr="008A49E9" w:rsidRDefault="0024416E" w:rsidP="00A26D06">
            <w:pPr>
              <w:jc w:val="right"/>
              <w:rPr>
                <w:color w:val="000000"/>
                <w:sz w:val="18"/>
                <w:szCs w:val="18"/>
              </w:rPr>
            </w:pPr>
            <w:r w:rsidRPr="00A26D06">
              <w:rPr>
                <w:color w:val="000000"/>
                <w:sz w:val="18"/>
                <w:szCs w:val="18"/>
              </w:rPr>
              <w:t>46 827</w:t>
            </w:r>
          </w:p>
        </w:tc>
      </w:tr>
      <w:tr w:rsidR="0024416E" w:rsidRPr="00A459B8" w:rsidTr="00A26D06">
        <w:trPr>
          <w:trHeight w:val="300"/>
        </w:trPr>
        <w:tc>
          <w:tcPr>
            <w:tcW w:w="4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Hrubý domáci produkt (HDP)- v stálych cenách</w:t>
            </w:r>
            <w:r w:rsidRPr="00A459B8" w:rsidDel="00731F9C">
              <w:rPr>
                <w:color w:val="000000"/>
                <w:sz w:val="18"/>
                <w:szCs w:val="18"/>
              </w:rPr>
              <w:t xml:space="preserve"> </w:t>
            </w:r>
            <w:r w:rsidRPr="00A459B8">
              <w:rPr>
                <w:color w:val="000000"/>
                <w:sz w:val="18"/>
                <w:szCs w:val="18"/>
              </w:rPr>
              <w:t>(mil. E</w:t>
            </w:r>
            <w:r>
              <w:rPr>
                <w:color w:val="000000"/>
                <w:sz w:val="18"/>
                <w:szCs w:val="18"/>
              </w:rPr>
              <w:t>ur</w:t>
            </w:r>
            <w:r w:rsidRPr="00A459B8">
              <w:rPr>
                <w:color w:val="000000"/>
                <w:sz w:val="18"/>
                <w:szCs w:val="18"/>
              </w:rPr>
              <w:t>)</w:t>
            </w:r>
            <w:r w:rsidRPr="00A459B8">
              <w:rPr>
                <w:color w:val="000000"/>
                <w:sz w:val="18"/>
                <w:szCs w:val="18"/>
                <w:vertAlign w:val="superscript"/>
              </w:rPr>
              <w:t>2)</w:t>
            </w:r>
          </w:p>
        </w:tc>
        <w:tc>
          <w:tcPr>
            <w:tcW w:w="1197" w:type="dxa"/>
            <w:tcBorders>
              <w:top w:val="nil"/>
              <w:left w:val="nil"/>
              <w:bottom w:val="single" w:sz="4" w:space="0" w:color="auto"/>
              <w:right w:val="single" w:sz="4" w:space="0" w:color="auto"/>
            </w:tcBorders>
            <w:shd w:val="clear" w:color="auto" w:fill="auto"/>
            <w:noWrap/>
            <w:vAlign w:val="bottom"/>
          </w:tcPr>
          <w:p w:rsidR="0024416E" w:rsidRPr="008A49E9" w:rsidRDefault="0024416E" w:rsidP="00A26D06">
            <w:pPr>
              <w:jc w:val="right"/>
              <w:rPr>
                <w:color w:val="000000"/>
                <w:sz w:val="18"/>
                <w:szCs w:val="18"/>
              </w:rPr>
            </w:pPr>
            <w:r w:rsidRPr="00A26D06">
              <w:rPr>
                <w:color w:val="000000"/>
                <w:sz w:val="18"/>
                <w:szCs w:val="18"/>
              </w:rPr>
              <w:t> 73 530</w:t>
            </w:r>
          </w:p>
        </w:tc>
        <w:tc>
          <w:tcPr>
            <w:tcW w:w="1113" w:type="dxa"/>
            <w:tcBorders>
              <w:top w:val="nil"/>
              <w:left w:val="nil"/>
              <w:bottom w:val="single" w:sz="4" w:space="0" w:color="auto"/>
              <w:right w:val="single" w:sz="4" w:space="0" w:color="auto"/>
            </w:tcBorders>
            <w:shd w:val="clear" w:color="auto" w:fill="auto"/>
            <w:noWrap/>
            <w:vAlign w:val="bottom"/>
          </w:tcPr>
          <w:p w:rsidR="0024416E" w:rsidRPr="008A49E9" w:rsidRDefault="0024416E" w:rsidP="00A26D06">
            <w:pPr>
              <w:jc w:val="right"/>
              <w:rPr>
                <w:color w:val="000000"/>
                <w:sz w:val="18"/>
                <w:szCs w:val="18"/>
              </w:rPr>
            </w:pPr>
            <w:r w:rsidRPr="00A26D06">
              <w:rPr>
                <w:color w:val="000000"/>
                <w:sz w:val="18"/>
                <w:szCs w:val="18"/>
              </w:rPr>
              <w:t>76 347</w:t>
            </w:r>
          </w:p>
        </w:tc>
        <w:tc>
          <w:tcPr>
            <w:tcW w:w="1197" w:type="dxa"/>
            <w:tcBorders>
              <w:top w:val="nil"/>
              <w:left w:val="nil"/>
              <w:bottom w:val="single" w:sz="4" w:space="0" w:color="auto"/>
              <w:right w:val="single" w:sz="4" w:space="0" w:color="auto"/>
            </w:tcBorders>
            <w:shd w:val="clear" w:color="auto" w:fill="auto"/>
            <w:noWrap/>
            <w:vAlign w:val="bottom"/>
          </w:tcPr>
          <w:p w:rsidR="0024416E" w:rsidRPr="008A49E9" w:rsidRDefault="0024416E" w:rsidP="00A26D06">
            <w:pPr>
              <w:jc w:val="right"/>
              <w:rPr>
                <w:color w:val="000000"/>
                <w:sz w:val="18"/>
                <w:szCs w:val="18"/>
              </w:rPr>
            </w:pPr>
            <w:r w:rsidRPr="00A26D06">
              <w:rPr>
                <w:color w:val="000000"/>
                <w:sz w:val="18"/>
                <w:szCs w:val="18"/>
              </w:rPr>
              <w:t> 73 530</w:t>
            </w:r>
          </w:p>
        </w:tc>
        <w:tc>
          <w:tcPr>
            <w:tcW w:w="974" w:type="dxa"/>
            <w:tcBorders>
              <w:top w:val="nil"/>
              <w:left w:val="nil"/>
              <w:bottom w:val="single" w:sz="4" w:space="0" w:color="auto"/>
              <w:right w:val="single" w:sz="4" w:space="0" w:color="auto"/>
            </w:tcBorders>
            <w:shd w:val="clear" w:color="auto" w:fill="auto"/>
            <w:noWrap/>
            <w:vAlign w:val="bottom"/>
          </w:tcPr>
          <w:p w:rsidR="0024416E" w:rsidRPr="008A49E9" w:rsidRDefault="0024416E" w:rsidP="00A26D06">
            <w:pPr>
              <w:jc w:val="right"/>
              <w:rPr>
                <w:color w:val="000000"/>
                <w:sz w:val="18"/>
                <w:szCs w:val="18"/>
              </w:rPr>
            </w:pPr>
            <w:r w:rsidRPr="00A26D06">
              <w:rPr>
                <w:color w:val="000000"/>
                <w:sz w:val="18"/>
                <w:szCs w:val="18"/>
              </w:rPr>
              <w:t>76 347</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Výroba elektriny v tepelných elektrárňach</w:t>
            </w:r>
            <w:r w:rsidRPr="00A459B8">
              <w:rPr>
                <w:color w:val="000000"/>
                <w:sz w:val="18"/>
                <w:szCs w:val="18"/>
                <w:vertAlign w:val="superscript"/>
              </w:rPr>
              <w:t>3)</w:t>
            </w:r>
            <w:r w:rsidRPr="00A459B8">
              <w:rPr>
                <w:color w:val="000000"/>
                <w:sz w:val="18"/>
                <w:szCs w:val="18"/>
              </w:rPr>
              <w:t xml:space="preserve"> (</w:t>
            </w:r>
            <w:proofErr w:type="spellStart"/>
            <w:r w:rsidRPr="00A459B8">
              <w:rPr>
                <w:color w:val="000000"/>
                <w:sz w:val="18"/>
                <w:szCs w:val="18"/>
              </w:rPr>
              <w:t>ktoe</w:t>
            </w:r>
            <w:proofErr w:type="spellEnd"/>
            <w:r w:rsidRPr="00A459B8">
              <w:rPr>
                <w:color w:val="000000"/>
                <w:sz w:val="18"/>
                <w:szCs w:val="18"/>
              </w:rPr>
              <w:t>)</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1 921</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p>
        </w:tc>
        <w:tc>
          <w:tcPr>
            <w:tcW w:w="1197" w:type="dxa"/>
            <w:tcBorders>
              <w:top w:val="nil"/>
              <w:left w:val="nil"/>
              <w:bottom w:val="single" w:sz="4" w:space="0" w:color="auto"/>
              <w:right w:val="single" w:sz="4" w:space="0" w:color="auto"/>
            </w:tcBorders>
            <w:shd w:val="clear" w:color="auto" w:fill="auto"/>
            <w:noWrap/>
          </w:tcPr>
          <w:p w:rsidR="0024416E" w:rsidRPr="00A459B8" w:rsidRDefault="0024416E" w:rsidP="00A26D06">
            <w:pPr>
              <w:rPr>
                <w:color w:val="000000"/>
                <w:sz w:val="18"/>
                <w:szCs w:val="18"/>
              </w:rPr>
            </w:pPr>
            <w:r w:rsidRPr="00A459B8">
              <w:rPr>
                <w:color w:val="000000"/>
                <w:sz w:val="18"/>
                <w:szCs w:val="18"/>
              </w:rPr>
              <w:t>**</w:t>
            </w:r>
          </w:p>
        </w:tc>
        <w:tc>
          <w:tcPr>
            <w:tcW w:w="974" w:type="dxa"/>
            <w:tcBorders>
              <w:top w:val="nil"/>
              <w:left w:val="nil"/>
              <w:bottom w:val="single" w:sz="4" w:space="0" w:color="auto"/>
              <w:right w:val="single" w:sz="4" w:space="0" w:color="auto"/>
            </w:tcBorders>
            <w:shd w:val="clear" w:color="auto" w:fill="auto"/>
            <w:noWrap/>
          </w:tcPr>
          <w:p w:rsidR="0024416E" w:rsidRPr="00247896" w:rsidRDefault="0024416E" w:rsidP="00A26D06">
            <w:pPr>
              <w:rPr>
                <w:color w:val="000000"/>
                <w:sz w:val="18"/>
                <w:szCs w:val="18"/>
              </w:rPr>
            </w:pPr>
            <w:r w:rsidRPr="00247896">
              <w:rPr>
                <w:color w:val="000000"/>
                <w:sz w:val="18"/>
                <w:szCs w:val="18"/>
              </w:rPr>
              <w:t>**</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Výroba elektriny z KVET</w:t>
            </w:r>
            <w:r w:rsidRPr="00A459B8">
              <w:rPr>
                <w:color w:val="000000"/>
                <w:sz w:val="18"/>
                <w:szCs w:val="18"/>
                <w:vertAlign w:val="superscript"/>
              </w:rPr>
              <w:t>4)</w:t>
            </w:r>
            <w:r w:rsidRPr="00A459B8">
              <w:rPr>
                <w:color w:val="000000"/>
                <w:sz w:val="18"/>
                <w:szCs w:val="18"/>
              </w:rPr>
              <w:t xml:space="preserve"> (</w:t>
            </w:r>
            <w:proofErr w:type="spellStart"/>
            <w:r w:rsidRPr="00A459B8">
              <w:rPr>
                <w:color w:val="000000"/>
                <w:sz w:val="18"/>
                <w:szCs w:val="18"/>
              </w:rPr>
              <w:t>ktoe</w:t>
            </w:r>
            <w:proofErr w:type="spellEnd"/>
            <w:r w:rsidRPr="00A459B8">
              <w:rPr>
                <w:color w:val="000000"/>
                <w:sz w:val="18"/>
                <w:szCs w:val="18"/>
              </w:rPr>
              <w:t>)</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1 495</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p>
        </w:tc>
        <w:tc>
          <w:tcPr>
            <w:tcW w:w="1197" w:type="dxa"/>
            <w:tcBorders>
              <w:top w:val="nil"/>
              <w:left w:val="nil"/>
              <w:bottom w:val="single" w:sz="4" w:space="0" w:color="auto"/>
              <w:right w:val="single" w:sz="4" w:space="0" w:color="auto"/>
            </w:tcBorders>
            <w:shd w:val="clear" w:color="auto" w:fill="auto"/>
            <w:noWrap/>
          </w:tcPr>
          <w:p w:rsidR="0024416E" w:rsidRPr="00A459B8" w:rsidRDefault="0024416E" w:rsidP="00A26D06">
            <w:pPr>
              <w:rPr>
                <w:color w:val="000000"/>
                <w:sz w:val="18"/>
                <w:szCs w:val="18"/>
              </w:rPr>
            </w:pPr>
            <w:r w:rsidRPr="00A459B8">
              <w:rPr>
                <w:color w:val="000000"/>
                <w:sz w:val="18"/>
                <w:szCs w:val="18"/>
              </w:rPr>
              <w:t>**</w:t>
            </w:r>
          </w:p>
        </w:tc>
        <w:tc>
          <w:tcPr>
            <w:tcW w:w="974" w:type="dxa"/>
            <w:tcBorders>
              <w:top w:val="nil"/>
              <w:left w:val="nil"/>
              <w:bottom w:val="single" w:sz="4" w:space="0" w:color="auto"/>
              <w:right w:val="single" w:sz="4" w:space="0" w:color="auto"/>
            </w:tcBorders>
            <w:shd w:val="clear" w:color="auto" w:fill="auto"/>
            <w:noWrap/>
          </w:tcPr>
          <w:p w:rsidR="0024416E" w:rsidRPr="00247896" w:rsidRDefault="0024416E" w:rsidP="00A26D06">
            <w:pPr>
              <w:rPr>
                <w:color w:val="000000"/>
                <w:sz w:val="18"/>
                <w:szCs w:val="18"/>
              </w:rPr>
            </w:pPr>
            <w:r w:rsidRPr="00247896">
              <w:rPr>
                <w:color w:val="000000"/>
                <w:sz w:val="18"/>
                <w:szCs w:val="18"/>
              </w:rPr>
              <w:t>**</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Výroba tepla v tepelných zariadeniach</w:t>
            </w:r>
            <w:r w:rsidRPr="00A459B8">
              <w:rPr>
                <w:color w:val="000000"/>
                <w:sz w:val="18"/>
                <w:szCs w:val="18"/>
                <w:vertAlign w:val="superscript"/>
              </w:rPr>
              <w:t>5)</w:t>
            </w:r>
            <w:r w:rsidRPr="00A459B8">
              <w:rPr>
                <w:color w:val="000000"/>
                <w:sz w:val="18"/>
                <w:szCs w:val="18"/>
              </w:rPr>
              <w:t xml:space="preserve"> (</w:t>
            </w:r>
            <w:proofErr w:type="spellStart"/>
            <w:r w:rsidRPr="00A459B8">
              <w:rPr>
                <w:color w:val="000000"/>
                <w:sz w:val="18"/>
                <w:szCs w:val="18"/>
              </w:rPr>
              <w:t>ktoe</w:t>
            </w:r>
            <w:proofErr w:type="spellEnd"/>
            <w:r w:rsidRPr="00A459B8">
              <w:rPr>
                <w:color w:val="000000"/>
                <w:sz w:val="18"/>
                <w:szCs w:val="18"/>
              </w:rPr>
              <w:t>)</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831</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p>
        </w:tc>
        <w:tc>
          <w:tcPr>
            <w:tcW w:w="1197" w:type="dxa"/>
            <w:tcBorders>
              <w:top w:val="nil"/>
              <w:left w:val="nil"/>
              <w:bottom w:val="single" w:sz="4" w:space="0" w:color="auto"/>
              <w:right w:val="single" w:sz="4" w:space="0" w:color="auto"/>
            </w:tcBorders>
            <w:shd w:val="clear" w:color="auto" w:fill="auto"/>
            <w:noWrap/>
          </w:tcPr>
          <w:p w:rsidR="0024416E" w:rsidRPr="00A459B8" w:rsidRDefault="0024416E" w:rsidP="00A26D06">
            <w:pPr>
              <w:rPr>
                <w:color w:val="000000"/>
                <w:sz w:val="18"/>
                <w:szCs w:val="18"/>
              </w:rPr>
            </w:pPr>
            <w:r w:rsidRPr="00A459B8">
              <w:rPr>
                <w:color w:val="000000"/>
                <w:sz w:val="18"/>
                <w:szCs w:val="18"/>
              </w:rPr>
              <w:t>**</w:t>
            </w:r>
          </w:p>
        </w:tc>
        <w:tc>
          <w:tcPr>
            <w:tcW w:w="974" w:type="dxa"/>
            <w:tcBorders>
              <w:top w:val="nil"/>
              <w:left w:val="nil"/>
              <w:bottom w:val="single" w:sz="4" w:space="0" w:color="auto"/>
              <w:right w:val="single" w:sz="4" w:space="0" w:color="auto"/>
            </w:tcBorders>
            <w:shd w:val="clear" w:color="auto" w:fill="auto"/>
            <w:noWrap/>
          </w:tcPr>
          <w:p w:rsidR="0024416E" w:rsidRPr="00247896" w:rsidRDefault="0024416E" w:rsidP="00A26D06">
            <w:pPr>
              <w:rPr>
                <w:color w:val="000000"/>
                <w:sz w:val="18"/>
                <w:szCs w:val="18"/>
              </w:rPr>
            </w:pPr>
            <w:r w:rsidRPr="00247896">
              <w:rPr>
                <w:color w:val="000000"/>
                <w:sz w:val="18"/>
                <w:szCs w:val="18"/>
              </w:rPr>
              <w:t>**</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Výroba tepla zo zariadení KVET vrátane odpadového tepla v priemysle</w:t>
            </w:r>
            <w:r w:rsidRPr="00A459B8">
              <w:rPr>
                <w:color w:val="000000"/>
                <w:sz w:val="18"/>
                <w:szCs w:val="18"/>
                <w:vertAlign w:val="superscript"/>
              </w:rPr>
              <w:t>6)</w:t>
            </w:r>
            <w:r w:rsidRPr="00A459B8">
              <w:rPr>
                <w:color w:val="000000"/>
                <w:sz w:val="18"/>
                <w:szCs w:val="18"/>
              </w:rPr>
              <w:t xml:space="preserve"> (</w:t>
            </w:r>
            <w:proofErr w:type="spellStart"/>
            <w:r w:rsidRPr="00A459B8">
              <w:rPr>
                <w:color w:val="000000"/>
                <w:sz w:val="18"/>
                <w:szCs w:val="18"/>
              </w:rPr>
              <w:t>ktoe</w:t>
            </w:r>
            <w:proofErr w:type="spellEnd"/>
            <w:r w:rsidRPr="00A459B8">
              <w:rPr>
                <w:color w:val="000000"/>
                <w:sz w:val="18"/>
                <w:szCs w:val="18"/>
              </w:rPr>
              <w:t>)</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572</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p>
        </w:tc>
        <w:tc>
          <w:tcPr>
            <w:tcW w:w="1197" w:type="dxa"/>
            <w:tcBorders>
              <w:top w:val="nil"/>
              <w:left w:val="nil"/>
              <w:bottom w:val="single" w:sz="4" w:space="0" w:color="auto"/>
              <w:right w:val="single" w:sz="4" w:space="0" w:color="auto"/>
            </w:tcBorders>
            <w:shd w:val="clear" w:color="auto" w:fill="auto"/>
            <w:noWrap/>
          </w:tcPr>
          <w:p w:rsidR="0024416E" w:rsidRPr="00A459B8" w:rsidRDefault="0024416E" w:rsidP="00A26D06">
            <w:pPr>
              <w:rPr>
                <w:color w:val="000000"/>
                <w:sz w:val="18"/>
                <w:szCs w:val="18"/>
              </w:rPr>
            </w:pPr>
            <w:r w:rsidRPr="00A459B8">
              <w:rPr>
                <w:color w:val="000000"/>
                <w:sz w:val="18"/>
                <w:szCs w:val="18"/>
              </w:rPr>
              <w:t>**</w:t>
            </w:r>
          </w:p>
        </w:tc>
        <w:tc>
          <w:tcPr>
            <w:tcW w:w="974" w:type="dxa"/>
            <w:tcBorders>
              <w:top w:val="nil"/>
              <w:left w:val="nil"/>
              <w:bottom w:val="single" w:sz="4" w:space="0" w:color="auto"/>
              <w:right w:val="single" w:sz="4" w:space="0" w:color="auto"/>
            </w:tcBorders>
            <w:shd w:val="clear" w:color="auto" w:fill="auto"/>
            <w:noWrap/>
          </w:tcPr>
          <w:p w:rsidR="0024416E" w:rsidRPr="00247896" w:rsidRDefault="0024416E" w:rsidP="00A26D06">
            <w:pPr>
              <w:rPr>
                <w:color w:val="000000"/>
                <w:sz w:val="18"/>
                <w:szCs w:val="18"/>
              </w:rPr>
            </w:pPr>
            <w:r w:rsidRPr="00247896">
              <w:rPr>
                <w:color w:val="000000"/>
                <w:sz w:val="18"/>
                <w:szCs w:val="18"/>
              </w:rPr>
              <w:t>**</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Palivové vstupy v tepelných zariadeniach</w:t>
            </w:r>
            <w:r w:rsidRPr="00A459B8">
              <w:rPr>
                <w:color w:val="000000"/>
                <w:sz w:val="18"/>
                <w:szCs w:val="18"/>
                <w:vertAlign w:val="superscript"/>
              </w:rPr>
              <w:t>7)</w:t>
            </w:r>
            <w:r w:rsidRPr="00A459B8">
              <w:rPr>
                <w:color w:val="000000"/>
                <w:sz w:val="18"/>
                <w:szCs w:val="18"/>
              </w:rPr>
              <w:t xml:space="preserve"> (</w:t>
            </w:r>
            <w:proofErr w:type="spellStart"/>
            <w:r w:rsidRPr="00A459B8">
              <w:rPr>
                <w:color w:val="000000"/>
                <w:sz w:val="18"/>
                <w:szCs w:val="18"/>
              </w:rPr>
              <w:t>ktoe</w:t>
            </w:r>
            <w:proofErr w:type="spellEnd"/>
            <w:r w:rsidRPr="00A459B8">
              <w:rPr>
                <w:color w:val="000000"/>
                <w:sz w:val="18"/>
                <w:szCs w:val="18"/>
              </w:rPr>
              <w:t>)</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6 377</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p>
        </w:tc>
        <w:tc>
          <w:tcPr>
            <w:tcW w:w="1197" w:type="dxa"/>
            <w:tcBorders>
              <w:top w:val="nil"/>
              <w:left w:val="nil"/>
              <w:bottom w:val="single" w:sz="4" w:space="0" w:color="auto"/>
              <w:right w:val="single" w:sz="4" w:space="0" w:color="auto"/>
            </w:tcBorders>
            <w:shd w:val="clear" w:color="auto" w:fill="auto"/>
            <w:noWrap/>
          </w:tcPr>
          <w:p w:rsidR="0024416E" w:rsidRPr="00A459B8" w:rsidRDefault="0024416E" w:rsidP="00A26D06">
            <w:pPr>
              <w:rPr>
                <w:color w:val="000000"/>
                <w:sz w:val="18"/>
                <w:szCs w:val="18"/>
              </w:rPr>
            </w:pPr>
            <w:r w:rsidRPr="00A459B8">
              <w:rPr>
                <w:color w:val="000000"/>
                <w:sz w:val="18"/>
                <w:szCs w:val="18"/>
              </w:rPr>
              <w:t>**</w:t>
            </w:r>
          </w:p>
        </w:tc>
        <w:tc>
          <w:tcPr>
            <w:tcW w:w="974" w:type="dxa"/>
            <w:tcBorders>
              <w:top w:val="nil"/>
              <w:left w:val="nil"/>
              <w:bottom w:val="single" w:sz="4" w:space="0" w:color="auto"/>
              <w:right w:val="single" w:sz="4" w:space="0" w:color="auto"/>
            </w:tcBorders>
            <w:shd w:val="clear" w:color="auto" w:fill="auto"/>
            <w:noWrap/>
          </w:tcPr>
          <w:p w:rsidR="0024416E" w:rsidRPr="00247896" w:rsidRDefault="0024416E" w:rsidP="00A26D06">
            <w:pPr>
              <w:rPr>
                <w:color w:val="000000"/>
                <w:sz w:val="18"/>
                <w:szCs w:val="18"/>
              </w:rPr>
            </w:pPr>
            <w:r w:rsidRPr="00247896">
              <w:rPr>
                <w:color w:val="000000"/>
                <w:sz w:val="18"/>
                <w:szCs w:val="18"/>
              </w:rPr>
              <w:t>**</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tcPr>
          <w:p w:rsidR="0024416E" w:rsidRPr="00A459B8" w:rsidRDefault="0024416E" w:rsidP="00A26D06">
            <w:pPr>
              <w:rPr>
                <w:color w:val="000000"/>
                <w:sz w:val="18"/>
                <w:szCs w:val="18"/>
              </w:rPr>
            </w:pPr>
            <w:r w:rsidRPr="00A459B8">
              <w:rPr>
                <w:color w:val="000000"/>
                <w:sz w:val="18"/>
                <w:szCs w:val="18"/>
              </w:rPr>
              <w:t xml:space="preserve">Osobokilometre (mil. </w:t>
            </w:r>
            <w:proofErr w:type="spellStart"/>
            <w:r w:rsidRPr="00A459B8">
              <w:rPr>
                <w:color w:val="000000"/>
                <w:sz w:val="18"/>
                <w:szCs w:val="18"/>
              </w:rPr>
              <w:t>okm</w:t>
            </w:r>
            <w:proofErr w:type="spellEnd"/>
            <w:r w:rsidRPr="00A459B8">
              <w:rPr>
                <w:color w:val="000000"/>
                <w:sz w:val="18"/>
                <w:szCs w:val="18"/>
              </w:rPr>
              <w:t>) – osobná doprava celkom</w:t>
            </w:r>
          </w:p>
          <w:p w:rsidR="0024416E" w:rsidRPr="00A459B8" w:rsidRDefault="0024416E" w:rsidP="00A26D06">
            <w:pPr>
              <w:rPr>
                <w:color w:val="000000"/>
                <w:sz w:val="18"/>
                <w:szCs w:val="18"/>
              </w:rPr>
            </w:pPr>
            <w:r w:rsidRPr="00A459B8">
              <w:rPr>
                <w:color w:val="000000"/>
                <w:sz w:val="18"/>
                <w:szCs w:val="18"/>
              </w:rPr>
              <w:t xml:space="preserve"> bez IAD </w:t>
            </w:r>
            <w:r w:rsidRPr="00A459B8">
              <w:rPr>
                <w:color w:val="000000"/>
                <w:sz w:val="18"/>
                <w:szCs w:val="18"/>
                <w:vertAlign w:val="superscript"/>
              </w:rPr>
              <w:t>8)</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p>
        </w:tc>
        <w:tc>
          <w:tcPr>
            <w:tcW w:w="1197" w:type="dxa"/>
            <w:tcBorders>
              <w:top w:val="nil"/>
              <w:left w:val="nil"/>
              <w:bottom w:val="single" w:sz="4" w:space="0" w:color="auto"/>
              <w:right w:val="single" w:sz="4" w:space="0" w:color="auto"/>
            </w:tcBorders>
            <w:shd w:val="clear" w:color="auto" w:fill="auto"/>
            <w:noWrap/>
            <w:vAlign w:val="bottom"/>
          </w:tcPr>
          <w:p w:rsidR="0024416E" w:rsidRPr="00A459B8" w:rsidRDefault="0024416E" w:rsidP="00A26D06">
            <w:pPr>
              <w:jc w:val="right"/>
              <w:rPr>
                <w:sz w:val="18"/>
                <w:szCs w:val="18"/>
              </w:rPr>
            </w:pPr>
            <w:r w:rsidRPr="0069415B">
              <w:rPr>
                <w:color w:val="000000"/>
                <w:sz w:val="18"/>
                <w:szCs w:val="18"/>
              </w:rPr>
              <w:t>9 221</w:t>
            </w:r>
          </w:p>
        </w:tc>
        <w:tc>
          <w:tcPr>
            <w:tcW w:w="974" w:type="dxa"/>
            <w:tcBorders>
              <w:top w:val="nil"/>
              <w:left w:val="nil"/>
              <w:bottom w:val="single" w:sz="4" w:space="0" w:color="auto"/>
              <w:right w:val="single" w:sz="4" w:space="0" w:color="auto"/>
            </w:tcBorders>
            <w:shd w:val="clear" w:color="auto" w:fill="auto"/>
            <w:noWrap/>
            <w:vAlign w:val="bottom"/>
          </w:tcPr>
          <w:p w:rsidR="0024416E" w:rsidRPr="00A459B8" w:rsidRDefault="0024416E" w:rsidP="00A26D06">
            <w:pPr>
              <w:jc w:val="right"/>
              <w:rPr>
                <w:color w:val="000000"/>
                <w:sz w:val="18"/>
                <w:szCs w:val="18"/>
              </w:rPr>
            </w:pPr>
            <w:r w:rsidRPr="0069415B">
              <w:rPr>
                <w:color w:val="000000"/>
                <w:sz w:val="18"/>
                <w:szCs w:val="18"/>
              </w:rPr>
              <w:t>10 116</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 xml:space="preserve">Osobokilometre (mil. </w:t>
            </w:r>
            <w:proofErr w:type="spellStart"/>
            <w:r w:rsidRPr="00A459B8">
              <w:rPr>
                <w:color w:val="000000"/>
                <w:sz w:val="18"/>
                <w:szCs w:val="18"/>
              </w:rPr>
              <w:t>okm</w:t>
            </w:r>
            <w:proofErr w:type="spellEnd"/>
            <w:r w:rsidRPr="00A459B8">
              <w:rPr>
                <w:color w:val="000000"/>
                <w:sz w:val="18"/>
                <w:szCs w:val="18"/>
              </w:rPr>
              <w:t xml:space="preserve">) – verejná osobná doprava celkom  bez IAD </w:t>
            </w:r>
            <w:r w:rsidRPr="00A459B8">
              <w:rPr>
                <w:color w:val="000000"/>
                <w:sz w:val="18"/>
                <w:szCs w:val="18"/>
                <w:vertAlign w:val="superscript"/>
              </w:rPr>
              <w:t>8)</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rPr>
                <w:sz w:val="18"/>
                <w:szCs w:val="18"/>
              </w:rPr>
            </w:pP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rPr>
                <w:sz w:val="18"/>
                <w:szCs w:val="18"/>
              </w:rPr>
            </w:pP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9 099</w:t>
            </w:r>
          </w:p>
        </w:tc>
        <w:tc>
          <w:tcPr>
            <w:tcW w:w="974"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69415B">
              <w:rPr>
                <w:color w:val="000000"/>
                <w:sz w:val="18"/>
                <w:szCs w:val="18"/>
              </w:rPr>
              <w:t>10 020</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tcPr>
          <w:p w:rsidR="0024416E" w:rsidRPr="00A459B8" w:rsidRDefault="0024416E" w:rsidP="00A26D06">
            <w:pPr>
              <w:rPr>
                <w:color w:val="000000"/>
                <w:sz w:val="18"/>
                <w:szCs w:val="18"/>
              </w:rPr>
            </w:pPr>
            <w:r w:rsidRPr="00A459B8">
              <w:rPr>
                <w:color w:val="000000"/>
                <w:sz w:val="18"/>
                <w:szCs w:val="18"/>
              </w:rPr>
              <w:t xml:space="preserve">Osobokilometre (mil. </w:t>
            </w:r>
            <w:proofErr w:type="spellStart"/>
            <w:r w:rsidRPr="00A459B8">
              <w:rPr>
                <w:color w:val="000000"/>
                <w:sz w:val="18"/>
                <w:szCs w:val="18"/>
              </w:rPr>
              <w:t>okm</w:t>
            </w:r>
            <w:proofErr w:type="spellEnd"/>
            <w:r w:rsidRPr="00A459B8">
              <w:rPr>
                <w:color w:val="000000"/>
                <w:sz w:val="18"/>
                <w:szCs w:val="18"/>
              </w:rPr>
              <w:t xml:space="preserve">) – neverejná osobná doprava celkom bez IAD </w:t>
            </w:r>
            <w:r w:rsidRPr="00A459B8">
              <w:rPr>
                <w:color w:val="000000"/>
                <w:sz w:val="18"/>
                <w:szCs w:val="18"/>
                <w:vertAlign w:val="superscript"/>
              </w:rPr>
              <w:t>8)</w:t>
            </w:r>
            <w:r w:rsidRPr="00A459B8">
              <w:rPr>
                <w:color w:val="000000"/>
                <w:sz w:val="18"/>
                <w:szCs w:val="18"/>
              </w:rPr>
              <w:t>)</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rPr>
                <w:sz w:val="18"/>
                <w:szCs w:val="18"/>
              </w:rPr>
            </w:pP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rPr>
                <w:sz w:val="18"/>
                <w:szCs w:val="18"/>
              </w:rPr>
            </w:pP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122</w:t>
            </w:r>
          </w:p>
        </w:tc>
        <w:tc>
          <w:tcPr>
            <w:tcW w:w="974"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69415B">
              <w:rPr>
                <w:color w:val="000000"/>
                <w:sz w:val="18"/>
                <w:szCs w:val="18"/>
              </w:rPr>
              <w:t>96</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tcPr>
          <w:p w:rsidR="0024416E" w:rsidRPr="00A459B8" w:rsidRDefault="0024416E" w:rsidP="00A26D06">
            <w:pPr>
              <w:rPr>
                <w:color w:val="000000"/>
                <w:sz w:val="18"/>
                <w:szCs w:val="18"/>
              </w:rPr>
            </w:pPr>
            <w:r w:rsidRPr="00A459B8">
              <w:rPr>
                <w:color w:val="000000"/>
                <w:sz w:val="18"/>
                <w:szCs w:val="18"/>
              </w:rPr>
              <w:t xml:space="preserve">IAD MDV SR </w:t>
            </w:r>
            <w:r w:rsidRPr="00A459B8">
              <w:rPr>
                <w:color w:val="000000"/>
                <w:sz w:val="18"/>
                <w:szCs w:val="18"/>
                <w:vertAlign w:val="superscript"/>
              </w:rPr>
              <w:t>8)</w:t>
            </w:r>
            <w:r w:rsidRPr="00A459B8">
              <w:rPr>
                <w:rFonts w:eastAsia="Calibri"/>
                <w:i/>
                <w:szCs w:val="22"/>
                <w:lang w:eastAsia="en-US"/>
              </w:rPr>
              <w:t xml:space="preserve"> **</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rPr>
                <w:sz w:val="18"/>
                <w:szCs w:val="18"/>
              </w:rPr>
            </w:pP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rPr>
                <w:sz w:val="18"/>
                <w:szCs w:val="18"/>
              </w:rPr>
            </w:pP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27 373</w:t>
            </w:r>
          </w:p>
        </w:tc>
        <w:tc>
          <w:tcPr>
            <w:tcW w:w="974"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69415B">
              <w:rPr>
                <w:color w:val="000000"/>
                <w:sz w:val="18"/>
                <w:szCs w:val="18"/>
              </w:rPr>
              <w:t>27 531</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 xml:space="preserve">Tonokilometre (mil. </w:t>
            </w:r>
            <w:proofErr w:type="spellStart"/>
            <w:r w:rsidRPr="00A459B8">
              <w:rPr>
                <w:color w:val="000000"/>
                <w:sz w:val="18"/>
                <w:szCs w:val="18"/>
              </w:rPr>
              <w:t>tkm</w:t>
            </w:r>
            <w:proofErr w:type="spellEnd"/>
            <w:r w:rsidRPr="00A459B8">
              <w:rPr>
                <w:color w:val="000000"/>
                <w:sz w:val="18"/>
                <w:szCs w:val="18"/>
              </w:rPr>
              <w:t>) – celkom</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rPr>
                <w:sz w:val="18"/>
                <w:szCs w:val="18"/>
              </w:rPr>
            </w:pPr>
            <w:r w:rsidRPr="0069415B">
              <w:rPr>
                <w:color w:val="000000"/>
                <w:sz w:val="18"/>
                <w:szCs w:val="18"/>
              </w:rPr>
              <w:t>-</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40 849</w:t>
            </w:r>
          </w:p>
        </w:tc>
        <w:tc>
          <w:tcPr>
            <w:tcW w:w="974"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69415B">
              <w:rPr>
                <w:color w:val="000000"/>
                <w:sz w:val="18"/>
                <w:szCs w:val="18"/>
              </w:rPr>
              <w:t>42 745</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 xml:space="preserve">Tonokilometre (mil. </w:t>
            </w:r>
            <w:proofErr w:type="spellStart"/>
            <w:r w:rsidRPr="00A459B8">
              <w:rPr>
                <w:color w:val="000000"/>
                <w:sz w:val="18"/>
                <w:szCs w:val="18"/>
              </w:rPr>
              <w:t>tkm</w:t>
            </w:r>
            <w:proofErr w:type="spellEnd"/>
            <w:r w:rsidRPr="00A459B8">
              <w:rPr>
                <w:color w:val="000000"/>
                <w:sz w:val="18"/>
                <w:szCs w:val="18"/>
              </w:rPr>
              <w:t>) – železničná preprava</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8 829</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8 439</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8 829</w:t>
            </w:r>
          </w:p>
        </w:tc>
        <w:tc>
          <w:tcPr>
            <w:tcW w:w="974"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69415B">
              <w:rPr>
                <w:color w:val="000000"/>
                <w:sz w:val="18"/>
                <w:szCs w:val="18"/>
              </w:rPr>
              <w:t>8 439</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 xml:space="preserve">Tonokilometre (mil. </w:t>
            </w:r>
            <w:proofErr w:type="spellStart"/>
            <w:r w:rsidRPr="00A459B8">
              <w:rPr>
                <w:color w:val="000000"/>
                <w:sz w:val="18"/>
                <w:szCs w:val="18"/>
              </w:rPr>
              <w:t>tkm</w:t>
            </w:r>
            <w:proofErr w:type="spellEnd"/>
            <w:r w:rsidRPr="00A459B8">
              <w:rPr>
                <w:color w:val="000000"/>
                <w:sz w:val="18"/>
                <w:szCs w:val="18"/>
              </w:rPr>
              <w:t xml:space="preserve">) – cestná preprava </w:t>
            </w:r>
            <w:r w:rsidRPr="00A459B8">
              <w:rPr>
                <w:rFonts w:eastAsia="Calibri"/>
                <w:b/>
                <w:i/>
                <w:szCs w:val="22"/>
                <w:lang w:eastAsia="en-US"/>
              </w:rPr>
              <w:t>***</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31 358</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33 540</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31 304</w:t>
            </w:r>
          </w:p>
        </w:tc>
        <w:tc>
          <w:tcPr>
            <w:tcW w:w="974"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69415B">
              <w:rPr>
                <w:color w:val="000000"/>
                <w:sz w:val="18"/>
                <w:szCs w:val="18"/>
              </w:rPr>
              <w:t>33 525</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 xml:space="preserve">Tonokilometre (mil. </w:t>
            </w:r>
            <w:proofErr w:type="spellStart"/>
            <w:r w:rsidRPr="00A459B8">
              <w:rPr>
                <w:color w:val="000000"/>
                <w:sz w:val="18"/>
                <w:szCs w:val="18"/>
              </w:rPr>
              <w:t>tkm</w:t>
            </w:r>
            <w:proofErr w:type="spellEnd"/>
            <w:r w:rsidRPr="00A459B8">
              <w:rPr>
                <w:color w:val="000000"/>
                <w:sz w:val="18"/>
                <w:szCs w:val="18"/>
              </w:rPr>
              <w:t xml:space="preserve">) – vodná doprava  </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684</w:t>
            </w:r>
          </w:p>
        </w:tc>
        <w:tc>
          <w:tcPr>
            <w:tcW w:w="974"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69415B">
              <w:rPr>
                <w:color w:val="000000"/>
                <w:sz w:val="18"/>
                <w:szCs w:val="18"/>
              </w:rPr>
              <w:t>674</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tcPr>
          <w:p w:rsidR="0024416E" w:rsidRPr="00A459B8" w:rsidRDefault="0024416E" w:rsidP="00A26D06">
            <w:pPr>
              <w:rPr>
                <w:color w:val="000000"/>
                <w:sz w:val="18"/>
                <w:szCs w:val="18"/>
              </w:rPr>
            </w:pPr>
            <w:r w:rsidRPr="00A459B8">
              <w:rPr>
                <w:color w:val="000000"/>
                <w:sz w:val="18"/>
                <w:szCs w:val="18"/>
              </w:rPr>
              <w:t xml:space="preserve">Tonokilometre (mil. </w:t>
            </w:r>
            <w:proofErr w:type="spellStart"/>
            <w:r w:rsidRPr="00A459B8">
              <w:rPr>
                <w:color w:val="000000"/>
                <w:sz w:val="18"/>
                <w:szCs w:val="18"/>
              </w:rPr>
              <w:t>tkm</w:t>
            </w:r>
            <w:proofErr w:type="spellEnd"/>
            <w:r w:rsidRPr="00A459B8">
              <w:rPr>
                <w:color w:val="000000"/>
                <w:sz w:val="18"/>
                <w:szCs w:val="18"/>
              </w:rPr>
              <w:t>) – vodná preprava  za všetkých prevádzkovateľov vnútrozemskej vodnej dopravy na území SR bez ohľadu na krajinu registrácie plavidla</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905</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741</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sz w:val="18"/>
                <w:szCs w:val="18"/>
              </w:rPr>
            </w:pPr>
            <w:r w:rsidRPr="0069415B">
              <w:rPr>
                <w:color w:val="000000"/>
                <w:sz w:val="18"/>
                <w:szCs w:val="18"/>
              </w:rPr>
              <w:t>905</w:t>
            </w:r>
          </w:p>
        </w:tc>
        <w:tc>
          <w:tcPr>
            <w:tcW w:w="974"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69415B">
              <w:rPr>
                <w:color w:val="000000"/>
                <w:sz w:val="18"/>
                <w:szCs w:val="18"/>
              </w:rPr>
              <w:t>741</w:t>
            </w:r>
          </w:p>
        </w:tc>
      </w:tr>
      <w:tr w:rsidR="0024416E" w:rsidRPr="00A459B8" w:rsidTr="00A26D06">
        <w:trPr>
          <w:trHeight w:val="300"/>
        </w:trPr>
        <w:tc>
          <w:tcPr>
            <w:tcW w:w="4581" w:type="dxa"/>
            <w:tcBorders>
              <w:top w:val="nil"/>
              <w:left w:val="single" w:sz="4" w:space="0" w:color="auto"/>
              <w:bottom w:val="single" w:sz="4" w:space="0" w:color="auto"/>
              <w:right w:val="single" w:sz="4" w:space="0" w:color="auto"/>
            </w:tcBorders>
            <w:shd w:val="clear" w:color="auto" w:fill="auto"/>
            <w:noWrap/>
            <w:vAlign w:val="center"/>
            <w:hideMark/>
          </w:tcPr>
          <w:p w:rsidR="0024416E" w:rsidRPr="00A459B8" w:rsidRDefault="0024416E" w:rsidP="00A26D06">
            <w:pPr>
              <w:rPr>
                <w:color w:val="000000"/>
                <w:sz w:val="18"/>
                <w:szCs w:val="18"/>
              </w:rPr>
            </w:pPr>
            <w:r w:rsidRPr="00A459B8">
              <w:rPr>
                <w:color w:val="000000"/>
                <w:sz w:val="18"/>
                <w:szCs w:val="18"/>
              </w:rPr>
              <w:t>Počet obyvateľov k 31.12. daného roku</w:t>
            </w: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5 415 949</w:t>
            </w:r>
          </w:p>
        </w:tc>
        <w:tc>
          <w:tcPr>
            <w:tcW w:w="1113"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p>
        </w:tc>
        <w:tc>
          <w:tcPr>
            <w:tcW w:w="1197"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5 421 000</w:t>
            </w:r>
          </w:p>
        </w:tc>
        <w:tc>
          <w:tcPr>
            <w:tcW w:w="974" w:type="dxa"/>
            <w:tcBorders>
              <w:top w:val="nil"/>
              <w:left w:val="nil"/>
              <w:bottom w:val="single" w:sz="4" w:space="0" w:color="auto"/>
              <w:right w:val="single" w:sz="4" w:space="0" w:color="auto"/>
            </w:tcBorders>
            <w:shd w:val="clear" w:color="auto" w:fill="auto"/>
            <w:noWrap/>
            <w:vAlign w:val="center"/>
          </w:tcPr>
          <w:p w:rsidR="0024416E" w:rsidRPr="00A459B8" w:rsidRDefault="0024416E" w:rsidP="00A26D06">
            <w:pPr>
              <w:jc w:val="right"/>
              <w:rPr>
                <w:color w:val="000000"/>
                <w:sz w:val="18"/>
                <w:szCs w:val="18"/>
              </w:rPr>
            </w:pPr>
            <w:r w:rsidRPr="00A459B8">
              <w:rPr>
                <w:color w:val="000000"/>
                <w:sz w:val="18"/>
                <w:szCs w:val="18"/>
              </w:rPr>
              <w:t>5 423 801</w:t>
            </w:r>
          </w:p>
        </w:tc>
      </w:tr>
    </w:tbl>
    <w:p w:rsidR="0024416E" w:rsidRPr="00A459B8" w:rsidRDefault="0024416E" w:rsidP="0024416E">
      <w:pPr>
        <w:keepNext/>
        <w:rPr>
          <w:rFonts w:eastAsia="Calibri"/>
          <w:sz w:val="22"/>
          <w:szCs w:val="22"/>
          <w:lang w:eastAsia="en-US"/>
        </w:rPr>
      </w:pPr>
      <w:r w:rsidRPr="00A459B8">
        <w:rPr>
          <w:rFonts w:eastAsia="Calibri"/>
          <w:sz w:val="22"/>
          <w:szCs w:val="22"/>
          <w:lang w:eastAsia="en-US"/>
        </w:rPr>
        <w:t xml:space="preserve">Zdroj: ŠÚSR (2017), </w:t>
      </w:r>
      <w:proofErr w:type="spellStart"/>
      <w:r w:rsidRPr="00A459B8">
        <w:rPr>
          <w:rFonts w:eastAsia="Calibri"/>
          <w:sz w:val="22"/>
          <w:szCs w:val="22"/>
          <w:lang w:eastAsia="en-US"/>
        </w:rPr>
        <w:t>Eurostat</w:t>
      </w:r>
      <w:proofErr w:type="spellEnd"/>
      <w:r w:rsidRPr="00A459B8">
        <w:rPr>
          <w:rFonts w:eastAsia="Calibri"/>
          <w:sz w:val="22"/>
          <w:szCs w:val="22"/>
          <w:lang w:eastAsia="en-US"/>
        </w:rPr>
        <w:t xml:space="preserve"> (201</w:t>
      </w:r>
      <w:r>
        <w:rPr>
          <w:rFonts w:eastAsia="Calibri"/>
          <w:sz w:val="22"/>
          <w:szCs w:val="22"/>
          <w:lang w:eastAsia="en-US"/>
        </w:rPr>
        <w:t>7</w:t>
      </w:r>
      <w:r w:rsidRPr="00A459B8">
        <w:rPr>
          <w:rFonts w:eastAsia="Calibri"/>
          <w:sz w:val="22"/>
          <w:szCs w:val="22"/>
          <w:lang w:eastAsia="en-US"/>
        </w:rPr>
        <w:t>), MDV SR (2016)</w:t>
      </w:r>
    </w:p>
    <w:p w:rsidR="0024416E" w:rsidRPr="00A459B8" w:rsidRDefault="0024416E" w:rsidP="0024416E">
      <w:pPr>
        <w:keepNext/>
        <w:rPr>
          <w:rFonts w:eastAsia="Calibri"/>
          <w:sz w:val="22"/>
          <w:szCs w:val="22"/>
          <w:lang w:eastAsia="en-US"/>
        </w:rPr>
      </w:pPr>
    </w:p>
    <w:p w:rsidR="0024416E" w:rsidRPr="00A459B8" w:rsidRDefault="0024416E" w:rsidP="0024416E">
      <w:pPr>
        <w:spacing w:before="20" w:after="20"/>
        <w:contextualSpacing/>
        <w:jc w:val="both"/>
        <w:rPr>
          <w:rFonts w:eastAsia="Calibri"/>
          <w:i/>
          <w:szCs w:val="22"/>
          <w:lang w:eastAsia="en-US"/>
        </w:rPr>
      </w:pPr>
      <w:r w:rsidRPr="00A459B8">
        <w:rPr>
          <w:rFonts w:eastAsia="Calibri"/>
          <w:i/>
          <w:szCs w:val="22"/>
          <w:lang w:eastAsia="en-US"/>
        </w:rPr>
        <w:t>Pozn.: 1) Primárna energetická spotreba je vypočítaná ako rozdiel hrubej domácej spotreby a neenergetickej spotreby,</w:t>
      </w:r>
    </w:p>
    <w:p w:rsidR="0024416E" w:rsidRPr="00A459B8" w:rsidRDefault="0024416E" w:rsidP="0024416E">
      <w:pPr>
        <w:spacing w:before="20" w:after="20"/>
        <w:contextualSpacing/>
        <w:jc w:val="both"/>
        <w:rPr>
          <w:rFonts w:eastAsia="Calibri"/>
          <w:i/>
          <w:szCs w:val="22"/>
          <w:lang w:eastAsia="en-US"/>
        </w:rPr>
      </w:pPr>
      <w:r w:rsidRPr="00A459B8">
        <w:rPr>
          <w:rFonts w:eastAsia="Calibri"/>
          <w:i/>
          <w:szCs w:val="22"/>
          <w:lang w:eastAsia="en-US"/>
        </w:rPr>
        <w:t xml:space="preserve">2) </w:t>
      </w:r>
      <w:r w:rsidRPr="00A459B8">
        <w:rPr>
          <w:i/>
          <w:szCs w:val="22"/>
          <w:lang w:eastAsia="en-US"/>
        </w:rPr>
        <w:t>Uvedené v stálych cenách vypočítaných reťazením objemov s použitím referenčného roka 2010,</w:t>
      </w:r>
    </w:p>
    <w:p w:rsidR="0024416E" w:rsidRPr="00A459B8" w:rsidRDefault="0024416E" w:rsidP="0024416E">
      <w:pPr>
        <w:spacing w:before="20" w:after="20"/>
        <w:contextualSpacing/>
        <w:jc w:val="both"/>
        <w:rPr>
          <w:rFonts w:eastAsia="Calibri"/>
          <w:i/>
          <w:szCs w:val="22"/>
          <w:lang w:eastAsia="en-US"/>
        </w:rPr>
      </w:pPr>
      <w:r w:rsidRPr="00A459B8">
        <w:rPr>
          <w:rFonts w:eastAsia="Calibri"/>
          <w:i/>
          <w:szCs w:val="22"/>
          <w:lang w:eastAsia="en-US"/>
        </w:rPr>
        <w:t>3) Výroba elektriny v tepelných elektrárňach je vypočítaná ako súčet verejných a závodných výrobní,</w:t>
      </w:r>
    </w:p>
    <w:p w:rsidR="0024416E" w:rsidRPr="00A459B8" w:rsidRDefault="0024416E" w:rsidP="0024416E">
      <w:pPr>
        <w:spacing w:before="20" w:after="20"/>
        <w:contextualSpacing/>
        <w:jc w:val="both"/>
        <w:rPr>
          <w:rFonts w:eastAsia="Calibri"/>
          <w:i/>
          <w:szCs w:val="22"/>
          <w:lang w:eastAsia="en-US"/>
        </w:rPr>
      </w:pPr>
      <w:r w:rsidRPr="00A459B8">
        <w:rPr>
          <w:rFonts w:eastAsia="Calibri"/>
          <w:i/>
          <w:szCs w:val="22"/>
          <w:lang w:eastAsia="en-US"/>
        </w:rPr>
        <w:t xml:space="preserve">4) </w:t>
      </w:r>
      <w:r w:rsidRPr="00A459B8">
        <w:rPr>
          <w:i/>
          <w:szCs w:val="22"/>
          <w:lang w:eastAsia="en-US"/>
        </w:rPr>
        <w:t xml:space="preserve">Výroba elektriny z KVET </w:t>
      </w:r>
      <w:r w:rsidRPr="00A459B8">
        <w:rPr>
          <w:rFonts w:eastAsia="Calibri"/>
          <w:i/>
          <w:szCs w:val="22"/>
          <w:lang w:eastAsia="en-US"/>
        </w:rPr>
        <w:t xml:space="preserve">je vypočítaná ako </w:t>
      </w:r>
      <w:r w:rsidRPr="00A459B8">
        <w:rPr>
          <w:i/>
          <w:szCs w:val="22"/>
          <w:lang w:eastAsia="en-US"/>
        </w:rPr>
        <w:t>súčet  verejných a závodných výrobní,</w:t>
      </w:r>
    </w:p>
    <w:p w:rsidR="0024416E" w:rsidRPr="00A459B8" w:rsidRDefault="0024416E" w:rsidP="0024416E">
      <w:pPr>
        <w:spacing w:before="20" w:after="20"/>
        <w:contextualSpacing/>
        <w:jc w:val="both"/>
        <w:rPr>
          <w:rFonts w:eastAsia="Calibri"/>
          <w:i/>
          <w:szCs w:val="22"/>
          <w:lang w:eastAsia="en-US"/>
        </w:rPr>
      </w:pPr>
      <w:r w:rsidRPr="00A459B8">
        <w:rPr>
          <w:rFonts w:eastAsia="Calibri"/>
          <w:i/>
          <w:szCs w:val="22"/>
          <w:lang w:eastAsia="en-US"/>
        </w:rPr>
        <w:t xml:space="preserve">5) </w:t>
      </w:r>
      <w:r w:rsidRPr="00A459B8">
        <w:rPr>
          <w:i/>
          <w:szCs w:val="22"/>
          <w:lang w:eastAsia="en-US"/>
        </w:rPr>
        <w:t>Výroba tepla v tepelných zariadeniach je získaná ako súčet množstva tepla vyrobeného v teplárňach rozdelených podľa palív,</w:t>
      </w:r>
    </w:p>
    <w:p w:rsidR="0024416E" w:rsidRPr="00A459B8" w:rsidRDefault="0024416E" w:rsidP="0024416E">
      <w:pPr>
        <w:spacing w:before="20" w:after="20"/>
        <w:contextualSpacing/>
        <w:jc w:val="both"/>
        <w:rPr>
          <w:rFonts w:eastAsia="Calibri"/>
          <w:i/>
          <w:szCs w:val="22"/>
          <w:lang w:eastAsia="en-US"/>
        </w:rPr>
      </w:pPr>
      <w:r w:rsidRPr="00A459B8">
        <w:rPr>
          <w:rFonts w:eastAsia="Calibri"/>
          <w:i/>
          <w:szCs w:val="22"/>
          <w:lang w:eastAsia="en-US"/>
        </w:rPr>
        <w:lastRenderedPageBreak/>
        <w:t>6)</w:t>
      </w:r>
      <w:r w:rsidRPr="00A459B8">
        <w:rPr>
          <w:i/>
          <w:szCs w:val="22"/>
          <w:lang w:eastAsia="en-US"/>
        </w:rPr>
        <w:t xml:space="preserve"> Výroba tepla zo zariadení KVET vrátane odpadového tepla v priemysle</w:t>
      </w:r>
      <w:r w:rsidRPr="00A459B8">
        <w:rPr>
          <w:rFonts w:eastAsia="Calibri"/>
          <w:i/>
          <w:szCs w:val="22"/>
          <w:lang w:eastAsia="en-US"/>
        </w:rPr>
        <w:t xml:space="preserve"> je vypočítaná </w:t>
      </w:r>
      <w:r w:rsidRPr="00A459B8">
        <w:rPr>
          <w:i/>
          <w:szCs w:val="22"/>
          <w:lang w:eastAsia="en-US"/>
        </w:rPr>
        <w:t>ako súčet množstva tepla vyrobeného vo verejných a závodných teplárňach a spotreby tepla v priemysle</w:t>
      </w:r>
      <w:r w:rsidRPr="00A459B8">
        <w:rPr>
          <w:rFonts w:eastAsia="Calibri"/>
          <w:i/>
          <w:szCs w:val="22"/>
          <w:lang w:eastAsia="en-US"/>
        </w:rPr>
        <w:t>,</w:t>
      </w:r>
    </w:p>
    <w:p w:rsidR="0024416E" w:rsidRPr="00A459B8" w:rsidRDefault="0024416E" w:rsidP="0024416E">
      <w:pPr>
        <w:spacing w:before="20" w:after="20"/>
        <w:contextualSpacing/>
        <w:jc w:val="both"/>
        <w:rPr>
          <w:i/>
          <w:szCs w:val="22"/>
          <w:lang w:eastAsia="en-US"/>
        </w:rPr>
      </w:pPr>
      <w:r w:rsidRPr="00A459B8">
        <w:rPr>
          <w:rFonts w:eastAsia="Calibri"/>
          <w:i/>
          <w:szCs w:val="22"/>
          <w:lang w:eastAsia="en-US"/>
        </w:rPr>
        <w:t xml:space="preserve">7) </w:t>
      </w:r>
      <w:r w:rsidRPr="00A459B8">
        <w:rPr>
          <w:i/>
          <w:szCs w:val="22"/>
          <w:lang w:eastAsia="en-US"/>
        </w:rPr>
        <w:t xml:space="preserve">Palivové vstupy v tepelných zariadeniach </w:t>
      </w:r>
      <w:r w:rsidRPr="00A459B8">
        <w:rPr>
          <w:rFonts w:eastAsia="Calibri"/>
          <w:i/>
          <w:szCs w:val="22"/>
          <w:lang w:eastAsia="en-US"/>
        </w:rPr>
        <w:t xml:space="preserve">sú vypočítané </w:t>
      </w:r>
      <w:r w:rsidRPr="00A459B8">
        <w:rPr>
          <w:i/>
          <w:szCs w:val="22"/>
          <w:lang w:eastAsia="en-US"/>
        </w:rPr>
        <w:t>ako</w:t>
      </w:r>
      <w:r w:rsidRPr="00A459B8">
        <w:rPr>
          <w:rFonts w:eastAsia="Calibri"/>
          <w:i/>
          <w:szCs w:val="22"/>
          <w:lang w:eastAsia="en-US"/>
        </w:rPr>
        <w:t xml:space="preserve"> </w:t>
      </w:r>
      <w:r w:rsidRPr="00A459B8">
        <w:rPr>
          <w:i/>
          <w:szCs w:val="22"/>
          <w:lang w:eastAsia="en-US"/>
        </w:rPr>
        <w:t xml:space="preserve">súčet palivových </w:t>
      </w:r>
      <w:proofErr w:type="spellStart"/>
      <w:r w:rsidRPr="00A459B8">
        <w:rPr>
          <w:i/>
          <w:szCs w:val="22"/>
          <w:lang w:eastAsia="en-US"/>
        </w:rPr>
        <w:t>vsázok</w:t>
      </w:r>
      <w:proofErr w:type="spellEnd"/>
      <w:r w:rsidRPr="00A459B8">
        <w:rPr>
          <w:i/>
          <w:szCs w:val="22"/>
          <w:lang w:eastAsia="en-US"/>
        </w:rPr>
        <w:t xml:space="preserve"> v teplárňach rozdelených podľa palív,</w:t>
      </w:r>
    </w:p>
    <w:p w:rsidR="0024416E" w:rsidRPr="00A459B8" w:rsidRDefault="0024416E" w:rsidP="0024416E">
      <w:pPr>
        <w:spacing w:before="20" w:after="20"/>
        <w:contextualSpacing/>
        <w:jc w:val="both"/>
        <w:rPr>
          <w:i/>
          <w:sz w:val="16"/>
          <w:szCs w:val="22"/>
          <w:lang w:eastAsia="en-US"/>
        </w:rPr>
      </w:pPr>
      <w:r w:rsidRPr="00A459B8">
        <w:rPr>
          <w:i/>
          <w:szCs w:val="24"/>
          <w:lang w:eastAsia="en-US"/>
        </w:rPr>
        <w:t>8) Zahŕňa verejnú a neverejnú dopravu (ŠÚ SR)  a IAD (MDV SR).</w:t>
      </w:r>
    </w:p>
    <w:p w:rsidR="0024416E" w:rsidRPr="00A459B8" w:rsidRDefault="0024416E" w:rsidP="0024416E">
      <w:pPr>
        <w:spacing w:before="20" w:after="20"/>
        <w:contextualSpacing/>
        <w:jc w:val="both"/>
        <w:rPr>
          <w:rFonts w:eastAsia="Calibri"/>
          <w:i/>
          <w:szCs w:val="22"/>
          <w:lang w:eastAsia="en-US"/>
        </w:rPr>
      </w:pPr>
      <w:r w:rsidRPr="00A459B8">
        <w:rPr>
          <w:rFonts w:eastAsia="Calibri"/>
          <w:i/>
          <w:szCs w:val="22"/>
          <w:lang w:eastAsia="en-US"/>
        </w:rPr>
        <w:t xml:space="preserve">* - Konečná energetická spotreba v doprave pri údajoch </w:t>
      </w:r>
      <w:proofErr w:type="spellStart"/>
      <w:r w:rsidRPr="00A459B8">
        <w:rPr>
          <w:rFonts w:eastAsia="Calibri"/>
          <w:i/>
          <w:szCs w:val="22"/>
          <w:lang w:eastAsia="en-US"/>
        </w:rPr>
        <w:t>Eurostatu</w:t>
      </w:r>
      <w:proofErr w:type="spellEnd"/>
      <w:r w:rsidRPr="00A459B8">
        <w:rPr>
          <w:rFonts w:eastAsia="Calibri"/>
          <w:i/>
          <w:szCs w:val="22"/>
          <w:lang w:eastAsia="en-US"/>
        </w:rPr>
        <w:t xml:space="preserve"> zahŕňa aj spotrebu energie na plynovody,</w:t>
      </w:r>
    </w:p>
    <w:p w:rsidR="0024416E" w:rsidRPr="00A459B8" w:rsidRDefault="0024416E" w:rsidP="0024416E">
      <w:pPr>
        <w:spacing w:before="20" w:after="20"/>
        <w:contextualSpacing/>
        <w:jc w:val="both"/>
        <w:rPr>
          <w:rFonts w:eastAsia="Calibri"/>
          <w:i/>
          <w:szCs w:val="22"/>
          <w:lang w:eastAsia="en-US"/>
        </w:rPr>
      </w:pPr>
      <w:r w:rsidRPr="00A459B8">
        <w:rPr>
          <w:rFonts w:eastAsia="Calibri"/>
          <w:i/>
          <w:szCs w:val="22"/>
          <w:lang w:eastAsia="en-US"/>
        </w:rPr>
        <w:t xml:space="preserve">** - Označené údaje ŠÚSR nevypočítava ani nepublikuje, </w:t>
      </w:r>
    </w:p>
    <w:p w:rsidR="0024416E" w:rsidRPr="00A459B8" w:rsidRDefault="0024416E" w:rsidP="0024416E">
      <w:pPr>
        <w:spacing w:before="20" w:after="20"/>
        <w:contextualSpacing/>
        <w:jc w:val="both"/>
        <w:rPr>
          <w:rFonts w:eastAsia="Calibri"/>
          <w:i/>
          <w:szCs w:val="22"/>
          <w:lang w:eastAsia="en-US"/>
        </w:rPr>
      </w:pPr>
      <w:r w:rsidRPr="00A459B8">
        <w:rPr>
          <w:rFonts w:eastAsia="Calibri"/>
          <w:i/>
          <w:szCs w:val="22"/>
          <w:lang w:eastAsia="en-US"/>
        </w:rPr>
        <w:t xml:space="preserve">*** - Rozdiel vyplýva z rôznej úrovne dopočtov (štvrťrok/rok), </w:t>
      </w:r>
    </w:p>
    <w:p w:rsidR="0024416E" w:rsidRPr="00A459B8" w:rsidRDefault="0024416E" w:rsidP="0024416E">
      <w:pPr>
        <w:spacing w:before="20" w:after="20"/>
        <w:contextualSpacing/>
        <w:jc w:val="both"/>
        <w:rPr>
          <w:rFonts w:eastAsia="Calibri"/>
          <w:i/>
          <w:szCs w:val="22"/>
          <w:lang w:eastAsia="en-US"/>
        </w:rPr>
      </w:pPr>
      <w:r w:rsidRPr="00A459B8">
        <w:rPr>
          <w:rFonts w:eastAsia="Calibri"/>
          <w:i/>
          <w:szCs w:val="22"/>
          <w:lang w:eastAsia="en-US"/>
        </w:rPr>
        <w:t xml:space="preserve">****- Nakoľko </w:t>
      </w:r>
      <w:r w:rsidRPr="00C61CB6">
        <w:rPr>
          <w:rFonts w:eastAsia="Calibri"/>
          <w:i/>
        </w:rPr>
        <w:t xml:space="preserve">niektoré údaje </w:t>
      </w:r>
      <w:proofErr w:type="spellStart"/>
      <w:r w:rsidRPr="00C61CB6">
        <w:rPr>
          <w:rFonts w:eastAsia="Calibri"/>
          <w:i/>
        </w:rPr>
        <w:t>Eurostatu</w:t>
      </w:r>
      <w:proofErr w:type="spellEnd"/>
      <w:r w:rsidRPr="00C61CB6">
        <w:rPr>
          <w:rFonts w:eastAsia="Calibri"/>
          <w:i/>
        </w:rPr>
        <w:t xml:space="preserve"> </w:t>
      </w:r>
      <w:r>
        <w:rPr>
          <w:rFonts w:eastAsia="Calibri"/>
          <w:i/>
        </w:rPr>
        <w:t>ne</w:t>
      </w:r>
      <w:r w:rsidRPr="00A459B8">
        <w:rPr>
          <w:rFonts w:eastAsia="Calibri"/>
          <w:i/>
          <w:szCs w:val="22"/>
          <w:lang w:eastAsia="en-US"/>
        </w:rPr>
        <w:t xml:space="preserve">boli v čase prípravy k dispozícii, tieto budú </w:t>
      </w:r>
      <w:r w:rsidRPr="006D7B5F">
        <w:rPr>
          <w:rFonts w:eastAsia="Calibri"/>
          <w:i/>
        </w:rPr>
        <w:t>doplnené</w:t>
      </w:r>
      <w:r w:rsidRPr="00A459B8" w:rsidDel="006D7B5F">
        <w:rPr>
          <w:rFonts w:eastAsia="Calibri"/>
          <w:i/>
          <w:szCs w:val="22"/>
          <w:lang w:eastAsia="en-US"/>
        </w:rPr>
        <w:t xml:space="preserve"> </w:t>
      </w:r>
      <w:r w:rsidRPr="0021689A">
        <w:rPr>
          <w:rFonts w:eastAsia="Calibri"/>
          <w:i/>
        </w:rPr>
        <w:t>dodatočne</w:t>
      </w:r>
      <w:r w:rsidRPr="00A459B8">
        <w:rPr>
          <w:rFonts w:eastAsia="Calibri"/>
          <w:i/>
          <w:szCs w:val="22"/>
          <w:lang w:eastAsia="en-US"/>
        </w:rPr>
        <w:t>.</w:t>
      </w:r>
    </w:p>
    <w:p w:rsidR="0024416E" w:rsidRPr="00A459B8" w:rsidRDefault="0024416E" w:rsidP="0024416E">
      <w:pPr>
        <w:keepNext/>
        <w:rPr>
          <w:rFonts w:ascii="Calibri" w:eastAsia="Calibri" w:hAnsi="Calibri"/>
          <w:sz w:val="22"/>
          <w:szCs w:val="22"/>
          <w:lang w:eastAsia="en-US"/>
        </w:rPr>
      </w:pPr>
    </w:p>
    <w:p w:rsidR="0024416E" w:rsidRPr="00A459B8" w:rsidRDefault="0024416E" w:rsidP="00075A67">
      <w:pPr>
        <w:contextualSpacing/>
        <w:jc w:val="both"/>
        <w:rPr>
          <w:rFonts w:ascii="Calibri" w:eastAsia="Calibri" w:hAnsi="Calibri"/>
          <w:sz w:val="22"/>
          <w:szCs w:val="22"/>
          <w:lang w:eastAsia="en-US"/>
        </w:rPr>
      </w:pPr>
      <w:r w:rsidRPr="00A459B8">
        <w:rPr>
          <w:rFonts w:eastAsia="Calibri"/>
          <w:sz w:val="24"/>
          <w:szCs w:val="24"/>
          <w:lang w:eastAsia="en-US"/>
        </w:rPr>
        <w:t>Hlavným dôvodom rozdielov medzi údajmi ŠÚSR a </w:t>
      </w:r>
      <w:proofErr w:type="spellStart"/>
      <w:r w:rsidRPr="00A459B8">
        <w:rPr>
          <w:rFonts w:eastAsia="Calibri"/>
          <w:sz w:val="24"/>
          <w:szCs w:val="24"/>
          <w:lang w:eastAsia="en-US"/>
        </w:rPr>
        <w:t>Eurostatu</w:t>
      </w:r>
      <w:proofErr w:type="spellEnd"/>
      <w:r w:rsidRPr="00A459B8">
        <w:rPr>
          <w:rFonts w:eastAsia="Calibri"/>
          <w:sz w:val="24"/>
          <w:szCs w:val="24"/>
          <w:lang w:eastAsia="en-US"/>
        </w:rPr>
        <w:t xml:space="preserve"> sú rozdielne metodiky započítania údajov do jednotlivých položiek, nakoľko údajová základňa je zhodná. Ide najmä</w:t>
      </w:r>
      <w:r w:rsidRPr="00A459B8">
        <w:rPr>
          <w:rFonts w:ascii="Calibri" w:eastAsia="Calibri" w:hAnsi="Calibri"/>
          <w:sz w:val="22"/>
          <w:szCs w:val="22"/>
          <w:lang w:eastAsia="en-US"/>
        </w:rPr>
        <w:t xml:space="preserve"> </w:t>
      </w:r>
      <w:r w:rsidRPr="00A459B8">
        <w:rPr>
          <w:rFonts w:eastAsia="Calibri"/>
          <w:sz w:val="24"/>
          <w:szCs w:val="24"/>
          <w:lang w:eastAsia="en-US"/>
        </w:rPr>
        <w:t xml:space="preserve">o rozdiely pri vykazovaní spotreby uhlia, spotreby energie na pohon kompresných staníc plynovodu, ako aj o fakt, že ŠÚSR prepočítava všetky palivá cez výhrevnosť, kým </w:t>
      </w:r>
      <w:proofErr w:type="spellStart"/>
      <w:r w:rsidRPr="00A459B8">
        <w:rPr>
          <w:rFonts w:eastAsia="Calibri"/>
          <w:sz w:val="24"/>
          <w:szCs w:val="24"/>
          <w:lang w:eastAsia="en-US"/>
        </w:rPr>
        <w:t>Eurostat</w:t>
      </w:r>
      <w:proofErr w:type="spellEnd"/>
      <w:r w:rsidRPr="00A459B8">
        <w:rPr>
          <w:rFonts w:eastAsia="Calibri"/>
          <w:sz w:val="24"/>
          <w:szCs w:val="24"/>
          <w:lang w:eastAsia="en-US"/>
        </w:rPr>
        <w:t xml:space="preserve"> prepočítava časť palív cez spalné teplo.</w:t>
      </w:r>
      <w:r w:rsidRPr="00A459B8">
        <w:rPr>
          <w:rFonts w:ascii="Calibri" w:eastAsia="Calibri" w:hAnsi="Calibri"/>
          <w:sz w:val="22"/>
          <w:szCs w:val="22"/>
          <w:lang w:eastAsia="en-US"/>
        </w:rPr>
        <w:t xml:space="preserve"> </w:t>
      </w:r>
    </w:p>
    <w:p w:rsidR="0024416E" w:rsidRPr="00A26D06" w:rsidRDefault="0024416E" w:rsidP="0024416E">
      <w:pPr>
        <w:keepNext/>
        <w:keepLines/>
        <w:spacing w:before="480" w:line="276" w:lineRule="auto"/>
        <w:outlineLvl w:val="0"/>
        <w:rPr>
          <w:rFonts w:ascii="Cambria" w:hAnsi="Cambria"/>
          <w:b/>
          <w:bCs/>
          <w:sz w:val="28"/>
          <w:szCs w:val="28"/>
          <w:lang w:eastAsia="en-US"/>
        </w:rPr>
      </w:pPr>
      <w:bookmarkStart w:id="2" w:name="_Toc475385083"/>
      <w:r w:rsidRPr="00A26D06">
        <w:rPr>
          <w:rFonts w:ascii="Cambria" w:hAnsi="Cambria"/>
          <w:b/>
          <w:bCs/>
          <w:sz w:val="28"/>
          <w:szCs w:val="28"/>
          <w:lang w:eastAsia="en-US"/>
        </w:rPr>
        <w:t>2. Vývoj spotreby energie v jednotlivých sektoroch</w:t>
      </w:r>
      <w:bookmarkEnd w:id="2"/>
      <w:r w:rsidRPr="00A26D06">
        <w:rPr>
          <w:rFonts w:ascii="Cambria" w:hAnsi="Cambria"/>
          <w:b/>
          <w:bCs/>
          <w:sz w:val="28"/>
          <w:szCs w:val="28"/>
          <w:lang w:eastAsia="en-US"/>
        </w:rPr>
        <w:t xml:space="preserve"> </w:t>
      </w:r>
    </w:p>
    <w:p w:rsidR="0024416E" w:rsidRPr="00A459B8" w:rsidRDefault="0024416E" w:rsidP="0024416E">
      <w:pPr>
        <w:rPr>
          <w:rFonts w:eastAsia="Calibri"/>
          <w:sz w:val="24"/>
          <w:szCs w:val="24"/>
          <w:lang w:eastAsia="en-US"/>
        </w:rPr>
      </w:pPr>
    </w:p>
    <w:p w:rsidR="0024416E" w:rsidRPr="00A459B8" w:rsidRDefault="0024416E" w:rsidP="0024416E">
      <w:pPr>
        <w:rPr>
          <w:rFonts w:eastAsia="Calibri"/>
          <w:sz w:val="24"/>
          <w:szCs w:val="24"/>
          <w:lang w:eastAsia="en-US"/>
        </w:rPr>
      </w:pPr>
      <w:r w:rsidRPr="00A459B8">
        <w:rPr>
          <w:rFonts w:eastAsia="Calibri"/>
          <w:sz w:val="24"/>
          <w:szCs w:val="24"/>
          <w:lang w:eastAsia="en-US"/>
        </w:rPr>
        <w:t>Tabuľka č. 2: Vývoj konečnej energetickej spotreby v jednotlivých sektoroch v rokoch 2005-2015 (TJ)</w:t>
      </w:r>
    </w:p>
    <w:tbl>
      <w:tblPr>
        <w:tblW w:w="9574" w:type="dxa"/>
        <w:tblInd w:w="55" w:type="dxa"/>
        <w:tblLayout w:type="fixed"/>
        <w:tblCellMar>
          <w:left w:w="70" w:type="dxa"/>
          <w:right w:w="70" w:type="dxa"/>
        </w:tblCellMar>
        <w:tblLook w:val="04A0" w:firstRow="1" w:lastRow="0" w:firstColumn="1" w:lastColumn="0" w:noHBand="0" w:noVBand="1"/>
      </w:tblPr>
      <w:tblGrid>
        <w:gridCol w:w="1636"/>
        <w:gridCol w:w="708"/>
        <w:gridCol w:w="709"/>
        <w:gridCol w:w="709"/>
        <w:gridCol w:w="709"/>
        <w:gridCol w:w="708"/>
        <w:gridCol w:w="709"/>
        <w:gridCol w:w="709"/>
        <w:gridCol w:w="709"/>
        <w:gridCol w:w="745"/>
        <w:gridCol w:w="721"/>
        <w:gridCol w:w="802"/>
      </w:tblGrid>
      <w:tr w:rsidR="0024416E" w:rsidRPr="00A459B8" w:rsidTr="00A26D06">
        <w:trPr>
          <w:trHeight w:val="372"/>
          <w:tblHeader/>
        </w:trPr>
        <w:tc>
          <w:tcPr>
            <w:tcW w:w="9574" w:type="dxa"/>
            <w:gridSpan w:val="12"/>
            <w:tcBorders>
              <w:top w:val="single" w:sz="8" w:space="0" w:color="auto"/>
              <w:left w:val="single" w:sz="8" w:space="0" w:color="auto"/>
              <w:bottom w:val="single" w:sz="8" w:space="0" w:color="auto"/>
              <w:right w:val="single" w:sz="8" w:space="0" w:color="000000"/>
            </w:tcBorders>
            <w:shd w:val="clear" w:color="000000" w:fill="CCCCCC"/>
            <w:noWrap/>
            <w:vAlign w:val="center"/>
            <w:hideMark/>
          </w:tcPr>
          <w:p w:rsidR="0024416E" w:rsidRPr="00A459B8" w:rsidRDefault="0024416E" w:rsidP="00A26D06">
            <w:pPr>
              <w:jc w:val="center"/>
              <w:rPr>
                <w:b/>
                <w:bCs/>
                <w:color w:val="000000"/>
                <w:sz w:val="16"/>
                <w:szCs w:val="16"/>
              </w:rPr>
            </w:pPr>
            <w:r w:rsidRPr="00A459B8">
              <w:rPr>
                <w:b/>
                <w:bCs/>
                <w:color w:val="000000"/>
                <w:sz w:val="16"/>
                <w:szCs w:val="16"/>
              </w:rPr>
              <w:t xml:space="preserve">Konečná energetická spotreba (KES) </w:t>
            </w:r>
            <w:r w:rsidRPr="00A459B8">
              <w:rPr>
                <w:color w:val="000000"/>
                <w:sz w:val="22"/>
                <w:szCs w:val="22"/>
              </w:rPr>
              <w:t xml:space="preserve"> </w:t>
            </w:r>
            <w:r>
              <w:rPr>
                <w:b/>
                <w:bCs/>
                <w:color w:val="000000"/>
                <w:sz w:val="16"/>
                <w:szCs w:val="16"/>
              </w:rPr>
              <w:t>v rokoch 2005</w:t>
            </w:r>
            <w:r w:rsidRPr="00A459B8">
              <w:rPr>
                <w:b/>
                <w:bCs/>
                <w:color w:val="000000"/>
                <w:sz w:val="16"/>
                <w:szCs w:val="16"/>
              </w:rPr>
              <w:t>-2015 [TJ]</w:t>
            </w:r>
          </w:p>
        </w:tc>
      </w:tr>
      <w:tr w:rsidR="0024416E" w:rsidRPr="00A459B8" w:rsidTr="00A26D06">
        <w:trPr>
          <w:trHeight w:val="270"/>
          <w:tblHeader/>
        </w:trPr>
        <w:tc>
          <w:tcPr>
            <w:tcW w:w="1636" w:type="dxa"/>
            <w:tcBorders>
              <w:top w:val="nil"/>
              <w:left w:val="single" w:sz="8" w:space="0" w:color="auto"/>
              <w:bottom w:val="single" w:sz="8" w:space="0" w:color="auto"/>
              <w:right w:val="single" w:sz="8" w:space="0" w:color="auto"/>
            </w:tcBorders>
            <w:shd w:val="clear" w:color="000000" w:fill="CCCCCC"/>
            <w:noWrap/>
            <w:vAlign w:val="center"/>
            <w:hideMark/>
          </w:tcPr>
          <w:p w:rsidR="0024416E" w:rsidRPr="00A459B8" w:rsidRDefault="0024416E" w:rsidP="00A26D06">
            <w:pPr>
              <w:rPr>
                <w:b/>
                <w:bCs/>
                <w:color w:val="000000"/>
                <w:sz w:val="16"/>
                <w:szCs w:val="16"/>
              </w:rPr>
            </w:pPr>
            <w:r w:rsidRPr="00A459B8">
              <w:rPr>
                <w:b/>
                <w:bCs/>
                <w:color w:val="000000"/>
                <w:sz w:val="16"/>
                <w:szCs w:val="22"/>
              </w:rPr>
              <w:t> </w:t>
            </w:r>
          </w:p>
        </w:tc>
        <w:tc>
          <w:tcPr>
            <w:tcW w:w="708" w:type="dxa"/>
            <w:tcBorders>
              <w:top w:val="nil"/>
              <w:left w:val="nil"/>
              <w:bottom w:val="single" w:sz="8" w:space="0" w:color="auto"/>
              <w:right w:val="single" w:sz="8" w:space="0" w:color="auto"/>
            </w:tcBorders>
            <w:shd w:val="clear" w:color="000000" w:fill="CCCCCC"/>
            <w:vAlign w:val="center"/>
          </w:tcPr>
          <w:p w:rsidR="0024416E" w:rsidRPr="00A459B8" w:rsidRDefault="0024416E" w:rsidP="00A26D06">
            <w:pPr>
              <w:jc w:val="center"/>
              <w:rPr>
                <w:b/>
                <w:bCs/>
                <w:color w:val="000000"/>
                <w:sz w:val="16"/>
                <w:szCs w:val="16"/>
              </w:rPr>
            </w:pPr>
            <w:r w:rsidRPr="00A459B8">
              <w:rPr>
                <w:b/>
                <w:bCs/>
                <w:color w:val="000000"/>
                <w:sz w:val="16"/>
                <w:szCs w:val="22"/>
              </w:rPr>
              <w:t>2005</w:t>
            </w:r>
          </w:p>
        </w:tc>
        <w:tc>
          <w:tcPr>
            <w:tcW w:w="709" w:type="dxa"/>
            <w:tcBorders>
              <w:top w:val="nil"/>
              <w:left w:val="nil"/>
              <w:bottom w:val="single" w:sz="8" w:space="0" w:color="auto"/>
              <w:right w:val="single" w:sz="8" w:space="0" w:color="auto"/>
            </w:tcBorders>
            <w:shd w:val="clear" w:color="000000" w:fill="CCCCCC"/>
            <w:vAlign w:val="center"/>
            <w:hideMark/>
          </w:tcPr>
          <w:p w:rsidR="0024416E" w:rsidRPr="00A459B8" w:rsidRDefault="0024416E" w:rsidP="00A26D06">
            <w:pPr>
              <w:jc w:val="center"/>
              <w:rPr>
                <w:b/>
                <w:bCs/>
                <w:color w:val="000000"/>
                <w:sz w:val="16"/>
                <w:szCs w:val="16"/>
              </w:rPr>
            </w:pPr>
            <w:r w:rsidRPr="00A459B8">
              <w:rPr>
                <w:b/>
                <w:bCs/>
                <w:color w:val="000000"/>
                <w:sz w:val="16"/>
                <w:szCs w:val="22"/>
              </w:rPr>
              <w:t>2006</w:t>
            </w:r>
          </w:p>
        </w:tc>
        <w:tc>
          <w:tcPr>
            <w:tcW w:w="709" w:type="dxa"/>
            <w:tcBorders>
              <w:top w:val="nil"/>
              <w:left w:val="nil"/>
              <w:bottom w:val="single" w:sz="8" w:space="0" w:color="auto"/>
              <w:right w:val="single" w:sz="8" w:space="0" w:color="auto"/>
            </w:tcBorders>
            <w:shd w:val="clear" w:color="000000" w:fill="CCCCCC"/>
            <w:vAlign w:val="center"/>
            <w:hideMark/>
          </w:tcPr>
          <w:p w:rsidR="0024416E" w:rsidRPr="00A459B8" w:rsidRDefault="0024416E" w:rsidP="00A26D06">
            <w:pPr>
              <w:jc w:val="center"/>
              <w:rPr>
                <w:b/>
                <w:bCs/>
                <w:color w:val="000000"/>
                <w:sz w:val="16"/>
                <w:szCs w:val="16"/>
              </w:rPr>
            </w:pPr>
            <w:r w:rsidRPr="00A459B8">
              <w:rPr>
                <w:b/>
                <w:bCs/>
                <w:color w:val="000000"/>
                <w:sz w:val="16"/>
                <w:szCs w:val="22"/>
              </w:rPr>
              <w:t>2007</w:t>
            </w:r>
          </w:p>
        </w:tc>
        <w:tc>
          <w:tcPr>
            <w:tcW w:w="709" w:type="dxa"/>
            <w:tcBorders>
              <w:top w:val="nil"/>
              <w:left w:val="nil"/>
              <w:bottom w:val="single" w:sz="8" w:space="0" w:color="auto"/>
              <w:right w:val="single" w:sz="8" w:space="0" w:color="auto"/>
            </w:tcBorders>
            <w:shd w:val="clear" w:color="000000" w:fill="CCCCCC"/>
            <w:vAlign w:val="center"/>
            <w:hideMark/>
          </w:tcPr>
          <w:p w:rsidR="0024416E" w:rsidRPr="00A459B8" w:rsidRDefault="0024416E" w:rsidP="00A26D06">
            <w:pPr>
              <w:jc w:val="center"/>
              <w:rPr>
                <w:b/>
                <w:bCs/>
                <w:color w:val="000000"/>
                <w:sz w:val="16"/>
                <w:szCs w:val="16"/>
              </w:rPr>
            </w:pPr>
            <w:r w:rsidRPr="00A459B8">
              <w:rPr>
                <w:b/>
                <w:bCs/>
                <w:color w:val="000000"/>
                <w:sz w:val="16"/>
                <w:szCs w:val="22"/>
              </w:rPr>
              <w:t>2008</w:t>
            </w:r>
          </w:p>
        </w:tc>
        <w:tc>
          <w:tcPr>
            <w:tcW w:w="708" w:type="dxa"/>
            <w:tcBorders>
              <w:top w:val="nil"/>
              <w:left w:val="nil"/>
              <w:bottom w:val="single" w:sz="8" w:space="0" w:color="auto"/>
              <w:right w:val="single" w:sz="8" w:space="0" w:color="auto"/>
            </w:tcBorders>
            <w:shd w:val="clear" w:color="000000" w:fill="CCCCCC"/>
            <w:vAlign w:val="center"/>
            <w:hideMark/>
          </w:tcPr>
          <w:p w:rsidR="0024416E" w:rsidRPr="00A459B8" w:rsidRDefault="0024416E" w:rsidP="00A26D06">
            <w:pPr>
              <w:jc w:val="center"/>
              <w:rPr>
                <w:b/>
                <w:bCs/>
                <w:color w:val="000000"/>
                <w:sz w:val="16"/>
                <w:szCs w:val="16"/>
              </w:rPr>
            </w:pPr>
            <w:r w:rsidRPr="00A459B8">
              <w:rPr>
                <w:b/>
                <w:bCs/>
                <w:color w:val="000000"/>
                <w:sz w:val="16"/>
                <w:szCs w:val="22"/>
              </w:rPr>
              <w:t>2009</w:t>
            </w:r>
          </w:p>
        </w:tc>
        <w:tc>
          <w:tcPr>
            <w:tcW w:w="709" w:type="dxa"/>
            <w:tcBorders>
              <w:top w:val="nil"/>
              <w:left w:val="nil"/>
              <w:bottom w:val="single" w:sz="8" w:space="0" w:color="auto"/>
              <w:right w:val="single" w:sz="8" w:space="0" w:color="auto"/>
            </w:tcBorders>
            <w:shd w:val="clear" w:color="000000" w:fill="CCCCCC"/>
            <w:vAlign w:val="center"/>
            <w:hideMark/>
          </w:tcPr>
          <w:p w:rsidR="0024416E" w:rsidRPr="00A459B8" w:rsidRDefault="0024416E" w:rsidP="00A26D06">
            <w:pPr>
              <w:jc w:val="center"/>
              <w:rPr>
                <w:b/>
                <w:bCs/>
                <w:color w:val="000000"/>
                <w:sz w:val="16"/>
                <w:szCs w:val="16"/>
              </w:rPr>
            </w:pPr>
            <w:r w:rsidRPr="00A459B8">
              <w:rPr>
                <w:b/>
                <w:bCs/>
                <w:color w:val="000000"/>
                <w:sz w:val="16"/>
                <w:szCs w:val="22"/>
              </w:rPr>
              <w:t>2010</w:t>
            </w:r>
          </w:p>
        </w:tc>
        <w:tc>
          <w:tcPr>
            <w:tcW w:w="709" w:type="dxa"/>
            <w:tcBorders>
              <w:top w:val="nil"/>
              <w:left w:val="nil"/>
              <w:bottom w:val="single" w:sz="8" w:space="0" w:color="auto"/>
              <w:right w:val="single" w:sz="8" w:space="0" w:color="auto"/>
            </w:tcBorders>
            <w:shd w:val="clear" w:color="000000" w:fill="CCCCCC"/>
            <w:vAlign w:val="center"/>
            <w:hideMark/>
          </w:tcPr>
          <w:p w:rsidR="0024416E" w:rsidRPr="00A459B8" w:rsidRDefault="0024416E" w:rsidP="00A26D06">
            <w:pPr>
              <w:jc w:val="center"/>
              <w:rPr>
                <w:b/>
                <w:bCs/>
                <w:color w:val="000000"/>
                <w:sz w:val="16"/>
                <w:szCs w:val="16"/>
              </w:rPr>
            </w:pPr>
            <w:r w:rsidRPr="00A459B8">
              <w:rPr>
                <w:b/>
                <w:bCs/>
                <w:color w:val="000000"/>
                <w:sz w:val="16"/>
                <w:szCs w:val="22"/>
              </w:rPr>
              <w:t>2011</w:t>
            </w:r>
          </w:p>
        </w:tc>
        <w:tc>
          <w:tcPr>
            <w:tcW w:w="709" w:type="dxa"/>
            <w:tcBorders>
              <w:top w:val="nil"/>
              <w:left w:val="nil"/>
              <w:bottom w:val="single" w:sz="8" w:space="0" w:color="auto"/>
              <w:right w:val="single" w:sz="8" w:space="0" w:color="auto"/>
            </w:tcBorders>
            <w:shd w:val="clear" w:color="000000" w:fill="CCCCCC"/>
            <w:vAlign w:val="center"/>
            <w:hideMark/>
          </w:tcPr>
          <w:p w:rsidR="0024416E" w:rsidRPr="00A459B8" w:rsidRDefault="0024416E" w:rsidP="00A26D06">
            <w:pPr>
              <w:jc w:val="center"/>
              <w:rPr>
                <w:b/>
                <w:bCs/>
                <w:color w:val="000000"/>
                <w:sz w:val="16"/>
                <w:szCs w:val="16"/>
              </w:rPr>
            </w:pPr>
            <w:r w:rsidRPr="00A459B8">
              <w:rPr>
                <w:b/>
                <w:bCs/>
                <w:color w:val="000000"/>
                <w:sz w:val="16"/>
                <w:szCs w:val="16"/>
              </w:rPr>
              <w:t>2012</w:t>
            </w:r>
          </w:p>
        </w:tc>
        <w:tc>
          <w:tcPr>
            <w:tcW w:w="745" w:type="dxa"/>
            <w:tcBorders>
              <w:top w:val="nil"/>
              <w:left w:val="nil"/>
              <w:bottom w:val="single" w:sz="8" w:space="0" w:color="auto"/>
              <w:right w:val="single" w:sz="8" w:space="0" w:color="auto"/>
            </w:tcBorders>
            <w:shd w:val="clear" w:color="000000" w:fill="CCCCCC"/>
            <w:vAlign w:val="center"/>
            <w:hideMark/>
          </w:tcPr>
          <w:p w:rsidR="0024416E" w:rsidRPr="00A459B8" w:rsidRDefault="0024416E" w:rsidP="00A26D06">
            <w:pPr>
              <w:jc w:val="center"/>
              <w:rPr>
                <w:b/>
                <w:bCs/>
                <w:color w:val="000000"/>
                <w:sz w:val="16"/>
                <w:szCs w:val="16"/>
              </w:rPr>
            </w:pPr>
            <w:r w:rsidRPr="00A459B8">
              <w:rPr>
                <w:b/>
                <w:bCs/>
                <w:color w:val="000000"/>
                <w:sz w:val="16"/>
                <w:szCs w:val="16"/>
              </w:rPr>
              <w:t>2013</w:t>
            </w:r>
          </w:p>
        </w:tc>
        <w:tc>
          <w:tcPr>
            <w:tcW w:w="721" w:type="dxa"/>
            <w:tcBorders>
              <w:top w:val="nil"/>
              <w:left w:val="nil"/>
              <w:bottom w:val="single" w:sz="8" w:space="0" w:color="auto"/>
              <w:right w:val="single" w:sz="8" w:space="0" w:color="auto"/>
            </w:tcBorders>
            <w:shd w:val="clear" w:color="000000" w:fill="CCCCCC"/>
            <w:vAlign w:val="center"/>
            <w:hideMark/>
          </w:tcPr>
          <w:p w:rsidR="0024416E" w:rsidRPr="00A459B8" w:rsidRDefault="0024416E" w:rsidP="00A26D06">
            <w:pPr>
              <w:jc w:val="center"/>
              <w:rPr>
                <w:b/>
                <w:bCs/>
                <w:color w:val="000000"/>
                <w:sz w:val="16"/>
                <w:szCs w:val="16"/>
              </w:rPr>
            </w:pPr>
            <w:r w:rsidRPr="00A459B8">
              <w:rPr>
                <w:b/>
                <w:bCs/>
                <w:color w:val="000000"/>
                <w:sz w:val="16"/>
                <w:szCs w:val="16"/>
              </w:rPr>
              <w:t>2014</w:t>
            </w:r>
          </w:p>
        </w:tc>
        <w:tc>
          <w:tcPr>
            <w:tcW w:w="802" w:type="dxa"/>
            <w:tcBorders>
              <w:top w:val="nil"/>
              <w:left w:val="nil"/>
              <w:bottom w:val="single" w:sz="8" w:space="0" w:color="auto"/>
              <w:right w:val="single" w:sz="8" w:space="0" w:color="auto"/>
            </w:tcBorders>
            <w:shd w:val="clear" w:color="000000" w:fill="CCCCCC"/>
            <w:vAlign w:val="center"/>
          </w:tcPr>
          <w:p w:rsidR="0024416E" w:rsidRPr="00A459B8" w:rsidRDefault="0024416E" w:rsidP="00A26D06">
            <w:pPr>
              <w:jc w:val="center"/>
              <w:rPr>
                <w:b/>
                <w:bCs/>
                <w:color w:val="000000"/>
                <w:sz w:val="16"/>
                <w:szCs w:val="16"/>
              </w:rPr>
            </w:pPr>
            <w:r w:rsidRPr="00A459B8">
              <w:rPr>
                <w:b/>
                <w:bCs/>
                <w:color w:val="000000"/>
                <w:sz w:val="16"/>
                <w:szCs w:val="16"/>
              </w:rPr>
              <w:t>2015</w:t>
            </w:r>
          </w:p>
        </w:tc>
      </w:tr>
      <w:tr w:rsidR="0024416E" w:rsidRPr="00A459B8" w:rsidTr="00A26D06">
        <w:trPr>
          <w:trHeight w:val="270"/>
        </w:trPr>
        <w:tc>
          <w:tcPr>
            <w:tcW w:w="1636" w:type="dxa"/>
            <w:tcBorders>
              <w:top w:val="nil"/>
              <w:left w:val="single" w:sz="8" w:space="0" w:color="auto"/>
              <w:bottom w:val="single" w:sz="8" w:space="0" w:color="auto"/>
              <w:right w:val="single" w:sz="8" w:space="0" w:color="auto"/>
            </w:tcBorders>
            <w:shd w:val="clear" w:color="auto" w:fill="auto"/>
            <w:vAlign w:val="center"/>
            <w:hideMark/>
          </w:tcPr>
          <w:p w:rsidR="0024416E" w:rsidRPr="00A459B8" w:rsidRDefault="0024416E" w:rsidP="00A26D06">
            <w:pPr>
              <w:rPr>
                <w:b/>
                <w:bCs/>
                <w:color w:val="000000"/>
                <w:sz w:val="16"/>
                <w:szCs w:val="16"/>
              </w:rPr>
            </w:pPr>
            <w:r w:rsidRPr="00A459B8">
              <w:rPr>
                <w:b/>
                <w:bCs/>
                <w:color w:val="000000"/>
                <w:sz w:val="16"/>
                <w:szCs w:val="22"/>
              </w:rPr>
              <w:t>KES celková</w:t>
            </w:r>
          </w:p>
        </w:tc>
        <w:tc>
          <w:tcPr>
            <w:tcW w:w="708"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404 068</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406 458</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409 033</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418 291</w:t>
            </w:r>
          </w:p>
        </w:tc>
        <w:tc>
          <w:tcPr>
            <w:tcW w:w="708"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388 725</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419 031</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390 845</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379 105</w:t>
            </w:r>
          </w:p>
        </w:tc>
        <w:tc>
          <w:tcPr>
            <w:tcW w:w="745" w:type="dxa"/>
            <w:tcBorders>
              <w:top w:val="nil"/>
              <w:left w:val="nil"/>
              <w:bottom w:val="single" w:sz="8" w:space="0" w:color="auto"/>
              <w:right w:val="single" w:sz="8" w:space="0" w:color="auto"/>
            </w:tcBorders>
            <w:shd w:val="clear" w:color="auto" w:fill="auto"/>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387 842</w:t>
            </w:r>
          </w:p>
        </w:tc>
        <w:tc>
          <w:tcPr>
            <w:tcW w:w="721" w:type="dxa"/>
            <w:tcBorders>
              <w:top w:val="nil"/>
              <w:left w:val="nil"/>
              <w:bottom w:val="single" w:sz="8" w:space="0" w:color="auto"/>
              <w:right w:val="single" w:sz="8" w:space="0" w:color="auto"/>
            </w:tcBorders>
            <w:shd w:val="clear" w:color="auto" w:fill="auto"/>
            <w:vAlign w:val="center"/>
          </w:tcPr>
          <w:p w:rsidR="0024416E" w:rsidRPr="00A459B8" w:rsidRDefault="0024416E" w:rsidP="00A26D06">
            <w:pPr>
              <w:jc w:val="right"/>
              <w:rPr>
                <w:color w:val="000000"/>
                <w:sz w:val="16"/>
                <w:szCs w:val="16"/>
              </w:rPr>
            </w:pPr>
            <w:r w:rsidRPr="00A459B8">
              <w:rPr>
                <w:color w:val="000000"/>
                <w:sz w:val="16"/>
                <w:szCs w:val="16"/>
              </w:rPr>
              <w:t>364 705</w:t>
            </w:r>
          </w:p>
        </w:tc>
        <w:tc>
          <w:tcPr>
            <w:tcW w:w="802" w:type="dxa"/>
            <w:tcBorders>
              <w:top w:val="nil"/>
              <w:left w:val="nil"/>
              <w:bottom w:val="single" w:sz="8" w:space="0" w:color="auto"/>
              <w:right w:val="single" w:sz="8" w:space="0" w:color="auto"/>
            </w:tcBorders>
            <w:vAlign w:val="center"/>
          </w:tcPr>
          <w:p w:rsidR="0024416E" w:rsidRPr="00A459B8" w:rsidRDefault="0024416E" w:rsidP="00A26D06">
            <w:pPr>
              <w:jc w:val="center"/>
              <w:rPr>
                <w:rFonts w:eastAsia="Calibri"/>
                <w:color w:val="000000"/>
                <w:sz w:val="16"/>
                <w:szCs w:val="16"/>
                <w:lang w:eastAsia="en-US"/>
              </w:rPr>
            </w:pPr>
            <w:r w:rsidRPr="00A459B8">
              <w:rPr>
                <w:rFonts w:eastAsia="Calibri"/>
                <w:color w:val="000000"/>
                <w:sz w:val="16"/>
                <w:szCs w:val="16"/>
                <w:lang w:eastAsia="en-US"/>
              </w:rPr>
              <w:t>382 904</w:t>
            </w:r>
          </w:p>
        </w:tc>
      </w:tr>
      <w:tr w:rsidR="0024416E" w:rsidRPr="00A459B8" w:rsidTr="00A26D06">
        <w:trPr>
          <w:trHeight w:val="315"/>
        </w:trPr>
        <w:tc>
          <w:tcPr>
            <w:tcW w:w="1636" w:type="dxa"/>
            <w:tcBorders>
              <w:top w:val="nil"/>
              <w:left w:val="single" w:sz="8" w:space="0" w:color="auto"/>
              <w:bottom w:val="single" w:sz="8" w:space="0" w:color="auto"/>
              <w:right w:val="single" w:sz="8" w:space="0" w:color="auto"/>
            </w:tcBorders>
            <w:shd w:val="clear" w:color="auto" w:fill="auto"/>
            <w:vAlign w:val="center"/>
            <w:hideMark/>
          </w:tcPr>
          <w:p w:rsidR="0024416E" w:rsidRPr="00A459B8" w:rsidRDefault="0024416E" w:rsidP="00A26D06">
            <w:pPr>
              <w:rPr>
                <w:b/>
                <w:bCs/>
                <w:color w:val="000000"/>
                <w:sz w:val="16"/>
                <w:szCs w:val="16"/>
              </w:rPr>
            </w:pPr>
            <w:r w:rsidRPr="00A459B8">
              <w:rPr>
                <w:b/>
                <w:bCs/>
                <w:color w:val="000000"/>
                <w:sz w:val="16"/>
                <w:szCs w:val="22"/>
              </w:rPr>
              <w:t>Priemysel</w:t>
            </w:r>
          </w:p>
        </w:tc>
        <w:tc>
          <w:tcPr>
            <w:tcW w:w="708"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148 785</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148 381</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153 704</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150 591</w:t>
            </w:r>
          </w:p>
        </w:tc>
        <w:tc>
          <w:tcPr>
            <w:tcW w:w="708"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130 038</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134 268</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135 575</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134 692</w:t>
            </w:r>
          </w:p>
        </w:tc>
        <w:tc>
          <w:tcPr>
            <w:tcW w:w="745" w:type="dxa"/>
            <w:tcBorders>
              <w:top w:val="nil"/>
              <w:left w:val="nil"/>
              <w:bottom w:val="single" w:sz="8" w:space="0" w:color="auto"/>
              <w:right w:val="single" w:sz="8" w:space="0" w:color="auto"/>
            </w:tcBorders>
            <w:shd w:val="clear" w:color="auto" w:fill="auto"/>
            <w:vAlign w:val="center"/>
          </w:tcPr>
          <w:p w:rsidR="0024416E" w:rsidRPr="00A459B8" w:rsidRDefault="0024416E" w:rsidP="00A26D06">
            <w:pPr>
              <w:jc w:val="right"/>
              <w:rPr>
                <w:color w:val="000000"/>
                <w:sz w:val="16"/>
                <w:szCs w:val="16"/>
              </w:rPr>
            </w:pPr>
            <w:r w:rsidRPr="00A459B8">
              <w:rPr>
                <w:color w:val="000000"/>
                <w:sz w:val="16"/>
                <w:szCs w:val="16"/>
              </w:rPr>
              <w:t>129 681</w:t>
            </w:r>
          </w:p>
        </w:tc>
        <w:tc>
          <w:tcPr>
            <w:tcW w:w="721" w:type="dxa"/>
            <w:tcBorders>
              <w:top w:val="nil"/>
              <w:left w:val="nil"/>
              <w:bottom w:val="single" w:sz="8" w:space="0" w:color="auto"/>
              <w:right w:val="single" w:sz="8" w:space="0" w:color="auto"/>
            </w:tcBorders>
            <w:shd w:val="clear" w:color="auto" w:fill="auto"/>
            <w:vAlign w:val="center"/>
          </w:tcPr>
          <w:p w:rsidR="0024416E" w:rsidRPr="00A459B8" w:rsidRDefault="0024416E" w:rsidP="00A26D06">
            <w:pPr>
              <w:jc w:val="right"/>
              <w:rPr>
                <w:color w:val="000000"/>
                <w:sz w:val="16"/>
                <w:szCs w:val="16"/>
              </w:rPr>
            </w:pPr>
            <w:r w:rsidRPr="00A459B8">
              <w:rPr>
                <w:color w:val="000000"/>
                <w:sz w:val="16"/>
                <w:szCs w:val="16"/>
              </w:rPr>
              <w:t>134 830</w:t>
            </w:r>
          </w:p>
        </w:tc>
        <w:tc>
          <w:tcPr>
            <w:tcW w:w="802" w:type="dxa"/>
            <w:tcBorders>
              <w:top w:val="nil"/>
              <w:left w:val="nil"/>
              <w:bottom w:val="single" w:sz="8" w:space="0" w:color="auto"/>
              <w:right w:val="single" w:sz="8" w:space="0" w:color="auto"/>
            </w:tcBorders>
            <w:vAlign w:val="center"/>
          </w:tcPr>
          <w:p w:rsidR="0024416E" w:rsidRPr="00A459B8" w:rsidRDefault="0024416E" w:rsidP="00A26D06">
            <w:pPr>
              <w:jc w:val="center"/>
              <w:rPr>
                <w:rFonts w:eastAsia="Calibri"/>
                <w:color w:val="000000"/>
                <w:sz w:val="16"/>
                <w:szCs w:val="16"/>
                <w:lang w:eastAsia="en-US"/>
              </w:rPr>
            </w:pPr>
            <w:r w:rsidRPr="00A459B8">
              <w:rPr>
                <w:rFonts w:eastAsia="Calibri"/>
                <w:color w:val="000000"/>
                <w:sz w:val="16"/>
                <w:szCs w:val="16"/>
                <w:lang w:eastAsia="en-US"/>
              </w:rPr>
              <w:t>138 781</w:t>
            </w:r>
          </w:p>
        </w:tc>
      </w:tr>
      <w:tr w:rsidR="0024416E" w:rsidRPr="00A459B8" w:rsidTr="00A26D06">
        <w:trPr>
          <w:trHeight w:val="315"/>
        </w:trPr>
        <w:tc>
          <w:tcPr>
            <w:tcW w:w="1636" w:type="dxa"/>
            <w:tcBorders>
              <w:top w:val="nil"/>
              <w:left w:val="single" w:sz="8" w:space="0" w:color="auto"/>
              <w:bottom w:val="single" w:sz="8" w:space="0" w:color="auto"/>
              <w:right w:val="single" w:sz="8" w:space="0" w:color="auto"/>
            </w:tcBorders>
            <w:shd w:val="clear" w:color="auto" w:fill="auto"/>
            <w:vAlign w:val="center"/>
            <w:hideMark/>
          </w:tcPr>
          <w:p w:rsidR="0024416E" w:rsidRPr="00A459B8" w:rsidRDefault="0024416E" w:rsidP="00A26D06">
            <w:pPr>
              <w:rPr>
                <w:b/>
                <w:bCs/>
                <w:color w:val="000000"/>
                <w:sz w:val="16"/>
                <w:szCs w:val="16"/>
              </w:rPr>
            </w:pPr>
            <w:r w:rsidRPr="00A459B8">
              <w:rPr>
                <w:b/>
                <w:bCs/>
                <w:color w:val="000000"/>
                <w:sz w:val="16"/>
                <w:szCs w:val="22"/>
              </w:rPr>
              <w:t>Doprava</w:t>
            </w:r>
          </w:p>
        </w:tc>
        <w:tc>
          <w:tcPr>
            <w:tcW w:w="708"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74 846</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76 496</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85 004</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91 490</w:t>
            </w:r>
          </w:p>
        </w:tc>
        <w:tc>
          <w:tcPr>
            <w:tcW w:w="708"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81 895</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94 303</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92 851</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90 976</w:t>
            </w:r>
          </w:p>
        </w:tc>
        <w:tc>
          <w:tcPr>
            <w:tcW w:w="745" w:type="dxa"/>
            <w:tcBorders>
              <w:top w:val="nil"/>
              <w:left w:val="nil"/>
              <w:bottom w:val="single" w:sz="8" w:space="0" w:color="auto"/>
              <w:right w:val="single" w:sz="8" w:space="0" w:color="auto"/>
            </w:tcBorders>
            <w:shd w:val="clear" w:color="auto" w:fill="auto"/>
            <w:vAlign w:val="center"/>
          </w:tcPr>
          <w:p w:rsidR="0024416E" w:rsidRPr="00A459B8" w:rsidRDefault="0024416E" w:rsidP="00A26D06">
            <w:pPr>
              <w:jc w:val="right"/>
              <w:rPr>
                <w:color w:val="000000"/>
                <w:sz w:val="16"/>
                <w:szCs w:val="16"/>
              </w:rPr>
            </w:pPr>
            <w:r w:rsidRPr="00A459B8">
              <w:rPr>
                <w:color w:val="000000"/>
                <w:sz w:val="16"/>
                <w:szCs w:val="16"/>
              </w:rPr>
              <w:t>91 151</w:t>
            </w:r>
          </w:p>
        </w:tc>
        <w:tc>
          <w:tcPr>
            <w:tcW w:w="721" w:type="dxa"/>
            <w:tcBorders>
              <w:top w:val="nil"/>
              <w:left w:val="nil"/>
              <w:bottom w:val="single" w:sz="8" w:space="0" w:color="auto"/>
              <w:right w:val="single" w:sz="8" w:space="0" w:color="auto"/>
            </w:tcBorders>
            <w:shd w:val="clear" w:color="auto" w:fill="auto"/>
            <w:vAlign w:val="center"/>
          </w:tcPr>
          <w:p w:rsidR="0024416E" w:rsidRPr="00A459B8" w:rsidRDefault="0024416E" w:rsidP="00A26D06">
            <w:pPr>
              <w:jc w:val="right"/>
              <w:rPr>
                <w:color w:val="000000"/>
                <w:sz w:val="16"/>
                <w:szCs w:val="16"/>
              </w:rPr>
            </w:pPr>
            <w:r w:rsidRPr="00A459B8">
              <w:rPr>
                <w:color w:val="000000"/>
                <w:sz w:val="16"/>
                <w:szCs w:val="16"/>
              </w:rPr>
              <w:t>90 765</w:t>
            </w:r>
          </w:p>
        </w:tc>
        <w:tc>
          <w:tcPr>
            <w:tcW w:w="802" w:type="dxa"/>
            <w:tcBorders>
              <w:top w:val="nil"/>
              <w:left w:val="nil"/>
              <w:bottom w:val="single" w:sz="8" w:space="0" w:color="auto"/>
              <w:right w:val="single" w:sz="8" w:space="0" w:color="auto"/>
            </w:tcBorders>
            <w:vAlign w:val="center"/>
          </w:tcPr>
          <w:p w:rsidR="0024416E" w:rsidRPr="00A459B8" w:rsidRDefault="0024416E" w:rsidP="00A26D06">
            <w:pPr>
              <w:jc w:val="center"/>
              <w:rPr>
                <w:rFonts w:eastAsia="Calibri"/>
                <w:color w:val="000000"/>
                <w:sz w:val="16"/>
                <w:szCs w:val="16"/>
                <w:lang w:eastAsia="en-US"/>
              </w:rPr>
            </w:pPr>
            <w:r w:rsidRPr="00A459B8">
              <w:rPr>
                <w:rFonts w:eastAsia="Calibri"/>
                <w:color w:val="000000"/>
                <w:sz w:val="16"/>
                <w:szCs w:val="16"/>
                <w:lang w:eastAsia="en-US"/>
              </w:rPr>
              <w:t>90 828</w:t>
            </w:r>
          </w:p>
        </w:tc>
      </w:tr>
      <w:tr w:rsidR="0024416E" w:rsidRPr="00A459B8" w:rsidTr="00A26D06">
        <w:trPr>
          <w:trHeight w:val="270"/>
        </w:trPr>
        <w:tc>
          <w:tcPr>
            <w:tcW w:w="1636" w:type="dxa"/>
            <w:tcBorders>
              <w:top w:val="nil"/>
              <w:left w:val="single" w:sz="8" w:space="0" w:color="auto"/>
              <w:bottom w:val="single" w:sz="8" w:space="0" w:color="auto"/>
              <w:right w:val="single" w:sz="8" w:space="0" w:color="auto"/>
            </w:tcBorders>
            <w:shd w:val="clear" w:color="auto" w:fill="auto"/>
            <w:vAlign w:val="center"/>
            <w:hideMark/>
          </w:tcPr>
          <w:p w:rsidR="0024416E" w:rsidRPr="00A459B8" w:rsidRDefault="0024416E" w:rsidP="00A26D06">
            <w:pPr>
              <w:rPr>
                <w:b/>
                <w:bCs/>
                <w:color w:val="000000"/>
                <w:sz w:val="16"/>
                <w:szCs w:val="16"/>
              </w:rPr>
            </w:pPr>
            <w:r w:rsidRPr="00A459B8">
              <w:rPr>
                <w:b/>
                <w:bCs/>
                <w:color w:val="000000"/>
                <w:sz w:val="16"/>
                <w:szCs w:val="22"/>
              </w:rPr>
              <w:t>Domácnosti</w:t>
            </w:r>
          </w:p>
        </w:tc>
        <w:tc>
          <w:tcPr>
            <w:tcW w:w="708"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106 059</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96 721</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87 248</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89 209</w:t>
            </w:r>
          </w:p>
        </w:tc>
        <w:tc>
          <w:tcPr>
            <w:tcW w:w="708"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89 994</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96 754</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93 106</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86 671</w:t>
            </w:r>
          </w:p>
        </w:tc>
        <w:tc>
          <w:tcPr>
            <w:tcW w:w="745" w:type="dxa"/>
            <w:tcBorders>
              <w:top w:val="nil"/>
              <w:left w:val="nil"/>
              <w:bottom w:val="single" w:sz="8" w:space="0" w:color="auto"/>
              <w:right w:val="single" w:sz="8" w:space="0" w:color="auto"/>
            </w:tcBorders>
            <w:shd w:val="clear" w:color="auto" w:fill="auto"/>
            <w:vAlign w:val="center"/>
          </w:tcPr>
          <w:p w:rsidR="0024416E" w:rsidRPr="00A459B8" w:rsidRDefault="0024416E" w:rsidP="00A26D06">
            <w:pPr>
              <w:jc w:val="right"/>
              <w:rPr>
                <w:color w:val="000000"/>
                <w:sz w:val="16"/>
                <w:szCs w:val="16"/>
              </w:rPr>
            </w:pPr>
            <w:r w:rsidRPr="00A459B8">
              <w:rPr>
                <w:color w:val="000000"/>
                <w:sz w:val="16"/>
                <w:szCs w:val="16"/>
              </w:rPr>
              <w:t>89 897</w:t>
            </w:r>
          </w:p>
        </w:tc>
        <w:tc>
          <w:tcPr>
            <w:tcW w:w="721" w:type="dxa"/>
            <w:tcBorders>
              <w:top w:val="nil"/>
              <w:left w:val="nil"/>
              <w:bottom w:val="single" w:sz="8" w:space="0" w:color="auto"/>
              <w:right w:val="single" w:sz="8" w:space="0" w:color="auto"/>
            </w:tcBorders>
            <w:shd w:val="clear" w:color="auto" w:fill="auto"/>
            <w:vAlign w:val="center"/>
          </w:tcPr>
          <w:p w:rsidR="0024416E" w:rsidRPr="00A459B8" w:rsidRDefault="0024416E" w:rsidP="00A26D06">
            <w:pPr>
              <w:jc w:val="right"/>
              <w:rPr>
                <w:color w:val="000000"/>
                <w:sz w:val="16"/>
                <w:szCs w:val="16"/>
              </w:rPr>
            </w:pPr>
            <w:r w:rsidRPr="00A459B8">
              <w:rPr>
                <w:color w:val="000000"/>
                <w:sz w:val="16"/>
                <w:szCs w:val="16"/>
              </w:rPr>
              <w:t>81 723</w:t>
            </w:r>
          </w:p>
        </w:tc>
        <w:tc>
          <w:tcPr>
            <w:tcW w:w="802" w:type="dxa"/>
            <w:tcBorders>
              <w:top w:val="nil"/>
              <w:left w:val="nil"/>
              <w:bottom w:val="single" w:sz="8" w:space="0" w:color="auto"/>
              <w:right w:val="single" w:sz="8" w:space="0" w:color="auto"/>
            </w:tcBorders>
            <w:vAlign w:val="center"/>
          </w:tcPr>
          <w:p w:rsidR="0024416E" w:rsidRPr="00A459B8" w:rsidRDefault="0024416E" w:rsidP="00A26D06">
            <w:pPr>
              <w:jc w:val="center"/>
              <w:rPr>
                <w:rFonts w:eastAsia="Calibri"/>
                <w:color w:val="000000"/>
                <w:sz w:val="16"/>
                <w:szCs w:val="16"/>
                <w:lang w:eastAsia="en-US"/>
              </w:rPr>
            </w:pPr>
            <w:r w:rsidRPr="00A459B8">
              <w:rPr>
                <w:rFonts w:eastAsia="Calibri"/>
                <w:color w:val="000000"/>
                <w:sz w:val="16"/>
                <w:szCs w:val="16"/>
                <w:lang w:eastAsia="en-US"/>
              </w:rPr>
              <w:t>83 219</w:t>
            </w:r>
          </w:p>
        </w:tc>
      </w:tr>
      <w:tr w:rsidR="0024416E" w:rsidRPr="00A459B8" w:rsidTr="00A26D06">
        <w:trPr>
          <w:trHeight w:val="309"/>
        </w:trPr>
        <w:tc>
          <w:tcPr>
            <w:tcW w:w="1636" w:type="dxa"/>
            <w:tcBorders>
              <w:top w:val="nil"/>
              <w:left w:val="single" w:sz="8" w:space="0" w:color="auto"/>
              <w:bottom w:val="single" w:sz="8" w:space="0" w:color="auto"/>
              <w:right w:val="single" w:sz="8" w:space="0" w:color="auto"/>
            </w:tcBorders>
            <w:shd w:val="clear" w:color="auto" w:fill="auto"/>
            <w:vAlign w:val="center"/>
            <w:hideMark/>
          </w:tcPr>
          <w:p w:rsidR="0024416E" w:rsidRPr="00A459B8" w:rsidRDefault="0024416E" w:rsidP="00A26D06">
            <w:pPr>
              <w:rPr>
                <w:b/>
                <w:bCs/>
                <w:color w:val="000000"/>
                <w:sz w:val="16"/>
                <w:szCs w:val="16"/>
              </w:rPr>
            </w:pPr>
            <w:r w:rsidRPr="00A459B8">
              <w:rPr>
                <w:b/>
                <w:bCs/>
                <w:color w:val="000000"/>
                <w:sz w:val="16"/>
                <w:szCs w:val="22"/>
              </w:rPr>
              <w:t>Pôdohospodárstvo</w:t>
            </w:r>
          </w:p>
        </w:tc>
        <w:tc>
          <w:tcPr>
            <w:tcW w:w="708"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6 847</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5 895</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5 673</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5 839</w:t>
            </w:r>
          </w:p>
        </w:tc>
        <w:tc>
          <w:tcPr>
            <w:tcW w:w="708"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5 393</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5 589</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6 549</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6 007</w:t>
            </w:r>
          </w:p>
        </w:tc>
        <w:tc>
          <w:tcPr>
            <w:tcW w:w="745" w:type="dxa"/>
            <w:tcBorders>
              <w:top w:val="nil"/>
              <w:left w:val="nil"/>
              <w:bottom w:val="single" w:sz="8" w:space="0" w:color="auto"/>
              <w:right w:val="single" w:sz="8" w:space="0" w:color="auto"/>
            </w:tcBorders>
            <w:shd w:val="clear" w:color="auto" w:fill="auto"/>
            <w:vAlign w:val="center"/>
          </w:tcPr>
          <w:p w:rsidR="0024416E" w:rsidRPr="00A459B8" w:rsidRDefault="0024416E" w:rsidP="00A26D06">
            <w:pPr>
              <w:jc w:val="right"/>
              <w:rPr>
                <w:color w:val="000000"/>
                <w:sz w:val="16"/>
                <w:szCs w:val="16"/>
              </w:rPr>
            </w:pPr>
            <w:r w:rsidRPr="00A459B8">
              <w:rPr>
                <w:color w:val="000000"/>
                <w:sz w:val="16"/>
                <w:szCs w:val="16"/>
              </w:rPr>
              <w:t>5 488</w:t>
            </w:r>
          </w:p>
        </w:tc>
        <w:tc>
          <w:tcPr>
            <w:tcW w:w="721" w:type="dxa"/>
            <w:tcBorders>
              <w:top w:val="nil"/>
              <w:left w:val="nil"/>
              <w:bottom w:val="single" w:sz="8" w:space="0" w:color="auto"/>
              <w:right w:val="single" w:sz="8" w:space="0" w:color="auto"/>
            </w:tcBorders>
            <w:shd w:val="clear" w:color="auto" w:fill="auto"/>
            <w:vAlign w:val="center"/>
          </w:tcPr>
          <w:p w:rsidR="0024416E" w:rsidRPr="00A459B8" w:rsidRDefault="0024416E" w:rsidP="00A26D06">
            <w:pPr>
              <w:jc w:val="right"/>
              <w:rPr>
                <w:color w:val="000000"/>
                <w:sz w:val="16"/>
                <w:szCs w:val="16"/>
              </w:rPr>
            </w:pPr>
            <w:r w:rsidRPr="00A459B8">
              <w:rPr>
                <w:color w:val="000000"/>
                <w:sz w:val="16"/>
                <w:szCs w:val="16"/>
              </w:rPr>
              <w:t>5 754</w:t>
            </w:r>
          </w:p>
        </w:tc>
        <w:tc>
          <w:tcPr>
            <w:tcW w:w="802" w:type="dxa"/>
            <w:tcBorders>
              <w:top w:val="nil"/>
              <w:left w:val="nil"/>
              <w:bottom w:val="single" w:sz="8" w:space="0" w:color="auto"/>
              <w:right w:val="single" w:sz="8" w:space="0" w:color="auto"/>
            </w:tcBorders>
            <w:vAlign w:val="center"/>
          </w:tcPr>
          <w:p w:rsidR="0024416E" w:rsidRPr="00A459B8" w:rsidRDefault="0024416E" w:rsidP="00A26D06">
            <w:pPr>
              <w:jc w:val="center"/>
              <w:rPr>
                <w:rFonts w:eastAsia="Calibri"/>
                <w:color w:val="000000"/>
                <w:sz w:val="16"/>
                <w:szCs w:val="16"/>
                <w:lang w:eastAsia="en-US"/>
              </w:rPr>
            </w:pPr>
            <w:r w:rsidRPr="00A459B8">
              <w:rPr>
                <w:rFonts w:eastAsia="Calibri"/>
                <w:color w:val="000000"/>
                <w:sz w:val="16"/>
                <w:szCs w:val="16"/>
                <w:lang w:eastAsia="en-US"/>
              </w:rPr>
              <w:t>6 297</w:t>
            </w:r>
          </w:p>
        </w:tc>
      </w:tr>
      <w:tr w:rsidR="0024416E" w:rsidRPr="00A459B8" w:rsidTr="00A26D06">
        <w:trPr>
          <w:trHeight w:val="272"/>
        </w:trPr>
        <w:tc>
          <w:tcPr>
            <w:tcW w:w="1636" w:type="dxa"/>
            <w:tcBorders>
              <w:top w:val="nil"/>
              <w:left w:val="single" w:sz="8" w:space="0" w:color="auto"/>
              <w:bottom w:val="single" w:sz="8" w:space="0" w:color="auto"/>
              <w:right w:val="single" w:sz="8" w:space="0" w:color="auto"/>
            </w:tcBorders>
            <w:shd w:val="clear" w:color="auto" w:fill="auto"/>
            <w:vAlign w:val="center"/>
            <w:hideMark/>
          </w:tcPr>
          <w:p w:rsidR="0024416E" w:rsidRPr="00A459B8" w:rsidRDefault="0024416E" w:rsidP="00A26D06">
            <w:pPr>
              <w:rPr>
                <w:b/>
                <w:bCs/>
                <w:color w:val="000000"/>
                <w:sz w:val="16"/>
                <w:szCs w:val="16"/>
              </w:rPr>
            </w:pPr>
            <w:r w:rsidRPr="00A459B8">
              <w:rPr>
                <w:b/>
                <w:bCs/>
                <w:color w:val="000000"/>
                <w:sz w:val="16"/>
                <w:szCs w:val="22"/>
              </w:rPr>
              <w:t>Obchod a služby</w:t>
            </w:r>
          </w:p>
        </w:tc>
        <w:tc>
          <w:tcPr>
            <w:tcW w:w="708"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67 531</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78 965</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77 404</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81 162</w:t>
            </w:r>
          </w:p>
        </w:tc>
        <w:tc>
          <w:tcPr>
            <w:tcW w:w="708"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81 405</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88 117</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62 764</w:t>
            </w:r>
          </w:p>
        </w:tc>
        <w:tc>
          <w:tcPr>
            <w:tcW w:w="709" w:type="dxa"/>
            <w:tcBorders>
              <w:top w:val="nil"/>
              <w:left w:val="nil"/>
              <w:bottom w:val="single" w:sz="8" w:space="0" w:color="auto"/>
              <w:right w:val="single" w:sz="8" w:space="0" w:color="auto"/>
            </w:tcBorders>
            <w:shd w:val="clear" w:color="auto" w:fill="auto"/>
            <w:noWrap/>
            <w:vAlign w:val="center"/>
          </w:tcPr>
          <w:p w:rsidR="0024416E" w:rsidRPr="00A459B8" w:rsidRDefault="0024416E" w:rsidP="00A26D06">
            <w:pPr>
              <w:jc w:val="right"/>
              <w:rPr>
                <w:color w:val="000000"/>
                <w:sz w:val="16"/>
                <w:szCs w:val="16"/>
              </w:rPr>
            </w:pPr>
            <w:r w:rsidRPr="00A459B8">
              <w:rPr>
                <w:rFonts w:eastAsia="Calibri"/>
                <w:color w:val="000000"/>
                <w:sz w:val="16"/>
                <w:szCs w:val="16"/>
                <w:lang w:eastAsia="en-US"/>
              </w:rPr>
              <w:t>60 759</w:t>
            </w:r>
          </w:p>
        </w:tc>
        <w:tc>
          <w:tcPr>
            <w:tcW w:w="745" w:type="dxa"/>
            <w:tcBorders>
              <w:top w:val="nil"/>
              <w:left w:val="nil"/>
              <w:bottom w:val="single" w:sz="8" w:space="0" w:color="auto"/>
              <w:right w:val="single" w:sz="8" w:space="0" w:color="auto"/>
            </w:tcBorders>
            <w:shd w:val="clear" w:color="auto" w:fill="auto"/>
            <w:vAlign w:val="center"/>
          </w:tcPr>
          <w:p w:rsidR="0024416E" w:rsidRPr="00A459B8" w:rsidRDefault="0024416E" w:rsidP="00A26D06">
            <w:pPr>
              <w:jc w:val="right"/>
              <w:rPr>
                <w:color w:val="000000"/>
                <w:sz w:val="16"/>
                <w:szCs w:val="16"/>
              </w:rPr>
            </w:pPr>
            <w:r w:rsidRPr="00A459B8">
              <w:rPr>
                <w:color w:val="000000"/>
                <w:sz w:val="16"/>
                <w:szCs w:val="16"/>
              </w:rPr>
              <w:t>71 625</w:t>
            </w:r>
          </w:p>
        </w:tc>
        <w:tc>
          <w:tcPr>
            <w:tcW w:w="721" w:type="dxa"/>
            <w:tcBorders>
              <w:top w:val="nil"/>
              <w:left w:val="nil"/>
              <w:bottom w:val="single" w:sz="8" w:space="0" w:color="auto"/>
              <w:right w:val="single" w:sz="8" w:space="0" w:color="auto"/>
            </w:tcBorders>
            <w:shd w:val="clear" w:color="auto" w:fill="auto"/>
            <w:vAlign w:val="center"/>
          </w:tcPr>
          <w:p w:rsidR="0024416E" w:rsidRPr="00A459B8" w:rsidRDefault="0024416E" w:rsidP="00A26D06">
            <w:pPr>
              <w:jc w:val="right"/>
              <w:rPr>
                <w:color w:val="000000"/>
                <w:sz w:val="16"/>
                <w:szCs w:val="16"/>
              </w:rPr>
            </w:pPr>
            <w:r w:rsidRPr="00A459B8">
              <w:rPr>
                <w:color w:val="000000"/>
                <w:sz w:val="16"/>
                <w:szCs w:val="16"/>
              </w:rPr>
              <w:t>51 633</w:t>
            </w:r>
          </w:p>
        </w:tc>
        <w:tc>
          <w:tcPr>
            <w:tcW w:w="802" w:type="dxa"/>
            <w:tcBorders>
              <w:top w:val="nil"/>
              <w:left w:val="nil"/>
              <w:bottom w:val="single" w:sz="8" w:space="0" w:color="auto"/>
              <w:right w:val="single" w:sz="8" w:space="0" w:color="auto"/>
            </w:tcBorders>
            <w:vAlign w:val="center"/>
          </w:tcPr>
          <w:p w:rsidR="0024416E" w:rsidRPr="00A459B8" w:rsidRDefault="0024416E" w:rsidP="00A26D06">
            <w:pPr>
              <w:jc w:val="center"/>
              <w:rPr>
                <w:rFonts w:eastAsia="Calibri"/>
                <w:color w:val="000000"/>
                <w:sz w:val="16"/>
                <w:szCs w:val="16"/>
                <w:lang w:eastAsia="en-US"/>
              </w:rPr>
            </w:pPr>
            <w:r w:rsidRPr="00A459B8">
              <w:rPr>
                <w:rFonts w:eastAsia="Calibri"/>
                <w:color w:val="000000"/>
                <w:sz w:val="16"/>
                <w:szCs w:val="16"/>
                <w:lang w:eastAsia="en-US"/>
              </w:rPr>
              <w:t>63 779</w:t>
            </w:r>
          </w:p>
        </w:tc>
      </w:tr>
    </w:tbl>
    <w:p w:rsidR="0024416E" w:rsidRPr="00A459B8" w:rsidRDefault="0024416E" w:rsidP="0024416E">
      <w:pPr>
        <w:spacing w:before="20" w:after="20"/>
        <w:contextualSpacing/>
        <w:rPr>
          <w:rFonts w:eastAsia="Calibri"/>
          <w:strike/>
          <w:sz w:val="24"/>
          <w:szCs w:val="24"/>
          <w:lang w:eastAsia="en-US"/>
        </w:rPr>
      </w:pPr>
      <w:r w:rsidRPr="00A459B8">
        <w:rPr>
          <w:rFonts w:eastAsia="Calibri"/>
          <w:sz w:val="24"/>
          <w:szCs w:val="24"/>
          <w:lang w:eastAsia="en-US"/>
        </w:rPr>
        <w:t xml:space="preserve">Zdroj: ŠÚSR (2017) - SLOVSTAT </w:t>
      </w:r>
    </w:p>
    <w:p w:rsidR="0024416E" w:rsidRPr="00A459B8" w:rsidRDefault="0024416E" w:rsidP="0024416E">
      <w:pPr>
        <w:spacing w:before="20" w:after="20"/>
        <w:contextualSpacing/>
        <w:rPr>
          <w:rFonts w:ascii="Arial Narrow" w:hAnsi="Arial Narrow"/>
          <w:i/>
          <w:iCs/>
          <w:sz w:val="18"/>
          <w:szCs w:val="18"/>
          <w:lang w:eastAsia="en-US"/>
        </w:rPr>
      </w:pPr>
    </w:p>
    <w:p w:rsidR="0024416E" w:rsidRPr="00A459B8" w:rsidRDefault="0024416E" w:rsidP="0024416E">
      <w:pPr>
        <w:keepNext/>
        <w:rPr>
          <w:rFonts w:eastAsia="Calibri"/>
          <w:sz w:val="24"/>
          <w:szCs w:val="24"/>
          <w:lang w:eastAsia="en-US"/>
        </w:rPr>
      </w:pPr>
      <w:r w:rsidRPr="00A459B8">
        <w:rPr>
          <w:rFonts w:eastAsia="Calibri"/>
          <w:sz w:val="24"/>
          <w:szCs w:val="24"/>
          <w:lang w:eastAsia="en-US"/>
        </w:rPr>
        <w:t>Obrázok č. 1: Konečná energetická spotreba v rokoch 2005-2015 podľa sektorov (TJ)</w:t>
      </w:r>
    </w:p>
    <w:p w:rsidR="0024416E" w:rsidRPr="00A459B8" w:rsidRDefault="0024416E" w:rsidP="0024416E">
      <w:pPr>
        <w:spacing w:after="120"/>
        <w:jc w:val="center"/>
        <w:rPr>
          <w:rFonts w:ascii="Calibri" w:eastAsia="Calibri" w:hAnsi="Calibri"/>
          <w:sz w:val="22"/>
          <w:szCs w:val="22"/>
          <w:lang w:eastAsia="en-US"/>
        </w:rPr>
      </w:pPr>
      <w:r w:rsidRPr="00A459B8">
        <w:rPr>
          <w:rFonts w:ascii="Calibri" w:eastAsia="Calibri" w:hAnsi="Calibri"/>
          <w:noProof/>
          <w:sz w:val="22"/>
          <w:szCs w:val="22"/>
        </w:rPr>
        <w:drawing>
          <wp:inline distT="0" distB="0" distL="0" distR="0" wp14:anchorId="26BDF6C0" wp14:editId="60AFDFEA">
            <wp:extent cx="4581525" cy="2752725"/>
            <wp:effectExtent l="0" t="0" r="9525"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inline>
        </w:drawing>
      </w:r>
    </w:p>
    <w:p w:rsidR="0024416E" w:rsidRPr="00A459B8" w:rsidRDefault="0024416E" w:rsidP="00075A67">
      <w:pPr>
        <w:contextualSpacing/>
        <w:jc w:val="both"/>
        <w:rPr>
          <w:rFonts w:eastAsia="Calibri"/>
          <w:sz w:val="24"/>
          <w:szCs w:val="24"/>
          <w:lang w:eastAsia="en-US"/>
        </w:rPr>
      </w:pPr>
      <w:r w:rsidRPr="00A459B8">
        <w:rPr>
          <w:rFonts w:eastAsia="Calibri"/>
          <w:sz w:val="24"/>
          <w:szCs w:val="24"/>
          <w:lang w:eastAsia="en-US"/>
        </w:rPr>
        <w:t xml:space="preserve">Zdroj: ŠÚSR (2017) </w:t>
      </w:r>
    </w:p>
    <w:p w:rsidR="0024416E" w:rsidRPr="00A459B8" w:rsidRDefault="0024416E" w:rsidP="0024416E">
      <w:pPr>
        <w:rPr>
          <w:rFonts w:eastAsia="Calibri"/>
          <w:sz w:val="24"/>
          <w:szCs w:val="24"/>
          <w:lang w:eastAsia="en-US"/>
        </w:rPr>
      </w:pPr>
    </w:p>
    <w:p w:rsidR="0024416E" w:rsidRPr="00A459B8" w:rsidRDefault="0024416E" w:rsidP="0024416E">
      <w:pPr>
        <w:keepNext/>
        <w:rPr>
          <w:rFonts w:eastAsia="Calibri"/>
          <w:sz w:val="24"/>
          <w:szCs w:val="24"/>
          <w:lang w:eastAsia="en-US"/>
        </w:rPr>
      </w:pPr>
    </w:p>
    <w:p w:rsidR="0024416E" w:rsidRPr="00A459B8" w:rsidRDefault="0024416E" w:rsidP="0024416E">
      <w:pPr>
        <w:keepNext/>
        <w:rPr>
          <w:rFonts w:eastAsia="Calibri"/>
          <w:sz w:val="24"/>
          <w:szCs w:val="24"/>
          <w:lang w:eastAsia="en-US"/>
        </w:rPr>
      </w:pPr>
      <w:r w:rsidRPr="00A459B8">
        <w:rPr>
          <w:rFonts w:eastAsia="Calibri"/>
          <w:sz w:val="24"/>
          <w:szCs w:val="24"/>
          <w:lang w:eastAsia="en-US"/>
        </w:rPr>
        <w:t>Obrázok č. 2: Konečná energetická spotreba v SR podľa sektorov</w:t>
      </w:r>
      <w:r>
        <w:rPr>
          <w:rFonts w:eastAsia="Calibri"/>
          <w:sz w:val="24"/>
          <w:szCs w:val="24"/>
          <w:lang w:eastAsia="en-US"/>
        </w:rPr>
        <w:t xml:space="preserve"> v rokoch</w:t>
      </w:r>
      <w:r w:rsidRPr="00A459B8">
        <w:rPr>
          <w:rFonts w:eastAsia="Calibri"/>
          <w:sz w:val="24"/>
          <w:szCs w:val="24"/>
          <w:lang w:eastAsia="en-US"/>
        </w:rPr>
        <w:t xml:space="preserve"> 2005 a 2015 (%)</w:t>
      </w:r>
    </w:p>
    <w:tbl>
      <w:tblPr>
        <w:tblW w:w="0" w:type="auto"/>
        <w:tblLook w:val="04A0" w:firstRow="1" w:lastRow="0" w:firstColumn="1" w:lastColumn="0" w:noHBand="0" w:noVBand="1"/>
      </w:tblPr>
      <w:tblGrid>
        <w:gridCol w:w="4530"/>
        <w:gridCol w:w="4542"/>
      </w:tblGrid>
      <w:tr w:rsidR="0024416E" w:rsidRPr="00F73205" w:rsidTr="00A26D06">
        <w:tc>
          <w:tcPr>
            <w:tcW w:w="4530" w:type="dxa"/>
            <w:shd w:val="clear" w:color="auto" w:fill="auto"/>
          </w:tcPr>
          <w:p w:rsidR="0024416E" w:rsidRPr="00A459B8" w:rsidRDefault="0024416E" w:rsidP="00A26D06">
            <w:pPr>
              <w:keepNext/>
              <w:widowControl w:val="0"/>
              <w:spacing w:line="360" w:lineRule="auto"/>
            </w:pPr>
            <w:r w:rsidRPr="000059AF">
              <w:rPr>
                <w:noProof/>
              </w:rPr>
              <w:drawing>
                <wp:inline distT="0" distB="0" distL="0" distR="0" wp14:anchorId="562E0EBD" wp14:editId="3FF856BB">
                  <wp:extent cx="2705100" cy="16287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5100" cy="1628775"/>
                          </a:xfrm>
                          <a:prstGeom prst="rect">
                            <a:avLst/>
                          </a:prstGeom>
                          <a:noFill/>
                          <a:ln>
                            <a:noFill/>
                          </a:ln>
                        </pic:spPr>
                      </pic:pic>
                    </a:graphicData>
                  </a:graphic>
                </wp:inline>
              </w:drawing>
            </w:r>
          </w:p>
        </w:tc>
        <w:tc>
          <w:tcPr>
            <w:tcW w:w="4542" w:type="dxa"/>
            <w:shd w:val="clear" w:color="auto" w:fill="auto"/>
          </w:tcPr>
          <w:p w:rsidR="0024416E" w:rsidRPr="00F73205" w:rsidRDefault="0024416E" w:rsidP="00A26D06">
            <w:pPr>
              <w:widowControl w:val="0"/>
              <w:spacing w:before="20" w:after="20" w:line="360" w:lineRule="auto"/>
              <w:contextualSpacing/>
              <w:rPr>
                <w:rFonts w:ascii="Calibri" w:hAnsi="Calibri"/>
              </w:rPr>
            </w:pPr>
            <w:r w:rsidRPr="00F73205">
              <w:rPr>
                <w:rFonts w:ascii="Calibri" w:hAnsi="Calibri"/>
                <w:noProof/>
              </w:rPr>
              <w:drawing>
                <wp:inline distT="0" distB="0" distL="0" distR="0" wp14:anchorId="35241741" wp14:editId="449CF1DA">
                  <wp:extent cx="2695575" cy="1619250"/>
                  <wp:effectExtent l="0" t="0" r="952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95575" cy="1619250"/>
                          </a:xfrm>
                          <a:prstGeom prst="rect">
                            <a:avLst/>
                          </a:prstGeom>
                          <a:noFill/>
                          <a:ln>
                            <a:noFill/>
                          </a:ln>
                        </pic:spPr>
                      </pic:pic>
                    </a:graphicData>
                  </a:graphic>
                </wp:inline>
              </w:drawing>
            </w:r>
          </w:p>
        </w:tc>
      </w:tr>
    </w:tbl>
    <w:p w:rsidR="0024416E" w:rsidRPr="00A459B8" w:rsidRDefault="0024416E" w:rsidP="0024416E">
      <w:pPr>
        <w:rPr>
          <w:rFonts w:eastAsia="Calibri"/>
          <w:sz w:val="24"/>
          <w:szCs w:val="24"/>
          <w:lang w:eastAsia="en-US"/>
        </w:rPr>
      </w:pPr>
      <w:r w:rsidRPr="00A459B8">
        <w:rPr>
          <w:rFonts w:eastAsia="Calibri"/>
          <w:sz w:val="24"/>
          <w:szCs w:val="24"/>
          <w:lang w:eastAsia="en-US"/>
        </w:rPr>
        <w:t xml:space="preserve">Zdroj: ŠÚSR (2017) </w:t>
      </w:r>
    </w:p>
    <w:p w:rsidR="0024416E" w:rsidRPr="00A459B8" w:rsidRDefault="0024416E" w:rsidP="0024416E">
      <w:pPr>
        <w:spacing w:after="200"/>
        <w:jc w:val="both"/>
        <w:rPr>
          <w:rFonts w:ascii="Calibri" w:eastAsia="Calibri" w:hAnsi="Calibri"/>
          <w:b/>
          <w:sz w:val="22"/>
          <w:szCs w:val="22"/>
          <w:lang w:eastAsia="en-US"/>
        </w:rPr>
      </w:pPr>
    </w:p>
    <w:p w:rsidR="0024416E" w:rsidRPr="00075A67" w:rsidRDefault="0024416E" w:rsidP="00075A67">
      <w:pPr>
        <w:jc w:val="both"/>
        <w:rPr>
          <w:rFonts w:eastAsia="Calibri"/>
          <w:b/>
          <w:sz w:val="24"/>
          <w:szCs w:val="24"/>
          <w:lang w:eastAsia="en-US"/>
        </w:rPr>
      </w:pPr>
      <w:r w:rsidRPr="00075A67">
        <w:rPr>
          <w:rFonts w:eastAsia="Calibri"/>
          <w:b/>
          <w:sz w:val="24"/>
          <w:szCs w:val="24"/>
          <w:lang w:eastAsia="en-US"/>
        </w:rPr>
        <w:t xml:space="preserve">Priemysel: </w:t>
      </w:r>
    </w:p>
    <w:p w:rsidR="0024416E" w:rsidRDefault="0024416E" w:rsidP="00075A67">
      <w:pPr>
        <w:jc w:val="both"/>
        <w:rPr>
          <w:rFonts w:eastAsia="Calibri"/>
          <w:sz w:val="24"/>
          <w:szCs w:val="24"/>
          <w:lang w:eastAsia="en-US"/>
        </w:rPr>
      </w:pPr>
      <w:r w:rsidRPr="00A459B8">
        <w:rPr>
          <w:rFonts w:eastAsia="Calibri"/>
          <w:sz w:val="24"/>
          <w:szCs w:val="24"/>
          <w:lang w:eastAsia="en-US"/>
        </w:rPr>
        <w:t xml:space="preserve">Sektor priemyslu je najväčším spotrebiteľom energie. Spotreba energie v priemysle sa postupne znižuje od roku 2004 až do roku 2007, kedy bol zaznamenaný mierny nárast spotreby. Po roku 2008 došlo k výraznému zníženiu spotreby energie, pričom odvtedy sa jej úroveň výrazne nezvýšila. Konečná energetická spotreba v priemysle bola v roku 2015 na úrovni 139 PJ, čo predstavuje 37 % celkovej konečnej energetickej spotreby SR. Medziročne vykázal sektor priemyslu v roku 2015 nárast spotreby energie o takmer 3,0 %. </w:t>
      </w:r>
    </w:p>
    <w:p w:rsidR="00075A67" w:rsidRPr="00A459B8" w:rsidRDefault="00075A67" w:rsidP="00075A67">
      <w:pPr>
        <w:jc w:val="both"/>
        <w:rPr>
          <w:rFonts w:eastAsia="Calibri"/>
          <w:sz w:val="24"/>
          <w:szCs w:val="24"/>
          <w:lang w:eastAsia="en-US"/>
        </w:rPr>
      </w:pPr>
    </w:p>
    <w:p w:rsidR="0024416E" w:rsidRPr="00075A67" w:rsidRDefault="0024416E" w:rsidP="00075A67">
      <w:pPr>
        <w:jc w:val="both"/>
        <w:rPr>
          <w:rFonts w:eastAsia="Calibri"/>
          <w:b/>
          <w:sz w:val="24"/>
          <w:szCs w:val="24"/>
          <w:lang w:eastAsia="en-US"/>
        </w:rPr>
      </w:pPr>
      <w:r w:rsidRPr="00075A67">
        <w:rPr>
          <w:rFonts w:eastAsia="Calibri"/>
          <w:b/>
          <w:sz w:val="24"/>
          <w:szCs w:val="24"/>
          <w:lang w:eastAsia="en-US"/>
        </w:rPr>
        <w:t xml:space="preserve">Domácnosti: </w:t>
      </w:r>
    </w:p>
    <w:p w:rsidR="0024416E" w:rsidRDefault="0024416E" w:rsidP="00075A67">
      <w:pPr>
        <w:jc w:val="both"/>
        <w:rPr>
          <w:rFonts w:eastAsia="Calibri"/>
          <w:sz w:val="24"/>
          <w:szCs w:val="24"/>
          <w:lang w:eastAsia="en-US"/>
        </w:rPr>
      </w:pPr>
      <w:r w:rsidRPr="00A459B8">
        <w:rPr>
          <w:rFonts w:eastAsia="Calibri"/>
          <w:sz w:val="24"/>
          <w:szCs w:val="24"/>
          <w:lang w:eastAsia="en-US"/>
        </w:rPr>
        <w:t>Sektor domácností vykazuje najväčší pokles absolútnej hodnoty spotreby energie v porovnaní s ostatnými sektormi národného hospodárstva v období 2003 – 2007. Po tomto období výrazného poklesu spotreba energie znovu mierne rastie a v posledných rokoch spotreba zaznamenala malé výkyvy smerom nahor i nadol s mierne klesajúcim trendom. Spotreba energie v domácnostiach medziročne mierne vzrástla (o 1,8</w:t>
      </w:r>
      <w:r>
        <w:rPr>
          <w:rFonts w:eastAsia="Calibri"/>
          <w:sz w:val="24"/>
          <w:szCs w:val="24"/>
          <w:lang w:eastAsia="en-US"/>
        </w:rPr>
        <w:t xml:space="preserve"> </w:t>
      </w:r>
      <w:r w:rsidRPr="00A459B8">
        <w:rPr>
          <w:rFonts w:eastAsia="Calibri"/>
          <w:sz w:val="24"/>
          <w:szCs w:val="24"/>
          <w:lang w:eastAsia="en-US"/>
        </w:rPr>
        <w:t xml:space="preserve">%).  </w:t>
      </w:r>
    </w:p>
    <w:p w:rsidR="00075A67" w:rsidRPr="00A459B8" w:rsidRDefault="00075A67" w:rsidP="00075A67">
      <w:pPr>
        <w:jc w:val="both"/>
        <w:rPr>
          <w:rFonts w:eastAsia="Calibri"/>
          <w:sz w:val="24"/>
          <w:szCs w:val="24"/>
          <w:lang w:eastAsia="en-US"/>
        </w:rPr>
      </w:pPr>
    </w:p>
    <w:p w:rsidR="0024416E" w:rsidRPr="00075A67" w:rsidRDefault="0024416E" w:rsidP="00075A67">
      <w:pPr>
        <w:jc w:val="both"/>
        <w:rPr>
          <w:rFonts w:eastAsia="Calibri"/>
          <w:b/>
          <w:sz w:val="24"/>
          <w:szCs w:val="24"/>
          <w:lang w:eastAsia="en-US"/>
        </w:rPr>
      </w:pPr>
      <w:r w:rsidRPr="00075A67">
        <w:rPr>
          <w:rFonts w:eastAsia="Calibri"/>
          <w:b/>
          <w:sz w:val="24"/>
          <w:szCs w:val="24"/>
          <w:lang w:eastAsia="en-US"/>
        </w:rPr>
        <w:t xml:space="preserve">Doprava: </w:t>
      </w:r>
    </w:p>
    <w:p w:rsidR="0024416E" w:rsidRPr="00A459B8" w:rsidRDefault="0024416E" w:rsidP="00075A67">
      <w:pPr>
        <w:jc w:val="both"/>
        <w:rPr>
          <w:rFonts w:eastAsia="Calibri"/>
          <w:sz w:val="24"/>
          <w:szCs w:val="24"/>
          <w:lang w:eastAsia="en-US"/>
        </w:rPr>
      </w:pPr>
      <w:r w:rsidRPr="00A459B8">
        <w:rPr>
          <w:rFonts w:eastAsia="Calibri"/>
          <w:sz w:val="24"/>
          <w:szCs w:val="24"/>
          <w:lang w:eastAsia="en-US"/>
        </w:rPr>
        <w:t>Sektor dopravy bol jediným sektorom národného hospodárstva, v ktorom spotreba energie v  období rokov 2005-2015 rástla, a to až o</w:t>
      </w:r>
      <w:r>
        <w:rPr>
          <w:rFonts w:eastAsia="Calibri"/>
          <w:sz w:val="24"/>
          <w:szCs w:val="24"/>
          <w:lang w:eastAsia="en-US"/>
        </w:rPr>
        <w:t> </w:t>
      </w:r>
      <w:r w:rsidRPr="00A459B8">
        <w:rPr>
          <w:rFonts w:eastAsia="Calibri"/>
          <w:sz w:val="24"/>
          <w:szCs w:val="24"/>
          <w:lang w:eastAsia="en-US"/>
        </w:rPr>
        <w:t>21</w:t>
      </w:r>
      <w:r>
        <w:rPr>
          <w:rFonts w:eastAsia="Calibri"/>
          <w:sz w:val="24"/>
          <w:szCs w:val="24"/>
          <w:lang w:eastAsia="en-US"/>
        </w:rPr>
        <w:t xml:space="preserve"> </w:t>
      </w:r>
      <w:r w:rsidRPr="00A459B8">
        <w:rPr>
          <w:rFonts w:eastAsia="Calibri"/>
          <w:sz w:val="24"/>
          <w:szCs w:val="24"/>
          <w:lang w:eastAsia="en-US"/>
        </w:rPr>
        <w:t xml:space="preserve">%. Spotreba energie najvýraznejšie rástla v rokoch 2005-2010, pričom následne úroveň spotreby energie kulminovala. V roku 2015 bola na úrovni zhruba 91 PJ, čo oproti roku 2014 znamená iba mierny nárast (0,1 %).  </w:t>
      </w:r>
    </w:p>
    <w:p w:rsidR="00075A67" w:rsidRDefault="00075A67" w:rsidP="00075A67">
      <w:pPr>
        <w:jc w:val="both"/>
        <w:rPr>
          <w:rFonts w:eastAsia="Calibri"/>
          <w:sz w:val="24"/>
          <w:szCs w:val="24"/>
          <w:lang w:eastAsia="en-US"/>
        </w:rPr>
      </w:pPr>
    </w:p>
    <w:p w:rsidR="0024416E" w:rsidRDefault="0024416E" w:rsidP="00075A67">
      <w:pPr>
        <w:jc w:val="both"/>
        <w:rPr>
          <w:rFonts w:eastAsia="Calibri"/>
          <w:sz w:val="24"/>
          <w:szCs w:val="24"/>
          <w:lang w:eastAsia="en-US"/>
        </w:rPr>
      </w:pPr>
      <w:r w:rsidRPr="00A459B8">
        <w:rPr>
          <w:rFonts w:eastAsia="Calibri"/>
          <w:sz w:val="24"/>
          <w:szCs w:val="24"/>
          <w:lang w:eastAsia="en-US"/>
        </w:rPr>
        <w:t>Medzi hlavné faktory dlhodobého nárastu spotreby energie v doprave v sledovanom období patria: stále rastúci počet evidovaných motorových vozidiel, a s tým súvisiaci zvyšujúci sa počet prepravených osôb individuálnou automobilovou dopravou (rast prepravného výkonu IAD a pokles výkonov VOD), ako aj nárast výkonov cestnej nákladnej dopravy presunom prepravy tovarov z energetický menej náročných dopravných módov na cestnú dopravu. V posledných 5 rokoch sa však podarilo spotrebu energie v doprave stabilizovať.</w:t>
      </w:r>
    </w:p>
    <w:p w:rsidR="00075A67" w:rsidRPr="00A459B8" w:rsidRDefault="00075A67" w:rsidP="00075A67">
      <w:pPr>
        <w:jc w:val="both"/>
        <w:rPr>
          <w:rFonts w:eastAsia="Calibri"/>
          <w:sz w:val="24"/>
          <w:szCs w:val="24"/>
          <w:lang w:eastAsia="en-US"/>
        </w:rPr>
      </w:pPr>
    </w:p>
    <w:p w:rsidR="0024416E" w:rsidRPr="00075A67" w:rsidRDefault="0024416E" w:rsidP="00075A67">
      <w:pPr>
        <w:jc w:val="both"/>
        <w:rPr>
          <w:rFonts w:eastAsia="Calibri"/>
          <w:b/>
          <w:sz w:val="24"/>
          <w:szCs w:val="24"/>
          <w:lang w:eastAsia="en-US"/>
        </w:rPr>
      </w:pPr>
      <w:r w:rsidRPr="00075A67">
        <w:rPr>
          <w:rFonts w:eastAsia="Calibri"/>
          <w:b/>
          <w:sz w:val="24"/>
          <w:szCs w:val="24"/>
          <w:lang w:eastAsia="en-US"/>
        </w:rPr>
        <w:t xml:space="preserve">Pôdohospodárstvo: </w:t>
      </w:r>
    </w:p>
    <w:p w:rsidR="0024416E" w:rsidRDefault="0024416E" w:rsidP="00075A67">
      <w:pPr>
        <w:jc w:val="both"/>
        <w:rPr>
          <w:rFonts w:eastAsia="Calibri"/>
          <w:sz w:val="24"/>
          <w:szCs w:val="24"/>
          <w:lang w:eastAsia="en-US"/>
        </w:rPr>
      </w:pPr>
      <w:r w:rsidRPr="00A459B8">
        <w:rPr>
          <w:rFonts w:eastAsia="Calibri"/>
          <w:sz w:val="24"/>
          <w:szCs w:val="24"/>
          <w:lang w:eastAsia="en-US"/>
        </w:rPr>
        <w:t>Spotreba energie v sektore Pôdohospodárstvo nevykazuje také výrazné výkyvy ako v iných sektoroch. Napriek tomu v strednodobom horizonte zaznamenal tento sektor zníženie spotreby energie o</w:t>
      </w:r>
      <w:r>
        <w:rPr>
          <w:rFonts w:eastAsia="Calibri"/>
          <w:sz w:val="24"/>
          <w:szCs w:val="24"/>
          <w:lang w:eastAsia="en-US"/>
        </w:rPr>
        <w:t> </w:t>
      </w:r>
      <w:r w:rsidRPr="00A459B8">
        <w:rPr>
          <w:rFonts w:eastAsia="Calibri"/>
          <w:sz w:val="24"/>
          <w:szCs w:val="24"/>
          <w:lang w:eastAsia="en-US"/>
        </w:rPr>
        <w:t>17</w:t>
      </w:r>
      <w:r>
        <w:rPr>
          <w:rFonts w:eastAsia="Calibri"/>
          <w:sz w:val="24"/>
          <w:szCs w:val="24"/>
          <w:lang w:eastAsia="en-US"/>
        </w:rPr>
        <w:t xml:space="preserve"> </w:t>
      </w:r>
      <w:r w:rsidRPr="00A459B8">
        <w:rPr>
          <w:rFonts w:eastAsia="Calibri"/>
          <w:sz w:val="24"/>
          <w:szCs w:val="24"/>
          <w:lang w:eastAsia="en-US"/>
        </w:rPr>
        <w:t xml:space="preserve">% (2004-2014). V roku 2014 však sektor zaznamenal medziročný nárast o 4,8 %. </w:t>
      </w:r>
    </w:p>
    <w:p w:rsidR="00075A67" w:rsidRPr="00A459B8" w:rsidRDefault="00075A67" w:rsidP="00075A67">
      <w:pPr>
        <w:jc w:val="both"/>
        <w:rPr>
          <w:rFonts w:eastAsia="Calibri"/>
          <w:sz w:val="24"/>
          <w:szCs w:val="24"/>
          <w:lang w:eastAsia="en-US"/>
        </w:rPr>
      </w:pPr>
    </w:p>
    <w:p w:rsidR="0024416E" w:rsidRPr="00075A67" w:rsidRDefault="0024416E" w:rsidP="00075A67">
      <w:pPr>
        <w:jc w:val="both"/>
        <w:rPr>
          <w:rFonts w:eastAsia="Calibri"/>
          <w:b/>
          <w:sz w:val="24"/>
          <w:szCs w:val="24"/>
          <w:lang w:eastAsia="en-US"/>
        </w:rPr>
      </w:pPr>
      <w:r w:rsidRPr="00075A67">
        <w:rPr>
          <w:rFonts w:eastAsia="Calibri"/>
          <w:b/>
          <w:sz w:val="24"/>
          <w:szCs w:val="24"/>
          <w:lang w:eastAsia="en-US"/>
        </w:rPr>
        <w:t xml:space="preserve">Obchod a služby: </w:t>
      </w:r>
    </w:p>
    <w:p w:rsidR="0024416E" w:rsidRPr="00A459B8" w:rsidRDefault="0024416E" w:rsidP="00075A67">
      <w:pPr>
        <w:jc w:val="both"/>
        <w:rPr>
          <w:rFonts w:eastAsia="Calibri"/>
          <w:sz w:val="24"/>
          <w:szCs w:val="24"/>
          <w:lang w:eastAsia="en-US"/>
        </w:rPr>
      </w:pPr>
      <w:r w:rsidRPr="00A459B8">
        <w:rPr>
          <w:rFonts w:eastAsia="Calibri"/>
          <w:sz w:val="24"/>
          <w:szCs w:val="24"/>
          <w:lang w:eastAsia="en-US"/>
        </w:rPr>
        <w:t>Celková spotreba energie v sektore Obchod a služby v období 2005-2015 kolíše, pričom priemerná ročná spotreba energie v danom období je 71 PJ. V roku 2015 spotreba energie zaznamenala výrazný pokles vo výške zhruba 23,5</w:t>
      </w:r>
      <w:r>
        <w:rPr>
          <w:rFonts w:eastAsia="Calibri"/>
          <w:sz w:val="24"/>
          <w:szCs w:val="24"/>
          <w:lang w:eastAsia="en-US"/>
        </w:rPr>
        <w:t xml:space="preserve"> </w:t>
      </w:r>
      <w:r w:rsidRPr="00A459B8">
        <w:rPr>
          <w:rFonts w:eastAsia="Calibri"/>
          <w:sz w:val="24"/>
          <w:szCs w:val="24"/>
          <w:lang w:eastAsia="en-US"/>
        </w:rPr>
        <w:t xml:space="preserve">% oproti predchádzajúcemu roku. Túto odchýlku možno vysvetliť </w:t>
      </w:r>
      <w:r w:rsidRPr="00A459B8">
        <w:rPr>
          <w:rFonts w:eastAsia="Calibri"/>
          <w:sz w:val="24"/>
          <w:szCs w:val="24"/>
          <w:lang w:eastAsia="en-US"/>
        </w:rPr>
        <w:lastRenderedPageBreak/>
        <w:t>rozdeľovaním a spájaním podnikov, zmenou ich zaradenia do odvetví a z toho vyplývajúcimi zmenami v tom, kde je v bilancii zaradená ich spotreba, ako aj spôsobom výpočtu, ktorý ŠÚSR používa pre túto položku.</w:t>
      </w:r>
      <w:r w:rsidRPr="00075A67">
        <w:rPr>
          <w:rFonts w:eastAsia="Calibri"/>
          <w:sz w:val="24"/>
          <w:szCs w:val="24"/>
          <w:lang w:eastAsia="en-US"/>
        </w:rPr>
        <w:footnoteReference w:id="1"/>
      </w:r>
      <w:r w:rsidRPr="00A459B8">
        <w:rPr>
          <w:rFonts w:eastAsia="Calibri"/>
          <w:sz w:val="24"/>
          <w:szCs w:val="24"/>
          <w:lang w:eastAsia="en-US"/>
        </w:rPr>
        <w:t xml:space="preserve"> </w:t>
      </w:r>
    </w:p>
    <w:p w:rsidR="0024416E" w:rsidRPr="00A26D06" w:rsidRDefault="0024416E" w:rsidP="0024416E">
      <w:pPr>
        <w:keepNext/>
        <w:keepLines/>
        <w:spacing w:before="480" w:line="276" w:lineRule="auto"/>
        <w:outlineLvl w:val="0"/>
        <w:rPr>
          <w:rFonts w:ascii="Cambria" w:hAnsi="Cambria"/>
          <w:b/>
          <w:bCs/>
          <w:sz w:val="28"/>
          <w:szCs w:val="28"/>
          <w:lang w:eastAsia="en-US"/>
        </w:rPr>
      </w:pPr>
      <w:bookmarkStart w:id="3" w:name="_Toc475385084"/>
      <w:r w:rsidRPr="00A26D06">
        <w:rPr>
          <w:rFonts w:ascii="Cambria" w:hAnsi="Cambria"/>
          <w:b/>
          <w:bCs/>
          <w:sz w:val="28"/>
          <w:szCs w:val="28"/>
          <w:lang w:eastAsia="en-US"/>
        </w:rPr>
        <w:t>3. Aktualizované informácie o najdôležitejších legislatívnych a nelegislatívnych opatreniach v roku 2016</w:t>
      </w:r>
      <w:bookmarkEnd w:id="3"/>
    </w:p>
    <w:p w:rsidR="00075A67" w:rsidRDefault="00075A67" w:rsidP="00075A67">
      <w:pPr>
        <w:jc w:val="both"/>
        <w:rPr>
          <w:rFonts w:eastAsia="Calibri"/>
          <w:sz w:val="24"/>
          <w:szCs w:val="24"/>
          <w:lang w:eastAsia="en-US"/>
        </w:rPr>
      </w:pPr>
    </w:p>
    <w:p w:rsidR="0024416E" w:rsidRDefault="0024416E" w:rsidP="00075A67">
      <w:pPr>
        <w:jc w:val="both"/>
        <w:rPr>
          <w:rFonts w:eastAsia="Calibri"/>
          <w:sz w:val="24"/>
          <w:szCs w:val="24"/>
          <w:lang w:eastAsia="en-US"/>
        </w:rPr>
      </w:pPr>
      <w:r w:rsidRPr="00A459B8">
        <w:rPr>
          <w:rFonts w:eastAsia="Calibri"/>
          <w:sz w:val="24"/>
          <w:szCs w:val="24"/>
          <w:lang w:eastAsia="en-US"/>
        </w:rPr>
        <w:t>Kapitola sa venuje legislatívnym a nelegislatívnym opatreniam realizovaným v r</w:t>
      </w:r>
      <w:r>
        <w:rPr>
          <w:rFonts w:eastAsia="Calibri"/>
          <w:sz w:val="24"/>
          <w:szCs w:val="24"/>
          <w:lang w:eastAsia="en-US"/>
        </w:rPr>
        <w:t>oku</w:t>
      </w:r>
      <w:r w:rsidRPr="00A459B8">
        <w:rPr>
          <w:rFonts w:eastAsia="Calibri"/>
          <w:sz w:val="24"/>
          <w:szCs w:val="24"/>
          <w:lang w:eastAsia="en-US"/>
        </w:rPr>
        <w:t xml:space="preserve"> 2016, ktoré prispievajú k plneniu národných cieľov energetickej efektívnosti do roku 2020. </w:t>
      </w:r>
    </w:p>
    <w:p w:rsidR="00075A67" w:rsidRPr="00A459B8" w:rsidRDefault="00075A67" w:rsidP="00075A67">
      <w:pPr>
        <w:jc w:val="both"/>
        <w:rPr>
          <w:rFonts w:eastAsia="Calibri"/>
          <w:sz w:val="24"/>
          <w:szCs w:val="24"/>
          <w:lang w:eastAsia="en-US"/>
        </w:rPr>
      </w:pPr>
    </w:p>
    <w:p w:rsidR="0024416E" w:rsidRPr="00A26D06" w:rsidRDefault="0024416E" w:rsidP="0024416E">
      <w:pPr>
        <w:keepNext/>
        <w:keepLines/>
        <w:spacing w:before="200" w:line="276" w:lineRule="auto"/>
        <w:outlineLvl w:val="1"/>
        <w:rPr>
          <w:rFonts w:ascii="Cambria" w:hAnsi="Cambria"/>
          <w:b/>
          <w:bCs/>
          <w:sz w:val="26"/>
          <w:szCs w:val="26"/>
          <w:lang w:eastAsia="en-US"/>
        </w:rPr>
      </w:pPr>
      <w:bookmarkStart w:id="4" w:name="_Toc475385085"/>
      <w:r w:rsidRPr="00A26D06">
        <w:rPr>
          <w:rFonts w:ascii="Cambria" w:hAnsi="Cambria"/>
          <w:b/>
          <w:bCs/>
          <w:sz w:val="26"/>
          <w:szCs w:val="26"/>
          <w:lang w:eastAsia="en-US"/>
        </w:rPr>
        <w:t>3.1 Legislatívne opatrenia</w:t>
      </w:r>
      <w:bookmarkEnd w:id="4"/>
      <w:r w:rsidRPr="00A26D06">
        <w:rPr>
          <w:rFonts w:ascii="Cambria" w:hAnsi="Cambria"/>
          <w:b/>
          <w:bCs/>
          <w:sz w:val="26"/>
          <w:szCs w:val="26"/>
          <w:lang w:eastAsia="en-US"/>
        </w:rPr>
        <w:t xml:space="preserve"> </w:t>
      </w:r>
    </w:p>
    <w:p w:rsidR="00075A67" w:rsidRDefault="00075A67" w:rsidP="00075A67">
      <w:pPr>
        <w:jc w:val="both"/>
        <w:rPr>
          <w:rFonts w:eastAsia="Calibri"/>
          <w:sz w:val="24"/>
          <w:szCs w:val="24"/>
          <w:lang w:eastAsia="en-US"/>
        </w:rPr>
      </w:pPr>
    </w:p>
    <w:p w:rsidR="0024416E" w:rsidRPr="00075A67" w:rsidRDefault="0024416E" w:rsidP="00075A67">
      <w:pPr>
        <w:jc w:val="both"/>
        <w:rPr>
          <w:rFonts w:eastAsia="Calibri"/>
          <w:sz w:val="24"/>
          <w:szCs w:val="24"/>
          <w:lang w:eastAsia="en-US"/>
        </w:rPr>
      </w:pPr>
      <w:r w:rsidRPr="00075A67">
        <w:rPr>
          <w:rFonts w:eastAsia="Calibri"/>
          <w:sz w:val="24"/>
          <w:szCs w:val="24"/>
          <w:lang w:eastAsia="en-US"/>
        </w:rPr>
        <w:t xml:space="preserve">V roku 2016 boli prijaté viaceré všeobecne platné právne predpisy k rámcovému zákonu č. 321/2014 Z. z. o energetickej efektívnosti a o zmene a doplnení niektorých zákonov, ako aj iné všeobecne platné právne predpisy, a to hlavne:  </w:t>
      </w:r>
    </w:p>
    <w:p w:rsidR="0024416E" w:rsidRPr="00075A67" w:rsidRDefault="0024416E" w:rsidP="00075A67">
      <w:pPr>
        <w:pStyle w:val="Odsekzoznamu"/>
        <w:numPr>
          <w:ilvl w:val="0"/>
          <w:numId w:val="12"/>
        </w:numPr>
        <w:spacing w:after="0" w:line="240" w:lineRule="auto"/>
        <w:ind w:left="714" w:hanging="357"/>
        <w:jc w:val="both"/>
        <w:rPr>
          <w:rFonts w:ascii="Times New Roman" w:hAnsi="Times New Roman"/>
          <w:sz w:val="24"/>
          <w:szCs w:val="24"/>
        </w:rPr>
      </w:pPr>
      <w:r w:rsidRPr="00075A67">
        <w:rPr>
          <w:rFonts w:ascii="Times New Roman" w:hAnsi="Times New Roman"/>
          <w:sz w:val="24"/>
          <w:szCs w:val="24"/>
        </w:rPr>
        <w:t>vyhláška MH SR č. 192/2016 Z. z. o monitorovaní energetickej náročnosti verejných budov</w:t>
      </w:r>
    </w:p>
    <w:p w:rsidR="0024416E" w:rsidRPr="00075A67" w:rsidRDefault="0024416E" w:rsidP="00075A67">
      <w:pPr>
        <w:pStyle w:val="Odsekzoznamu"/>
        <w:numPr>
          <w:ilvl w:val="0"/>
          <w:numId w:val="12"/>
        </w:numPr>
        <w:spacing w:after="0" w:line="240" w:lineRule="auto"/>
        <w:ind w:left="714" w:hanging="357"/>
        <w:jc w:val="both"/>
        <w:rPr>
          <w:rFonts w:ascii="Times New Roman" w:hAnsi="Times New Roman"/>
          <w:sz w:val="24"/>
          <w:szCs w:val="24"/>
        </w:rPr>
      </w:pPr>
      <w:r w:rsidRPr="00075A67">
        <w:rPr>
          <w:rFonts w:ascii="Times New Roman" w:hAnsi="Times New Roman"/>
          <w:sz w:val="24"/>
          <w:szCs w:val="24"/>
        </w:rPr>
        <w:t xml:space="preserve">vyhláška MH SR č. 13/2016 Z. z., ktorou sa ustanovujú podrobnosti o súbore údajov poskytovaných do monitorovacieho systému energetickej efektívnosti, o zásadách  a pravidlách monitorovacieho systému, o spôsobe monitorovania údajov a spracovaní informácií. </w:t>
      </w:r>
    </w:p>
    <w:p w:rsidR="0024416E" w:rsidRDefault="0024416E" w:rsidP="0024416E">
      <w:pPr>
        <w:spacing w:after="200" w:line="276" w:lineRule="auto"/>
        <w:contextualSpacing/>
        <w:jc w:val="both"/>
        <w:rPr>
          <w:rFonts w:eastAsia="Calibri"/>
          <w:sz w:val="24"/>
          <w:szCs w:val="24"/>
          <w:lang w:eastAsia="en-US"/>
        </w:rPr>
      </w:pPr>
    </w:p>
    <w:p w:rsidR="0024416E" w:rsidRPr="0034117B" w:rsidRDefault="0024416E" w:rsidP="00075A67">
      <w:pPr>
        <w:jc w:val="both"/>
        <w:rPr>
          <w:rFonts w:eastAsia="Calibri"/>
          <w:sz w:val="24"/>
          <w:szCs w:val="24"/>
          <w:lang w:eastAsia="en-US"/>
        </w:rPr>
      </w:pPr>
      <w:r w:rsidRPr="0034117B">
        <w:rPr>
          <w:rFonts w:eastAsia="Calibri"/>
          <w:sz w:val="24"/>
          <w:szCs w:val="24"/>
          <w:lang w:eastAsia="en-US"/>
        </w:rPr>
        <w:t xml:space="preserve">V priebehu roka 2016 boli na úrovni EÚ prijaté nasledujúce sekundárne legislatívne predpisy v oblasti </w:t>
      </w:r>
      <w:proofErr w:type="spellStart"/>
      <w:r w:rsidRPr="0034117B">
        <w:rPr>
          <w:rFonts w:eastAsia="Calibri"/>
          <w:sz w:val="24"/>
          <w:szCs w:val="24"/>
          <w:lang w:eastAsia="en-US"/>
        </w:rPr>
        <w:t>ekodizajnu</w:t>
      </w:r>
      <w:proofErr w:type="spellEnd"/>
      <w:r w:rsidRPr="0034117B">
        <w:rPr>
          <w:rFonts w:eastAsia="Calibri"/>
          <w:sz w:val="24"/>
          <w:szCs w:val="24"/>
          <w:lang w:eastAsia="en-US"/>
        </w:rPr>
        <w:t xml:space="preserve"> a energetického štítkovania: </w:t>
      </w:r>
    </w:p>
    <w:p w:rsidR="0024416E" w:rsidRPr="00075A67" w:rsidRDefault="0024416E" w:rsidP="00075A67">
      <w:pPr>
        <w:pStyle w:val="Odsekzoznamu"/>
        <w:numPr>
          <w:ilvl w:val="0"/>
          <w:numId w:val="12"/>
        </w:numPr>
        <w:spacing w:after="0" w:line="240" w:lineRule="auto"/>
        <w:ind w:left="714" w:hanging="357"/>
        <w:jc w:val="both"/>
        <w:rPr>
          <w:rFonts w:ascii="Times New Roman" w:hAnsi="Times New Roman"/>
          <w:sz w:val="24"/>
          <w:szCs w:val="24"/>
        </w:rPr>
      </w:pPr>
      <w:r w:rsidRPr="00075A67">
        <w:rPr>
          <w:rFonts w:ascii="Times New Roman" w:hAnsi="Times New Roman"/>
          <w:sz w:val="24"/>
          <w:szCs w:val="24"/>
        </w:rPr>
        <w:t>Nariadenie Komisie (EÚ) 2016/2282 z 30. novembra 2016, ktorým sa menia nariadenia (ES) č. 1275/2008, (ES) č. 107/2009, (ES) č. 278/2009, (ES) č. 640/2009, (ES) č. 641/2009, (ES) č. 642/2009, (ES) č. 643/2009, (EÚ) č. 1015/2010, (EÚ) č. 1016/2010, (EÚ) č. 327/2011, (EÚ) č. 206/2012, (EÚ) č. 547/2012, (EÚ) č. 932/2012, (EÚ) č. 617/2013, (EÚ) č. 666/2013, (EÚ) č. 813/2013, (EÚ) č. 814/2013, (EÚ) č. 66/2014, (EÚ) č. 548/2014, (EÚ) č. 1253/2014, (EÚ) 2015/1095, (EÚ) 2015/1185, (EÚ) 2015/1188, (EÚ) 2015/1189 a (EÚ) 2016/2281 so zreteľom na používanie tolerancií pri overovacích postupoch (</w:t>
      </w:r>
      <w:proofErr w:type="spellStart"/>
      <w:r w:rsidRPr="00075A67">
        <w:rPr>
          <w:rFonts w:ascii="Times New Roman" w:hAnsi="Times New Roman"/>
          <w:sz w:val="24"/>
          <w:szCs w:val="24"/>
        </w:rPr>
        <w:t>ekodizajn</w:t>
      </w:r>
      <w:proofErr w:type="spellEnd"/>
      <w:r w:rsidRPr="00075A67">
        <w:rPr>
          <w:rFonts w:ascii="Times New Roman" w:hAnsi="Times New Roman"/>
          <w:sz w:val="24"/>
          <w:szCs w:val="24"/>
        </w:rPr>
        <w:t>),</w:t>
      </w:r>
    </w:p>
    <w:p w:rsidR="0024416E" w:rsidRPr="00075A67" w:rsidRDefault="0024416E" w:rsidP="00075A67">
      <w:pPr>
        <w:pStyle w:val="Odsekzoznamu"/>
        <w:numPr>
          <w:ilvl w:val="0"/>
          <w:numId w:val="12"/>
        </w:numPr>
        <w:spacing w:after="0" w:line="240" w:lineRule="auto"/>
        <w:ind w:left="714" w:hanging="357"/>
        <w:jc w:val="both"/>
        <w:rPr>
          <w:rFonts w:ascii="Times New Roman" w:hAnsi="Times New Roman"/>
          <w:sz w:val="24"/>
          <w:szCs w:val="24"/>
        </w:rPr>
      </w:pPr>
      <w:r w:rsidRPr="00075A67">
        <w:rPr>
          <w:rFonts w:ascii="Times New Roman" w:hAnsi="Times New Roman"/>
          <w:sz w:val="24"/>
          <w:szCs w:val="24"/>
        </w:rPr>
        <w:t xml:space="preserve">Nariadenie Komisie (EÚ) 2016/2281 z 30. novembra 2016, ktorým sa vykonáva smernica Európskeho parlamentu a Rady 2009/125/ES o vytvorení rámca na stanovenie požiadaviek na </w:t>
      </w:r>
      <w:proofErr w:type="spellStart"/>
      <w:r w:rsidRPr="00075A67">
        <w:rPr>
          <w:rFonts w:ascii="Times New Roman" w:hAnsi="Times New Roman"/>
          <w:sz w:val="24"/>
          <w:szCs w:val="24"/>
        </w:rPr>
        <w:t>ekodizajn</w:t>
      </w:r>
      <w:proofErr w:type="spellEnd"/>
      <w:r w:rsidRPr="00075A67">
        <w:rPr>
          <w:rFonts w:ascii="Times New Roman" w:hAnsi="Times New Roman"/>
          <w:sz w:val="24"/>
          <w:szCs w:val="24"/>
        </w:rPr>
        <w:t xml:space="preserve"> energeticky významných výrobkov, pokiaľ ide o požiadavky na </w:t>
      </w:r>
      <w:proofErr w:type="spellStart"/>
      <w:r w:rsidRPr="00075A67">
        <w:rPr>
          <w:rFonts w:ascii="Times New Roman" w:hAnsi="Times New Roman"/>
          <w:sz w:val="24"/>
          <w:szCs w:val="24"/>
        </w:rPr>
        <w:t>ekodizajn</w:t>
      </w:r>
      <w:proofErr w:type="spellEnd"/>
      <w:r w:rsidRPr="00075A67">
        <w:rPr>
          <w:rFonts w:ascii="Times New Roman" w:hAnsi="Times New Roman"/>
          <w:sz w:val="24"/>
          <w:szCs w:val="24"/>
        </w:rPr>
        <w:t xml:space="preserve"> výrobkov na ohrievanie vzduchu, chladiacich výrobkov, vysokoteplotných priemyselných chladičov a ventilátorových </w:t>
      </w:r>
      <w:proofErr w:type="spellStart"/>
      <w:r w:rsidRPr="00075A67">
        <w:rPr>
          <w:rFonts w:ascii="Times New Roman" w:hAnsi="Times New Roman"/>
          <w:sz w:val="24"/>
          <w:szCs w:val="24"/>
        </w:rPr>
        <w:t>konvektorov</w:t>
      </w:r>
      <w:proofErr w:type="spellEnd"/>
      <w:r w:rsidRPr="00075A67">
        <w:rPr>
          <w:rFonts w:ascii="Times New Roman" w:hAnsi="Times New Roman"/>
          <w:sz w:val="24"/>
          <w:szCs w:val="24"/>
        </w:rPr>
        <w:t>,</w:t>
      </w:r>
    </w:p>
    <w:p w:rsidR="00075A67" w:rsidRPr="00075A67" w:rsidRDefault="0024416E" w:rsidP="00075A67">
      <w:pPr>
        <w:pStyle w:val="Odsekzoznamu"/>
        <w:numPr>
          <w:ilvl w:val="0"/>
          <w:numId w:val="12"/>
        </w:numPr>
        <w:spacing w:after="0" w:line="240" w:lineRule="auto"/>
        <w:ind w:left="714" w:hanging="357"/>
        <w:jc w:val="both"/>
        <w:rPr>
          <w:rFonts w:ascii="Times New Roman" w:hAnsi="Times New Roman"/>
          <w:sz w:val="24"/>
          <w:szCs w:val="24"/>
        </w:rPr>
      </w:pPr>
      <w:r w:rsidRPr="00075A67">
        <w:rPr>
          <w:rFonts w:ascii="Times New Roman" w:hAnsi="Times New Roman"/>
          <w:sz w:val="24"/>
          <w:szCs w:val="24"/>
        </w:rPr>
        <w:t>Delegované nariadenie Komisie (EÚ) 2017/254 z 30. novembra 2016, ktorým sa menia delegované nariadenia (EÚ) č. 1059/2010, (EÚ) č. 1060/2010, (EÚ) č. 1061/2010, (EÚ) č. 1062/2010, (EÚ) č. 626/2011, (EÚ) č. 392/2012, (EÚ) č. 874/2012, (EÚ) č. 665/2013, (EÚ) č. 811/2013, (EÚ) č. 812/2013, (EÚ) č. 65/2014, (EÚ) č. 1254/2014, (EÚ) 2015/1094, (EÚ) 2015/1186 a (EÚ) 2015/1187, pokiaľ ide o používanie tolerancií pri postupoch overovania (štítkovanie).</w:t>
      </w:r>
    </w:p>
    <w:p w:rsidR="0024416E" w:rsidRPr="00A26D06" w:rsidRDefault="0024416E" w:rsidP="0024416E">
      <w:pPr>
        <w:keepNext/>
        <w:keepLines/>
        <w:spacing w:before="200" w:line="276" w:lineRule="auto"/>
        <w:outlineLvl w:val="1"/>
        <w:rPr>
          <w:rFonts w:ascii="Cambria" w:hAnsi="Cambria"/>
          <w:b/>
          <w:bCs/>
          <w:sz w:val="26"/>
          <w:szCs w:val="26"/>
          <w:lang w:eastAsia="en-US"/>
        </w:rPr>
      </w:pPr>
      <w:bookmarkStart w:id="5" w:name="_Toc475385086"/>
      <w:r w:rsidRPr="00A26D06">
        <w:rPr>
          <w:rFonts w:ascii="Cambria" w:hAnsi="Cambria"/>
          <w:b/>
          <w:bCs/>
          <w:sz w:val="26"/>
          <w:szCs w:val="26"/>
          <w:lang w:eastAsia="en-US"/>
        </w:rPr>
        <w:t>3.2 Nelegislatívne opatrenia</w:t>
      </w:r>
      <w:bookmarkEnd w:id="5"/>
      <w:r w:rsidRPr="00A26D06">
        <w:rPr>
          <w:rFonts w:ascii="Cambria" w:hAnsi="Cambria"/>
          <w:b/>
          <w:bCs/>
          <w:sz w:val="26"/>
          <w:szCs w:val="26"/>
          <w:lang w:eastAsia="en-US"/>
        </w:rPr>
        <w:t xml:space="preserve"> </w:t>
      </w:r>
    </w:p>
    <w:p w:rsidR="0024416E" w:rsidRPr="00A459B8" w:rsidRDefault="0024416E" w:rsidP="00075A67">
      <w:pPr>
        <w:jc w:val="both"/>
        <w:rPr>
          <w:rFonts w:eastAsia="Calibri"/>
          <w:sz w:val="24"/>
          <w:szCs w:val="24"/>
          <w:lang w:eastAsia="en-US"/>
        </w:rPr>
      </w:pPr>
      <w:r w:rsidRPr="00A459B8">
        <w:rPr>
          <w:rFonts w:eastAsia="Calibri"/>
          <w:sz w:val="24"/>
          <w:szCs w:val="24"/>
          <w:lang w:eastAsia="en-US"/>
        </w:rPr>
        <w:t xml:space="preserve">V roku 2016 boli realizované projekty zamerané na energetickú efektívnosť najmä v rámci nasledujúcich opatrení: </w:t>
      </w:r>
    </w:p>
    <w:p w:rsidR="0024416E" w:rsidRPr="00A459B8" w:rsidRDefault="0024416E" w:rsidP="00075A67">
      <w:pPr>
        <w:numPr>
          <w:ilvl w:val="0"/>
          <w:numId w:val="3"/>
        </w:numPr>
        <w:contextualSpacing/>
        <w:jc w:val="both"/>
        <w:rPr>
          <w:rFonts w:eastAsia="Calibri"/>
          <w:sz w:val="24"/>
          <w:szCs w:val="24"/>
          <w:lang w:eastAsia="en-US"/>
        </w:rPr>
      </w:pPr>
      <w:r w:rsidRPr="00A459B8">
        <w:rPr>
          <w:rFonts w:eastAsia="Calibri"/>
          <w:sz w:val="24"/>
          <w:szCs w:val="24"/>
          <w:lang w:eastAsia="en-US"/>
        </w:rPr>
        <w:lastRenderedPageBreak/>
        <w:t>ŠFRB - Zatepľovanie bytovej budovy – zamerané na zlepšovanie tepelno-technických vlastností bytových budov,</w:t>
      </w:r>
    </w:p>
    <w:p w:rsidR="0024416E" w:rsidRPr="00A459B8" w:rsidRDefault="0024416E" w:rsidP="00075A67">
      <w:pPr>
        <w:numPr>
          <w:ilvl w:val="0"/>
          <w:numId w:val="3"/>
        </w:numPr>
        <w:contextualSpacing/>
        <w:jc w:val="both"/>
        <w:rPr>
          <w:rFonts w:eastAsia="Calibri"/>
          <w:sz w:val="24"/>
          <w:szCs w:val="24"/>
          <w:lang w:eastAsia="en-US"/>
        </w:rPr>
      </w:pPr>
      <w:r w:rsidRPr="00A459B8">
        <w:rPr>
          <w:rFonts w:eastAsia="Calibri"/>
          <w:sz w:val="24"/>
          <w:szCs w:val="24"/>
          <w:lang w:eastAsia="en-US"/>
        </w:rPr>
        <w:t>Zatepľovanie rodinných budov,</w:t>
      </w:r>
    </w:p>
    <w:p w:rsidR="0024416E" w:rsidRPr="00A459B8" w:rsidRDefault="0024416E" w:rsidP="00075A67">
      <w:pPr>
        <w:numPr>
          <w:ilvl w:val="0"/>
          <w:numId w:val="3"/>
        </w:numPr>
        <w:contextualSpacing/>
        <w:jc w:val="both"/>
        <w:rPr>
          <w:rFonts w:eastAsia="Calibri"/>
          <w:sz w:val="24"/>
          <w:szCs w:val="24"/>
          <w:lang w:eastAsia="en-US"/>
        </w:rPr>
      </w:pPr>
      <w:r w:rsidRPr="00A459B8">
        <w:rPr>
          <w:rFonts w:eastAsia="Calibri"/>
          <w:sz w:val="24"/>
          <w:szCs w:val="24"/>
          <w:lang w:eastAsia="en-US"/>
        </w:rPr>
        <w:t xml:space="preserve">Zelený program </w:t>
      </w:r>
      <w:proofErr w:type="spellStart"/>
      <w:r w:rsidRPr="00A459B8">
        <w:rPr>
          <w:rFonts w:eastAsia="Calibri"/>
          <w:sz w:val="24"/>
          <w:szCs w:val="24"/>
          <w:lang w:eastAsia="en-US"/>
        </w:rPr>
        <w:t>Slovseff</w:t>
      </w:r>
      <w:proofErr w:type="spellEnd"/>
      <w:r w:rsidRPr="00A459B8">
        <w:rPr>
          <w:rFonts w:eastAsia="Calibri"/>
          <w:sz w:val="24"/>
          <w:szCs w:val="24"/>
          <w:lang w:eastAsia="en-US"/>
        </w:rPr>
        <w:t xml:space="preserve"> III.</w:t>
      </w:r>
      <w:r w:rsidRPr="00A459B8">
        <w:rPr>
          <w:rFonts w:eastAsia="Calibri"/>
          <w:sz w:val="24"/>
          <w:szCs w:val="24"/>
          <w:lang w:eastAsia="en-US"/>
        </w:rPr>
        <w:tab/>
        <w:t>- zameraný na zlepšovanie energetickej efektívnosti v priemysle a zlepšovanie tepelno-technických vlastností bytových domov,</w:t>
      </w:r>
    </w:p>
    <w:p w:rsidR="0024416E" w:rsidRDefault="0024416E" w:rsidP="00075A67">
      <w:pPr>
        <w:numPr>
          <w:ilvl w:val="0"/>
          <w:numId w:val="3"/>
        </w:numPr>
        <w:contextualSpacing/>
        <w:jc w:val="both"/>
        <w:rPr>
          <w:rFonts w:eastAsia="Calibri"/>
          <w:sz w:val="24"/>
          <w:szCs w:val="24"/>
          <w:lang w:eastAsia="en-US"/>
        </w:rPr>
      </w:pPr>
      <w:r w:rsidRPr="00A459B8">
        <w:rPr>
          <w:rFonts w:eastAsia="Calibri"/>
          <w:sz w:val="24"/>
          <w:szCs w:val="24"/>
          <w:lang w:eastAsia="en-US"/>
        </w:rPr>
        <w:t>Environmentálny fond  - Činnosť L1 - zameraný na zlepšovanie tepelno-technických vlastností verejných budov.</w:t>
      </w:r>
    </w:p>
    <w:p w:rsidR="00075A67" w:rsidRPr="00A459B8" w:rsidRDefault="00075A67" w:rsidP="00075A67">
      <w:pPr>
        <w:ind w:left="360"/>
        <w:contextualSpacing/>
        <w:jc w:val="both"/>
        <w:rPr>
          <w:rFonts w:eastAsia="Calibri"/>
          <w:sz w:val="24"/>
          <w:szCs w:val="24"/>
          <w:lang w:eastAsia="en-US"/>
        </w:rPr>
      </w:pPr>
    </w:p>
    <w:p w:rsidR="0024416E" w:rsidRDefault="0024416E" w:rsidP="00075A67">
      <w:pPr>
        <w:jc w:val="both"/>
        <w:rPr>
          <w:rFonts w:eastAsia="Calibri"/>
          <w:sz w:val="24"/>
          <w:szCs w:val="24"/>
          <w:lang w:eastAsia="en-US"/>
        </w:rPr>
      </w:pPr>
      <w:r w:rsidRPr="00A459B8">
        <w:rPr>
          <w:rFonts w:eastAsia="Calibri"/>
          <w:sz w:val="24"/>
          <w:szCs w:val="24"/>
          <w:lang w:eastAsia="en-US"/>
        </w:rPr>
        <w:t>V roku 2016 sa ukončila výzva v rámci Špecifický cieľ 4.3.1. Zníženie spotreby energie pri prevádzke verejných budov a pripravovala sa ďalšia výzva. Výzvu pripravuje SIEA, ktorá je sprostredkovateľský orgán pre Operačný program Kvalita životného prostredia (OP KŽP), ktorý riadi MŽP SR. Vyhlásenie výzvy je plánované na 1. kvartál 2017, pričom predpokladaná výška vyčlenených finančných prostriedkov zo zdrojov Európskej únie je 120 mil. E</w:t>
      </w:r>
      <w:r>
        <w:rPr>
          <w:rFonts w:eastAsia="Calibri"/>
          <w:sz w:val="24"/>
          <w:szCs w:val="24"/>
          <w:lang w:eastAsia="en-US"/>
        </w:rPr>
        <w:t>ur</w:t>
      </w:r>
      <w:r w:rsidRPr="00A459B8">
        <w:rPr>
          <w:rFonts w:eastAsia="Calibri"/>
          <w:sz w:val="24"/>
          <w:szCs w:val="24"/>
          <w:lang w:eastAsia="en-US"/>
        </w:rPr>
        <w:t>.</w:t>
      </w:r>
    </w:p>
    <w:p w:rsidR="00075A67" w:rsidRPr="00A459B8" w:rsidRDefault="00075A67" w:rsidP="00075A67">
      <w:pPr>
        <w:jc w:val="both"/>
        <w:rPr>
          <w:rFonts w:eastAsia="Calibri"/>
          <w:sz w:val="24"/>
          <w:szCs w:val="24"/>
          <w:lang w:eastAsia="en-US"/>
        </w:rPr>
      </w:pPr>
    </w:p>
    <w:p w:rsidR="0024416E" w:rsidRPr="00A459B8" w:rsidRDefault="0024416E" w:rsidP="00075A67">
      <w:pPr>
        <w:jc w:val="both"/>
        <w:rPr>
          <w:rFonts w:eastAsia="Calibri"/>
          <w:sz w:val="24"/>
          <w:szCs w:val="24"/>
          <w:lang w:eastAsia="en-US"/>
        </w:rPr>
      </w:pPr>
      <w:r w:rsidRPr="00A459B8">
        <w:rPr>
          <w:rFonts w:eastAsia="Calibri"/>
          <w:sz w:val="24"/>
          <w:szCs w:val="24"/>
          <w:lang w:eastAsia="en-US"/>
        </w:rPr>
        <w:t xml:space="preserve">Okrem toho sa v roku 2016 pripravil aj podporný mechanizmus na vykonanie energetických auditov MSP v Bratislavskom kraji (ostatné kraje budú podporené prostredníctvom OP KŽP). Na vykonanie energetických auditov MSP bolo vyčlenených 300 000 </w:t>
      </w:r>
      <w:r>
        <w:rPr>
          <w:rFonts w:eastAsia="Calibri"/>
          <w:sz w:val="24"/>
          <w:szCs w:val="24"/>
          <w:lang w:eastAsia="en-US"/>
        </w:rPr>
        <w:t>E</w:t>
      </w:r>
      <w:r w:rsidRPr="00A459B8">
        <w:rPr>
          <w:rFonts w:eastAsia="Calibri"/>
          <w:sz w:val="24"/>
          <w:szCs w:val="24"/>
          <w:lang w:eastAsia="en-US"/>
        </w:rPr>
        <w:t>ur. Podporný mechanizmus bude implementovaný v roku 2017.</w:t>
      </w:r>
    </w:p>
    <w:p w:rsidR="0024416E" w:rsidRPr="00A26D06" w:rsidRDefault="0024416E" w:rsidP="0024416E">
      <w:pPr>
        <w:keepNext/>
        <w:keepLines/>
        <w:spacing w:before="480" w:line="276" w:lineRule="auto"/>
        <w:outlineLvl w:val="0"/>
        <w:rPr>
          <w:rFonts w:ascii="Cambria" w:hAnsi="Cambria"/>
          <w:b/>
          <w:bCs/>
          <w:sz w:val="28"/>
          <w:szCs w:val="28"/>
          <w:lang w:eastAsia="en-US"/>
        </w:rPr>
      </w:pPr>
      <w:bookmarkStart w:id="6" w:name="_Toc475385087"/>
      <w:r w:rsidRPr="00A26D06">
        <w:rPr>
          <w:rFonts w:ascii="Cambria" w:hAnsi="Cambria"/>
          <w:b/>
          <w:bCs/>
          <w:sz w:val="28"/>
          <w:szCs w:val="28"/>
          <w:lang w:eastAsia="en-US"/>
        </w:rPr>
        <w:t>4. Informácie o obnove budov v pôsobnosti ústredných orgánov štátnej správy</w:t>
      </w:r>
      <w:bookmarkEnd w:id="6"/>
      <w:r w:rsidRPr="00A26D06">
        <w:rPr>
          <w:rFonts w:ascii="Cambria" w:hAnsi="Cambria"/>
          <w:b/>
          <w:bCs/>
          <w:sz w:val="28"/>
          <w:szCs w:val="28"/>
          <w:lang w:eastAsia="en-US"/>
        </w:rPr>
        <w:t xml:space="preserve"> </w:t>
      </w:r>
    </w:p>
    <w:p w:rsidR="0024416E" w:rsidRDefault="0024416E" w:rsidP="00075A67">
      <w:pPr>
        <w:jc w:val="both"/>
        <w:rPr>
          <w:rFonts w:eastAsia="Calibri"/>
          <w:sz w:val="24"/>
          <w:szCs w:val="24"/>
          <w:lang w:eastAsia="en-US"/>
        </w:rPr>
      </w:pPr>
      <w:r w:rsidRPr="00A459B8">
        <w:rPr>
          <w:rFonts w:eastAsia="Calibri"/>
          <w:sz w:val="24"/>
          <w:szCs w:val="24"/>
          <w:lang w:eastAsia="en-US"/>
        </w:rPr>
        <w:t>Podľa smernice 2012/27/EÚ každý členský štát musí zabezpečiť, aby sa od 1. januára 2014 každoročne obnovovali 3 % z celkovej podlahovej plochy vykurovaných a/alebo chladených budov, ktoré vlastnia a využívajú ústredné orgány štátnej správy, tak aby dosiahli aspoň minimálne požiadavky na energetickú hospodárnosť budov (čl. 5 ods. 1 smernice). Tento cieľ možno plniť aj alternatívnym spôsobom (čl. 5 ods. 6 smernice), ktorým sa do roku 2020 dosiahne rovnaký objem úspor energie ako základným prístupom podľa čl. 5 ods. 1 smernice.</w:t>
      </w:r>
    </w:p>
    <w:p w:rsidR="00075A67" w:rsidRPr="00A459B8" w:rsidRDefault="00075A67" w:rsidP="00075A67">
      <w:pPr>
        <w:jc w:val="both"/>
        <w:rPr>
          <w:rFonts w:eastAsia="Calibri"/>
          <w:sz w:val="24"/>
          <w:szCs w:val="24"/>
          <w:lang w:eastAsia="en-US"/>
        </w:rPr>
      </w:pPr>
    </w:p>
    <w:p w:rsidR="0024416E" w:rsidRPr="00A459B8" w:rsidRDefault="0024416E" w:rsidP="0024416E">
      <w:pPr>
        <w:spacing w:after="200"/>
        <w:jc w:val="both"/>
        <w:rPr>
          <w:rFonts w:eastAsia="Calibri"/>
          <w:b/>
          <w:sz w:val="24"/>
          <w:szCs w:val="24"/>
          <w:lang w:eastAsia="en-US"/>
        </w:rPr>
      </w:pPr>
      <w:r w:rsidRPr="00A459B8">
        <w:rPr>
          <w:rFonts w:eastAsia="Calibri"/>
          <w:b/>
          <w:sz w:val="24"/>
          <w:szCs w:val="24"/>
          <w:lang w:eastAsia="en-US"/>
        </w:rPr>
        <w:t>4.1. Celková podlahová plocha budov s celkovou podlahovou plochou viac ako 250 m</w:t>
      </w:r>
      <w:r w:rsidRPr="00A459B8">
        <w:rPr>
          <w:rFonts w:eastAsia="Calibri"/>
          <w:b/>
          <w:sz w:val="24"/>
          <w:szCs w:val="24"/>
          <w:vertAlign w:val="superscript"/>
          <w:lang w:eastAsia="en-US"/>
        </w:rPr>
        <w:t>2</w:t>
      </w:r>
      <w:r w:rsidRPr="00A459B8">
        <w:rPr>
          <w:rFonts w:eastAsia="Calibri"/>
          <w:b/>
          <w:sz w:val="24"/>
          <w:szCs w:val="24"/>
          <w:lang w:eastAsia="en-US"/>
        </w:rPr>
        <w:t xml:space="preserve"> vo vlastníctve a v užívaní ústredných orgánov štátnej správy, ktoré nespĺňajú národné minimálne požiadavky energetickej hospodárnosti - za rok 2016</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3"/>
        <w:gridCol w:w="1571"/>
      </w:tblGrid>
      <w:tr w:rsidR="0024416E" w:rsidRPr="00F73205" w:rsidTr="00A26D06">
        <w:tc>
          <w:tcPr>
            <w:tcW w:w="7383" w:type="dxa"/>
            <w:shd w:val="clear" w:color="auto" w:fill="auto"/>
          </w:tcPr>
          <w:p w:rsidR="0024416E" w:rsidRPr="00F73205" w:rsidRDefault="0024416E" w:rsidP="00A26D06">
            <w:pPr>
              <w:widowControl w:val="0"/>
              <w:spacing w:line="360" w:lineRule="auto"/>
              <w:jc w:val="both"/>
              <w:rPr>
                <w:b/>
              </w:rPr>
            </w:pPr>
            <w:r w:rsidRPr="00F73205">
              <w:rPr>
                <w:b/>
              </w:rPr>
              <w:t>Indikátor</w:t>
            </w:r>
          </w:p>
        </w:tc>
        <w:tc>
          <w:tcPr>
            <w:tcW w:w="1571" w:type="dxa"/>
            <w:shd w:val="clear" w:color="auto" w:fill="auto"/>
          </w:tcPr>
          <w:p w:rsidR="0024416E" w:rsidRPr="00F73205" w:rsidRDefault="0024416E" w:rsidP="00A26D06">
            <w:pPr>
              <w:widowControl w:val="0"/>
              <w:spacing w:line="360" w:lineRule="auto"/>
              <w:jc w:val="center"/>
              <w:rPr>
                <w:b/>
              </w:rPr>
            </w:pPr>
            <w:r w:rsidRPr="00F73205">
              <w:rPr>
                <w:b/>
              </w:rPr>
              <w:t>2016</w:t>
            </w:r>
          </w:p>
        </w:tc>
      </w:tr>
      <w:tr w:rsidR="0024416E" w:rsidRPr="00F73205" w:rsidTr="00A26D06">
        <w:tc>
          <w:tcPr>
            <w:tcW w:w="7383" w:type="dxa"/>
            <w:shd w:val="clear" w:color="auto" w:fill="auto"/>
          </w:tcPr>
          <w:p w:rsidR="0024416E" w:rsidRPr="00F73205" w:rsidRDefault="0024416E" w:rsidP="00A26D06">
            <w:pPr>
              <w:widowControl w:val="0"/>
              <w:spacing w:line="360" w:lineRule="auto"/>
              <w:jc w:val="both"/>
              <w:rPr>
                <w:b/>
              </w:rPr>
            </w:pPr>
            <w:r w:rsidRPr="00A459B8">
              <w:t>Celková podlahová plocha budov ÚOŠS, ktoré nespĺňajú národné minimálne požiadavky na energetickú hospodárnosť budov (EHB)</w:t>
            </w:r>
          </w:p>
        </w:tc>
        <w:tc>
          <w:tcPr>
            <w:tcW w:w="1571" w:type="dxa"/>
            <w:shd w:val="clear" w:color="auto" w:fill="auto"/>
            <w:vAlign w:val="center"/>
          </w:tcPr>
          <w:p w:rsidR="0024416E" w:rsidRPr="00F73205" w:rsidRDefault="0024416E" w:rsidP="00A26D06">
            <w:pPr>
              <w:widowControl w:val="0"/>
              <w:spacing w:line="360" w:lineRule="auto"/>
              <w:jc w:val="center"/>
              <w:rPr>
                <w:b/>
              </w:rPr>
            </w:pPr>
            <w:r>
              <w:t xml:space="preserve">413 451 </w:t>
            </w:r>
            <w:r w:rsidRPr="00A459B8">
              <w:t>m</w:t>
            </w:r>
            <w:r w:rsidRPr="00F73205">
              <w:rPr>
                <w:vertAlign w:val="superscript"/>
              </w:rPr>
              <w:t>2</w:t>
            </w:r>
          </w:p>
        </w:tc>
      </w:tr>
    </w:tbl>
    <w:p w:rsidR="0024416E" w:rsidRPr="00A459B8" w:rsidRDefault="0024416E" w:rsidP="0024416E">
      <w:pPr>
        <w:spacing w:after="200"/>
        <w:jc w:val="both"/>
        <w:rPr>
          <w:rFonts w:eastAsia="Calibri"/>
          <w:sz w:val="24"/>
          <w:szCs w:val="24"/>
          <w:lang w:eastAsia="en-US"/>
        </w:rPr>
      </w:pPr>
      <w:r w:rsidRPr="00A459B8">
        <w:rPr>
          <w:rFonts w:eastAsia="Calibri"/>
          <w:sz w:val="24"/>
          <w:szCs w:val="24"/>
          <w:lang w:eastAsia="en-US"/>
        </w:rPr>
        <w:t>Zdroj: MDV SR (2016)</w:t>
      </w:r>
    </w:p>
    <w:p w:rsidR="0024416E" w:rsidRPr="00A459B8" w:rsidRDefault="0024416E" w:rsidP="0024416E">
      <w:pPr>
        <w:spacing w:after="200"/>
        <w:jc w:val="both"/>
        <w:rPr>
          <w:rFonts w:eastAsia="Calibri"/>
          <w:b/>
          <w:sz w:val="24"/>
          <w:szCs w:val="24"/>
          <w:lang w:eastAsia="en-US"/>
        </w:rPr>
      </w:pPr>
      <w:r w:rsidRPr="00A459B8">
        <w:rPr>
          <w:rFonts w:eastAsia="Calibri"/>
          <w:b/>
          <w:sz w:val="24"/>
          <w:szCs w:val="24"/>
          <w:lang w:eastAsia="en-US"/>
        </w:rPr>
        <w:t>4.2. Celková podlahová plocha vykurovaných a chladených budov s celkovou podlahovou plochou viac ako 250 m</w:t>
      </w:r>
      <w:r w:rsidRPr="00A459B8">
        <w:rPr>
          <w:rFonts w:eastAsia="Calibri"/>
          <w:b/>
          <w:sz w:val="24"/>
          <w:szCs w:val="24"/>
          <w:vertAlign w:val="superscript"/>
          <w:lang w:eastAsia="en-US"/>
        </w:rPr>
        <w:t>2</w:t>
      </w:r>
      <w:r w:rsidRPr="00A459B8">
        <w:rPr>
          <w:rFonts w:eastAsia="Calibri"/>
          <w:b/>
          <w:sz w:val="24"/>
          <w:szCs w:val="24"/>
          <w:lang w:eastAsia="en-US"/>
        </w:rPr>
        <w:t xml:space="preserve"> vo vlastníctve a v užívaní ústredných orgánov štátnej správy, ktorá bola obnovená na aspoň národné minimálne požiadavky na energetickú hospodárnosť budov - za rok 2016</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3"/>
        <w:gridCol w:w="1571"/>
      </w:tblGrid>
      <w:tr w:rsidR="0024416E" w:rsidRPr="00F73205" w:rsidTr="00A26D06">
        <w:tc>
          <w:tcPr>
            <w:tcW w:w="7383" w:type="dxa"/>
            <w:shd w:val="clear" w:color="auto" w:fill="auto"/>
          </w:tcPr>
          <w:p w:rsidR="0024416E" w:rsidRPr="00F73205" w:rsidRDefault="0024416E" w:rsidP="00A26D06">
            <w:pPr>
              <w:widowControl w:val="0"/>
              <w:spacing w:line="360" w:lineRule="auto"/>
              <w:jc w:val="both"/>
              <w:rPr>
                <w:b/>
              </w:rPr>
            </w:pPr>
            <w:r w:rsidRPr="00F73205">
              <w:rPr>
                <w:b/>
              </w:rPr>
              <w:t>Indikátor</w:t>
            </w:r>
          </w:p>
        </w:tc>
        <w:tc>
          <w:tcPr>
            <w:tcW w:w="1571" w:type="dxa"/>
            <w:shd w:val="clear" w:color="auto" w:fill="auto"/>
          </w:tcPr>
          <w:p w:rsidR="0024416E" w:rsidRPr="00F73205" w:rsidRDefault="0024416E" w:rsidP="00A26D06">
            <w:pPr>
              <w:widowControl w:val="0"/>
              <w:spacing w:line="360" w:lineRule="auto"/>
              <w:jc w:val="center"/>
              <w:rPr>
                <w:b/>
              </w:rPr>
            </w:pPr>
            <w:r w:rsidRPr="00F73205">
              <w:rPr>
                <w:b/>
              </w:rPr>
              <w:t>2016</w:t>
            </w:r>
          </w:p>
        </w:tc>
      </w:tr>
      <w:tr w:rsidR="0024416E" w:rsidRPr="00F73205" w:rsidTr="00A26D06">
        <w:tc>
          <w:tcPr>
            <w:tcW w:w="7383" w:type="dxa"/>
            <w:shd w:val="clear" w:color="auto" w:fill="auto"/>
          </w:tcPr>
          <w:p w:rsidR="0024416E" w:rsidRPr="00F73205" w:rsidRDefault="0024416E" w:rsidP="00A26D06">
            <w:pPr>
              <w:widowControl w:val="0"/>
              <w:spacing w:line="360" w:lineRule="auto"/>
              <w:jc w:val="both"/>
              <w:rPr>
                <w:color w:val="000000"/>
              </w:rPr>
            </w:pPr>
            <w:r w:rsidRPr="00A459B8">
              <w:t>Celková podlahová plocha budov ÚOŠS, ktorá bola obnovená na aspoň národné minimálne požiadavky na energetickú hospodárnosť budov</w:t>
            </w:r>
          </w:p>
        </w:tc>
        <w:tc>
          <w:tcPr>
            <w:tcW w:w="1571" w:type="dxa"/>
            <w:shd w:val="clear" w:color="auto" w:fill="auto"/>
            <w:vAlign w:val="center"/>
          </w:tcPr>
          <w:p w:rsidR="0024416E" w:rsidRPr="00A459B8" w:rsidRDefault="0046234E" w:rsidP="00A26D06">
            <w:pPr>
              <w:widowControl w:val="0"/>
              <w:spacing w:line="360" w:lineRule="auto"/>
              <w:jc w:val="right"/>
            </w:pPr>
            <w:r>
              <w:t xml:space="preserve">0 </w:t>
            </w:r>
            <w:r w:rsidR="0024416E" w:rsidRPr="00A459B8">
              <w:t>m</w:t>
            </w:r>
            <w:r w:rsidR="0024416E" w:rsidRPr="00F73205">
              <w:rPr>
                <w:vertAlign w:val="superscript"/>
              </w:rPr>
              <w:t>2</w:t>
            </w:r>
          </w:p>
        </w:tc>
      </w:tr>
    </w:tbl>
    <w:p w:rsidR="0024416E" w:rsidRPr="00A459B8" w:rsidRDefault="0024416E" w:rsidP="0024416E">
      <w:pPr>
        <w:spacing w:after="200"/>
        <w:jc w:val="both"/>
        <w:rPr>
          <w:rFonts w:eastAsia="Calibri"/>
          <w:sz w:val="24"/>
          <w:szCs w:val="24"/>
          <w:lang w:eastAsia="en-US"/>
        </w:rPr>
      </w:pPr>
      <w:r w:rsidRPr="00A459B8">
        <w:rPr>
          <w:rFonts w:eastAsia="Calibri"/>
          <w:sz w:val="24"/>
          <w:szCs w:val="24"/>
          <w:lang w:eastAsia="en-US"/>
        </w:rPr>
        <w:t>Zdroj: SIEA (2017), údaje za rok 2016 vyhodnotené k 31.03.2017.</w:t>
      </w:r>
      <w:bookmarkStart w:id="7" w:name="_Ref475364323"/>
      <w:r w:rsidRPr="00A459B8">
        <w:rPr>
          <w:rFonts w:eastAsia="Calibri"/>
          <w:sz w:val="24"/>
          <w:szCs w:val="24"/>
          <w:vertAlign w:val="superscript"/>
          <w:lang w:eastAsia="en-US"/>
        </w:rPr>
        <w:footnoteReference w:id="2"/>
      </w:r>
      <w:bookmarkEnd w:id="7"/>
    </w:p>
    <w:p w:rsidR="0024416E" w:rsidRPr="00A459B8" w:rsidRDefault="0024416E" w:rsidP="0024416E">
      <w:pPr>
        <w:spacing w:after="200"/>
        <w:jc w:val="both"/>
        <w:rPr>
          <w:rFonts w:eastAsia="Calibri"/>
          <w:b/>
          <w:sz w:val="24"/>
          <w:szCs w:val="24"/>
          <w:lang w:eastAsia="en-US"/>
        </w:rPr>
      </w:pPr>
      <w:r w:rsidRPr="00A459B8">
        <w:rPr>
          <w:rFonts w:eastAsia="Calibri"/>
          <w:b/>
          <w:sz w:val="24"/>
          <w:szCs w:val="24"/>
          <w:lang w:eastAsia="en-US"/>
        </w:rPr>
        <w:lastRenderedPageBreak/>
        <w:t>4.3. Objem úspor energie dosiahnutý v relevantných budovách za rok 2016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0"/>
        <w:gridCol w:w="1572"/>
      </w:tblGrid>
      <w:tr w:rsidR="0024416E" w:rsidRPr="00F73205" w:rsidTr="00A26D06">
        <w:tc>
          <w:tcPr>
            <w:tcW w:w="7490" w:type="dxa"/>
            <w:shd w:val="clear" w:color="auto" w:fill="auto"/>
          </w:tcPr>
          <w:p w:rsidR="0024416E" w:rsidRPr="00F73205" w:rsidRDefault="0024416E" w:rsidP="00A26D06">
            <w:pPr>
              <w:widowControl w:val="0"/>
              <w:spacing w:line="360" w:lineRule="auto"/>
              <w:jc w:val="both"/>
              <w:rPr>
                <w:b/>
              </w:rPr>
            </w:pPr>
            <w:r w:rsidRPr="00F73205">
              <w:rPr>
                <w:b/>
              </w:rPr>
              <w:t>Indikátor</w:t>
            </w:r>
          </w:p>
        </w:tc>
        <w:tc>
          <w:tcPr>
            <w:tcW w:w="1572" w:type="dxa"/>
            <w:shd w:val="clear" w:color="auto" w:fill="auto"/>
          </w:tcPr>
          <w:p w:rsidR="0024416E" w:rsidRPr="00F73205" w:rsidRDefault="0024416E" w:rsidP="00A26D06">
            <w:pPr>
              <w:widowControl w:val="0"/>
              <w:spacing w:line="360" w:lineRule="auto"/>
              <w:jc w:val="center"/>
              <w:rPr>
                <w:b/>
              </w:rPr>
            </w:pPr>
            <w:r w:rsidRPr="00F73205">
              <w:rPr>
                <w:b/>
              </w:rPr>
              <w:t>2016</w:t>
            </w:r>
          </w:p>
        </w:tc>
      </w:tr>
      <w:tr w:rsidR="0024416E" w:rsidRPr="00F73205" w:rsidTr="00A26D06">
        <w:tc>
          <w:tcPr>
            <w:tcW w:w="7490" w:type="dxa"/>
            <w:shd w:val="clear" w:color="auto" w:fill="auto"/>
          </w:tcPr>
          <w:p w:rsidR="0024416E" w:rsidRPr="00A459B8" w:rsidRDefault="0024416E" w:rsidP="00A26D06">
            <w:pPr>
              <w:widowControl w:val="0"/>
              <w:spacing w:line="360" w:lineRule="auto"/>
              <w:jc w:val="both"/>
            </w:pPr>
            <w:r w:rsidRPr="00A459B8">
              <w:t>Objem úspor energie v budovách vlastnených a užívaných ÚOŠS</w:t>
            </w:r>
          </w:p>
        </w:tc>
        <w:tc>
          <w:tcPr>
            <w:tcW w:w="1572" w:type="dxa"/>
            <w:shd w:val="clear" w:color="auto" w:fill="auto"/>
            <w:vAlign w:val="center"/>
          </w:tcPr>
          <w:p w:rsidR="0024416E" w:rsidRPr="00A459B8" w:rsidRDefault="0046234E" w:rsidP="00A26D06">
            <w:pPr>
              <w:widowControl w:val="0"/>
              <w:spacing w:line="360" w:lineRule="auto"/>
              <w:jc w:val="right"/>
            </w:pPr>
            <w:r>
              <w:t>0,0</w:t>
            </w:r>
            <w:r w:rsidR="0024416E" w:rsidRPr="00A459B8">
              <w:t xml:space="preserve"> GWh</w:t>
            </w:r>
          </w:p>
        </w:tc>
      </w:tr>
    </w:tbl>
    <w:p w:rsidR="0024416E" w:rsidRPr="00A459B8" w:rsidRDefault="0024416E" w:rsidP="0024416E">
      <w:pPr>
        <w:spacing w:after="200"/>
        <w:jc w:val="both"/>
        <w:rPr>
          <w:rFonts w:eastAsia="Calibri"/>
          <w:sz w:val="24"/>
          <w:szCs w:val="24"/>
          <w:lang w:eastAsia="en-US"/>
        </w:rPr>
      </w:pPr>
      <w:r w:rsidRPr="00A459B8">
        <w:rPr>
          <w:rFonts w:eastAsia="Calibri"/>
          <w:sz w:val="24"/>
          <w:szCs w:val="24"/>
          <w:lang w:eastAsia="en-US"/>
        </w:rPr>
        <w:t>Zdroj: SIEA (2017), údaje za rok 2016 vyhodnotené k 31.03.2017.</w:t>
      </w:r>
      <w:r w:rsidRPr="00A459B8">
        <w:rPr>
          <w:rFonts w:eastAsia="Calibri"/>
          <w:sz w:val="24"/>
          <w:szCs w:val="24"/>
          <w:vertAlign w:val="superscript"/>
          <w:lang w:eastAsia="en-US"/>
        </w:rPr>
        <w:fldChar w:fldCharType="begin"/>
      </w:r>
      <w:r w:rsidRPr="00A459B8">
        <w:rPr>
          <w:rFonts w:eastAsia="Calibri"/>
          <w:sz w:val="24"/>
          <w:szCs w:val="24"/>
          <w:vertAlign w:val="superscript"/>
          <w:lang w:eastAsia="en-US"/>
        </w:rPr>
        <w:instrText xml:space="preserve"> NOTEREF _Ref475364323 \h  \* MERGEFORMAT </w:instrText>
      </w:r>
      <w:r w:rsidRPr="00A459B8">
        <w:rPr>
          <w:rFonts w:eastAsia="Calibri"/>
          <w:sz w:val="24"/>
          <w:szCs w:val="24"/>
          <w:vertAlign w:val="superscript"/>
          <w:lang w:eastAsia="en-US"/>
        </w:rPr>
      </w:r>
      <w:r w:rsidRPr="00A459B8">
        <w:rPr>
          <w:rFonts w:eastAsia="Calibri"/>
          <w:sz w:val="24"/>
          <w:szCs w:val="24"/>
          <w:vertAlign w:val="superscript"/>
          <w:lang w:eastAsia="en-US"/>
        </w:rPr>
        <w:fldChar w:fldCharType="separate"/>
      </w:r>
      <w:r w:rsidR="00885CEA">
        <w:rPr>
          <w:rFonts w:eastAsia="Calibri"/>
          <w:sz w:val="24"/>
          <w:szCs w:val="24"/>
          <w:vertAlign w:val="superscript"/>
          <w:lang w:eastAsia="en-US"/>
        </w:rPr>
        <w:t>2</w:t>
      </w:r>
      <w:r w:rsidRPr="00A459B8">
        <w:rPr>
          <w:rFonts w:eastAsia="Calibri"/>
          <w:sz w:val="24"/>
          <w:szCs w:val="24"/>
          <w:vertAlign w:val="superscript"/>
          <w:lang w:eastAsia="en-US"/>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0"/>
        <w:gridCol w:w="1572"/>
      </w:tblGrid>
      <w:tr w:rsidR="0024416E" w:rsidRPr="00F73205" w:rsidTr="00A26D06">
        <w:tc>
          <w:tcPr>
            <w:tcW w:w="7490" w:type="dxa"/>
            <w:shd w:val="clear" w:color="auto" w:fill="auto"/>
          </w:tcPr>
          <w:p w:rsidR="0024416E" w:rsidRPr="00F73205" w:rsidRDefault="0024416E" w:rsidP="00A26D06">
            <w:pPr>
              <w:widowControl w:val="0"/>
              <w:spacing w:line="360" w:lineRule="auto"/>
              <w:jc w:val="both"/>
              <w:rPr>
                <w:b/>
              </w:rPr>
            </w:pPr>
            <w:r w:rsidRPr="00F73205">
              <w:rPr>
                <w:b/>
              </w:rPr>
              <w:t>Indikátor</w:t>
            </w:r>
          </w:p>
        </w:tc>
        <w:tc>
          <w:tcPr>
            <w:tcW w:w="1572" w:type="dxa"/>
            <w:shd w:val="clear" w:color="auto" w:fill="auto"/>
          </w:tcPr>
          <w:p w:rsidR="0024416E" w:rsidRPr="00F73205" w:rsidRDefault="0024416E" w:rsidP="00A26D06">
            <w:pPr>
              <w:widowControl w:val="0"/>
              <w:spacing w:line="360" w:lineRule="auto"/>
              <w:jc w:val="center"/>
              <w:rPr>
                <w:b/>
              </w:rPr>
            </w:pPr>
            <w:r w:rsidRPr="00F73205">
              <w:rPr>
                <w:b/>
              </w:rPr>
              <w:t>2016</w:t>
            </w:r>
          </w:p>
        </w:tc>
      </w:tr>
      <w:tr w:rsidR="0024416E" w:rsidRPr="00F73205" w:rsidTr="00A26D06">
        <w:tc>
          <w:tcPr>
            <w:tcW w:w="7490" w:type="dxa"/>
            <w:shd w:val="clear" w:color="auto" w:fill="auto"/>
          </w:tcPr>
          <w:p w:rsidR="0024416E" w:rsidRPr="00A459B8" w:rsidRDefault="0024416E" w:rsidP="00A26D06">
            <w:pPr>
              <w:widowControl w:val="0"/>
              <w:spacing w:line="360" w:lineRule="auto"/>
              <w:jc w:val="both"/>
            </w:pPr>
            <w:r w:rsidRPr="00A459B8">
              <w:t>Objem úspor energie v budovách vlastnených a užívaných ústrednými orgánmi štátnej správy aspoň na minimálne požiadavky EHB</w:t>
            </w:r>
          </w:p>
        </w:tc>
        <w:tc>
          <w:tcPr>
            <w:tcW w:w="1572" w:type="dxa"/>
            <w:shd w:val="clear" w:color="auto" w:fill="auto"/>
            <w:vAlign w:val="center"/>
          </w:tcPr>
          <w:p w:rsidR="0024416E" w:rsidRPr="00A459B8" w:rsidRDefault="0046234E" w:rsidP="00A26D06">
            <w:pPr>
              <w:widowControl w:val="0"/>
              <w:spacing w:line="360" w:lineRule="auto"/>
              <w:jc w:val="right"/>
            </w:pPr>
            <w:bookmarkStart w:id="8" w:name="_GoBack"/>
            <w:r>
              <w:t>0,0</w:t>
            </w:r>
            <w:bookmarkEnd w:id="8"/>
            <w:r w:rsidR="0024416E" w:rsidRPr="00A459B8">
              <w:t xml:space="preserve"> GWh</w:t>
            </w:r>
          </w:p>
        </w:tc>
      </w:tr>
    </w:tbl>
    <w:p w:rsidR="0024416E" w:rsidRPr="00A459B8" w:rsidRDefault="0024416E" w:rsidP="0024416E">
      <w:pPr>
        <w:spacing w:after="200"/>
        <w:jc w:val="both"/>
        <w:rPr>
          <w:rFonts w:eastAsia="Calibri"/>
          <w:sz w:val="24"/>
          <w:szCs w:val="24"/>
          <w:lang w:eastAsia="en-US"/>
        </w:rPr>
      </w:pPr>
      <w:r w:rsidRPr="00A459B8">
        <w:rPr>
          <w:rFonts w:eastAsia="Calibri"/>
          <w:sz w:val="24"/>
          <w:szCs w:val="24"/>
          <w:lang w:eastAsia="en-US"/>
        </w:rPr>
        <w:t>Zdroj: SIEA (2017), údaje za rok 2016 vyhodnotené k 31.03.2017.</w:t>
      </w:r>
      <w:r w:rsidRPr="00A459B8">
        <w:rPr>
          <w:rFonts w:eastAsia="Calibri"/>
          <w:sz w:val="24"/>
          <w:szCs w:val="24"/>
          <w:vertAlign w:val="superscript"/>
          <w:lang w:eastAsia="en-US"/>
        </w:rPr>
        <w:fldChar w:fldCharType="begin"/>
      </w:r>
      <w:r w:rsidRPr="00A459B8">
        <w:rPr>
          <w:rFonts w:eastAsia="Calibri"/>
          <w:sz w:val="24"/>
          <w:szCs w:val="24"/>
          <w:vertAlign w:val="superscript"/>
          <w:lang w:eastAsia="en-US"/>
        </w:rPr>
        <w:instrText xml:space="preserve"> NOTEREF _Ref475364323 \h  \* MERGEFORMAT </w:instrText>
      </w:r>
      <w:r w:rsidRPr="00A459B8">
        <w:rPr>
          <w:rFonts w:eastAsia="Calibri"/>
          <w:sz w:val="24"/>
          <w:szCs w:val="24"/>
          <w:vertAlign w:val="superscript"/>
          <w:lang w:eastAsia="en-US"/>
        </w:rPr>
      </w:r>
      <w:r w:rsidRPr="00A459B8">
        <w:rPr>
          <w:rFonts w:eastAsia="Calibri"/>
          <w:sz w:val="24"/>
          <w:szCs w:val="24"/>
          <w:vertAlign w:val="superscript"/>
          <w:lang w:eastAsia="en-US"/>
        </w:rPr>
        <w:fldChar w:fldCharType="separate"/>
      </w:r>
      <w:r w:rsidR="00885CEA">
        <w:rPr>
          <w:rFonts w:eastAsia="Calibri"/>
          <w:sz w:val="24"/>
          <w:szCs w:val="24"/>
          <w:vertAlign w:val="superscript"/>
          <w:lang w:eastAsia="en-US"/>
        </w:rPr>
        <w:t>2</w:t>
      </w:r>
      <w:r w:rsidRPr="00A459B8">
        <w:rPr>
          <w:rFonts w:eastAsia="Calibri"/>
          <w:sz w:val="24"/>
          <w:szCs w:val="24"/>
          <w:vertAlign w:val="superscript"/>
          <w:lang w:eastAsia="en-US"/>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0"/>
        <w:gridCol w:w="1572"/>
      </w:tblGrid>
      <w:tr w:rsidR="0024416E" w:rsidRPr="00F73205" w:rsidTr="00A26D06">
        <w:tc>
          <w:tcPr>
            <w:tcW w:w="7490" w:type="dxa"/>
            <w:shd w:val="clear" w:color="auto" w:fill="auto"/>
          </w:tcPr>
          <w:p w:rsidR="0024416E" w:rsidRPr="00F73205" w:rsidRDefault="0024416E" w:rsidP="00A26D06">
            <w:pPr>
              <w:widowControl w:val="0"/>
              <w:spacing w:line="360" w:lineRule="auto"/>
              <w:jc w:val="both"/>
              <w:rPr>
                <w:b/>
              </w:rPr>
            </w:pPr>
            <w:r w:rsidRPr="00F73205">
              <w:rPr>
                <w:b/>
              </w:rPr>
              <w:t>Indikátor</w:t>
            </w:r>
          </w:p>
        </w:tc>
        <w:tc>
          <w:tcPr>
            <w:tcW w:w="1572" w:type="dxa"/>
            <w:shd w:val="clear" w:color="auto" w:fill="auto"/>
          </w:tcPr>
          <w:p w:rsidR="0024416E" w:rsidRPr="00F73205" w:rsidRDefault="0024416E" w:rsidP="00A26D06">
            <w:pPr>
              <w:widowControl w:val="0"/>
              <w:spacing w:line="360" w:lineRule="auto"/>
              <w:jc w:val="center"/>
              <w:rPr>
                <w:b/>
              </w:rPr>
            </w:pPr>
            <w:r w:rsidRPr="00F73205">
              <w:rPr>
                <w:b/>
              </w:rPr>
              <w:t>2016</w:t>
            </w:r>
          </w:p>
        </w:tc>
      </w:tr>
      <w:tr w:rsidR="0024416E" w:rsidRPr="00F73205" w:rsidTr="00A26D06">
        <w:tc>
          <w:tcPr>
            <w:tcW w:w="7490" w:type="dxa"/>
            <w:shd w:val="clear" w:color="auto" w:fill="auto"/>
          </w:tcPr>
          <w:p w:rsidR="0024416E" w:rsidRPr="00A459B8" w:rsidRDefault="0024416E" w:rsidP="00A26D06">
            <w:pPr>
              <w:widowControl w:val="0"/>
              <w:spacing w:line="360" w:lineRule="auto"/>
              <w:jc w:val="both"/>
            </w:pPr>
            <w:r w:rsidRPr="00A459B8">
              <w:t>Objem úspor energie v budovách vlastnených a užívaných ústrednými orgánmi štátnej správy pre alternatívny spôsob (čl. 5 ods. 6)</w:t>
            </w:r>
          </w:p>
        </w:tc>
        <w:tc>
          <w:tcPr>
            <w:tcW w:w="1572" w:type="dxa"/>
            <w:shd w:val="clear" w:color="auto" w:fill="auto"/>
            <w:vAlign w:val="center"/>
          </w:tcPr>
          <w:p w:rsidR="0024416E" w:rsidRPr="00A459B8" w:rsidRDefault="0024416E" w:rsidP="00A26D06">
            <w:pPr>
              <w:widowControl w:val="0"/>
              <w:spacing w:line="360" w:lineRule="auto"/>
              <w:jc w:val="right"/>
            </w:pPr>
            <w:r w:rsidRPr="00A459B8">
              <w:t>23,02 GWh</w:t>
            </w:r>
          </w:p>
        </w:tc>
      </w:tr>
    </w:tbl>
    <w:p w:rsidR="0024416E" w:rsidRPr="00A459B8" w:rsidRDefault="0024416E" w:rsidP="0024416E">
      <w:pPr>
        <w:spacing w:after="200"/>
        <w:jc w:val="both"/>
        <w:rPr>
          <w:rFonts w:eastAsia="Calibri"/>
          <w:sz w:val="24"/>
          <w:szCs w:val="24"/>
          <w:lang w:eastAsia="en-US"/>
        </w:rPr>
      </w:pPr>
      <w:r w:rsidRPr="00A459B8">
        <w:rPr>
          <w:rFonts w:eastAsia="Calibri"/>
          <w:sz w:val="24"/>
          <w:szCs w:val="24"/>
          <w:lang w:eastAsia="en-US"/>
        </w:rPr>
        <w:t>Zdroj: SIEA (2017) údaje za rok 2016 vyhodnotené k 31.01.2017.</w:t>
      </w:r>
      <w:r w:rsidRPr="00A459B8">
        <w:rPr>
          <w:rFonts w:eastAsia="Calibri"/>
          <w:sz w:val="24"/>
          <w:szCs w:val="24"/>
          <w:vertAlign w:val="superscript"/>
          <w:lang w:eastAsia="en-US"/>
        </w:rPr>
        <w:footnoteReference w:id="3"/>
      </w:r>
    </w:p>
    <w:p w:rsidR="0024416E" w:rsidRDefault="0024416E" w:rsidP="00075A67">
      <w:pPr>
        <w:jc w:val="both"/>
        <w:rPr>
          <w:rFonts w:eastAsia="Calibri"/>
          <w:sz w:val="24"/>
          <w:szCs w:val="24"/>
          <w:lang w:eastAsia="en-US"/>
        </w:rPr>
      </w:pPr>
      <w:r w:rsidRPr="00A459B8">
        <w:rPr>
          <w:rFonts w:eastAsia="Calibri"/>
          <w:sz w:val="24"/>
          <w:szCs w:val="24"/>
          <w:lang w:eastAsia="en-US"/>
        </w:rPr>
        <w:t>V oblasti úspor energie v rámci budov si SR zvolila alternatívny prístup k naplneniu cieľa čl. 5 ods. 1 smernice 2012/27/EÚ v súlade s čl. 5 ods. 6 smernice. V rámci zvoleného alternatívneho spôsobu bol stanovený cieľ úspor energie 52,17 GWh/rok</w:t>
      </w:r>
      <w:bookmarkStart w:id="9" w:name="_Ref447717141"/>
      <w:r w:rsidRPr="00A459B8">
        <w:rPr>
          <w:rFonts w:eastAsia="Calibri"/>
          <w:sz w:val="24"/>
          <w:szCs w:val="24"/>
          <w:lang w:eastAsia="en-US"/>
        </w:rPr>
        <w:t>.</w:t>
      </w:r>
      <w:r w:rsidRPr="00A459B8">
        <w:rPr>
          <w:rFonts w:eastAsia="Calibri"/>
          <w:sz w:val="24"/>
          <w:szCs w:val="24"/>
          <w:vertAlign w:val="superscript"/>
          <w:lang w:eastAsia="en-US"/>
        </w:rPr>
        <w:footnoteReference w:id="4"/>
      </w:r>
      <w:bookmarkEnd w:id="9"/>
      <w:r w:rsidRPr="00A459B8">
        <w:rPr>
          <w:rFonts w:eastAsia="Calibri"/>
          <w:sz w:val="24"/>
          <w:szCs w:val="24"/>
          <w:lang w:eastAsia="en-US"/>
        </w:rPr>
        <w:t xml:space="preserve"> K termínu prípravy ročnej správy bolo možné</w:t>
      </w:r>
      <w:r w:rsidRPr="00A459B8" w:rsidDel="00EC2C02">
        <w:rPr>
          <w:rFonts w:eastAsia="Calibri"/>
          <w:sz w:val="24"/>
          <w:szCs w:val="24"/>
          <w:lang w:eastAsia="en-US"/>
        </w:rPr>
        <w:t xml:space="preserve"> </w:t>
      </w:r>
      <w:r w:rsidRPr="00A459B8">
        <w:rPr>
          <w:rFonts w:eastAsia="Calibri"/>
          <w:sz w:val="24"/>
          <w:szCs w:val="24"/>
          <w:lang w:eastAsia="en-US"/>
        </w:rPr>
        <w:t>na základe vyhodnotených údajov vyhodnotiť úspory energie dosiahnuté obnovou budov v pôsobnosti ústredných orgánov štátnej správy realizovanej v roku 2016 vo výške 23,02 GWh, čo predstavuje zhruba 44</w:t>
      </w:r>
      <w:r>
        <w:rPr>
          <w:rFonts w:eastAsia="Calibri"/>
          <w:sz w:val="24"/>
          <w:szCs w:val="24"/>
          <w:lang w:eastAsia="en-US"/>
        </w:rPr>
        <w:t xml:space="preserve"> </w:t>
      </w:r>
      <w:r w:rsidRPr="00A459B8">
        <w:rPr>
          <w:rFonts w:eastAsia="Calibri"/>
          <w:sz w:val="24"/>
          <w:szCs w:val="24"/>
          <w:lang w:eastAsia="en-US"/>
        </w:rPr>
        <w:t xml:space="preserve">% z cieľa úspor energie budov (52,17 GWh/rok). Údaje boli identifikované monitorovaním úspor energie po jednotlivých budovách metódou zdola-nahor na </w:t>
      </w:r>
      <w:r>
        <w:rPr>
          <w:rFonts w:eastAsia="Calibri"/>
          <w:sz w:val="24"/>
          <w:szCs w:val="24"/>
          <w:lang w:eastAsia="en-US"/>
        </w:rPr>
        <w:t xml:space="preserve">základe databázy certifikátov </w:t>
      </w:r>
      <w:r w:rsidRPr="00A459B8">
        <w:rPr>
          <w:rFonts w:eastAsia="Calibri"/>
          <w:sz w:val="24"/>
          <w:szCs w:val="24"/>
          <w:lang w:eastAsia="en-US"/>
        </w:rPr>
        <w:t>INFOREG.</w:t>
      </w:r>
    </w:p>
    <w:p w:rsidR="00075A67" w:rsidRPr="00A459B8" w:rsidRDefault="00075A67" w:rsidP="00075A67">
      <w:pPr>
        <w:jc w:val="both"/>
        <w:rPr>
          <w:rFonts w:eastAsia="Calibri"/>
          <w:sz w:val="24"/>
          <w:szCs w:val="24"/>
          <w:lang w:eastAsia="en-US"/>
        </w:rPr>
      </w:pPr>
    </w:p>
    <w:p w:rsidR="0024416E" w:rsidRDefault="0024416E" w:rsidP="00075A67">
      <w:pPr>
        <w:jc w:val="both"/>
        <w:rPr>
          <w:rFonts w:eastAsia="Calibri"/>
          <w:b/>
          <w:sz w:val="24"/>
          <w:szCs w:val="24"/>
          <w:lang w:eastAsia="en-US"/>
        </w:rPr>
      </w:pPr>
      <w:r w:rsidRPr="00A459B8">
        <w:rPr>
          <w:rFonts w:eastAsia="Calibri"/>
          <w:b/>
          <w:sz w:val="24"/>
          <w:szCs w:val="24"/>
          <w:lang w:eastAsia="en-US"/>
        </w:rPr>
        <w:t>Iné informácie ohľadom sektora budov podľa zákona č. 321/2014 Z. z.</w:t>
      </w:r>
    </w:p>
    <w:p w:rsidR="00075A67" w:rsidRPr="00A459B8" w:rsidRDefault="00075A67" w:rsidP="00075A67">
      <w:pPr>
        <w:jc w:val="both"/>
        <w:rPr>
          <w:rFonts w:eastAsia="Calibri"/>
          <w:b/>
          <w:sz w:val="24"/>
          <w:szCs w:val="24"/>
          <w:lang w:eastAsia="en-US"/>
        </w:rPr>
      </w:pPr>
    </w:p>
    <w:p w:rsidR="0024416E" w:rsidRPr="00A459B8" w:rsidRDefault="0024416E" w:rsidP="00075A67">
      <w:pPr>
        <w:jc w:val="both"/>
        <w:rPr>
          <w:rFonts w:eastAsia="Calibri"/>
          <w:sz w:val="24"/>
          <w:szCs w:val="24"/>
          <w:lang w:eastAsia="en-US"/>
        </w:rPr>
      </w:pPr>
      <w:r w:rsidRPr="00A459B8">
        <w:rPr>
          <w:rFonts w:eastAsia="Calibri"/>
          <w:sz w:val="24"/>
          <w:szCs w:val="24"/>
          <w:lang w:eastAsia="en-US"/>
        </w:rPr>
        <w:t>Prehľad budov podľa § 9 ods. 1 písm. a) zákona č. 321/2014 Z. z. je uverejnený v Stratégii obnovy fondu bytových a nebytových budov v Slovenskej republike (schválená uznesením vlády SR</w:t>
      </w:r>
      <w:r w:rsidRPr="00A459B8" w:rsidDel="00514156">
        <w:rPr>
          <w:rFonts w:eastAsia="Calibri"/>
          <w:sz w:val="24"/>
          <w:szCs w:val="24"/>
          <w:lang w:eastAsia="en-US"/>
        </w:rPr>
        <w:t xml:space="preserve"> </w:t>
      </w:r>
      <w:r w:rsidRPr="00A459B8">
        <w:rPr>
          <w:rFonts w:eastAsia="Calibri"/>
          <w:sz w:val="24"/>
          <w:szCs w:val="24"/>
          <w:lang w:eastAsia="en-US"/>
        </w:rPr>
        <w:t>č. 347/2014). Ročný cieľ úspor energie budov (podľa § 10 ods. 3 písm. a) bol uverejnený v Notifikačnej správe k alternatívnemu prístupu podľa článku 5 smernice (...)</w:t>
      </w:r>
      <w:r w:rsidRPr="00A459B8">
        <w:rPr>
          <w:rFonts w:eastAsia="Calibri"/>
          <w:sz w:val="24"/>
          <w:szCs w:val="24"/>
          <w:vertAlign w:val="superscript"/>
          <w:lang w:eastAsia="en-US"/>
        </w:rPr>
        <w:fldChar w:fldCharType="begin"/>
      </w:r>
      <w:r w:rsidRPr="00A459B8">
        <w:rPr>
          <w:rFonts w:eastAsia="Calibri"/>
          <w:sz w:val="24"/>
          <w:szCs w:val="24"/>
          <w:vertAlign w:val="superscript"/>
          <w:lang w:eastAsia="en-US"/>
        </w:rPr>
        <w:instrText xml:space="preserve"> NOTEREF _Ref447717141 \h  \* MERGEFORMAT </w:instrText>
      </w:r>
      <w:r w:rsidRPr="00A459B8">
        <w:rPr>
          <w:rFonts w:eastAsia="Calibri"/>
          <w:sz w:val="24"/>
          <w:szCs w:val="24"/>
          <w:vertAlign w:val="superscript"/>
          <w:lang w:eastAsia="en-US"/>
        </w:rPr>
      </w:r>
      <w:r w:rsidRPr="00A459B8">
        <w:rPr>
          <w:rFonts w:eastAsia="Calibri"/>
          <w:sz w:val="24"/>
          <w:szCs w:val="24"/>
          <w:vertAlign w:val="superscript"/>
          <w:lang w:eastAsia="en-US"/>
        </w:rPr>
        <w:fldChar w:fldCharType="separate"/>
      </w:r>
      <w:r w:rsidR="00885CEA">
        <w:rPr>
          <w:rFonts w:eastAsia="Calibri"/>
          <w:sz w:val="24"/>
          <w:szCs w:val="24"/>
          <w:vertAlign w:val="superscript"/>
          <w:lang w:eastAsia="en-US"/>
        </w:rPr>
        <w:t>4</w:t>
      </w:r>
      <w:r w:rsidRPr="00A459B8">
        <w:rPr>
          <w:rFonts w:eastAsia="Calibri"/>
          <w:sz w:val="24"/>
          <w:szCs w:val="24"/>
          <w:vertAlign w:val="superscript"/>
          <w:lang w:eastAsia="en-US"/>
        </w:rPr>
        <w:fldChar w:fldCharType="end"/>
      </w:r>
      <w:r w:rsidRPr="00A459B8">
        <w:rPr>
          <w:rFonts w:eastAsia="Calibri"/>
          <w:sz w:val="24"/>
          <w:szCs w:val="24"/>
          <w:lang w:eastAsia="en-US"/>
        </w:rPr>
        <w:t xml:space="preserve">, ako aj v Pláne obnovy budov (schválený uznesením vlády SR č. 386/2015). Zoznam budov určených na obnovu v nasledujúcom roku (podľa § 10 ods. 3 písm. c) bude súčasťou Plánu obnovy relevantných budov na rok 2018. Zoznam relevantných budov (podľa § 10 ods. 6) je uvedený na webstránke </w:t>
      </w:r>
      <w:r>
        <w:rPr>
          <w:rFonts w:eastAsia="Calibri"/>
          <w:sz w:val="24"/>
          <w:szCs w:val="24"/>
          <w:lang w:eastAsia="en-US"/>
        </w:rPr>
        <w:t xml:space="preserve">MDV </w:t>
      </w:r>
      <w:r w:rsidRPr="00A459B8">
        <w:rPr>
          <w:rFonts w:eastAsia="Calibri"/>
          <w:sz w:val="24"/>
          <w:szCs w:val="24"/>
          <w:lang w:eastAsia="en-US"/>
        </w:rPr>
        <w:t xml:space="preserve"> SR </w:t>
      </w:r>
      <w:hyperlink r:id="rId10" w:history="1">
        <w:r w:rsidRPr="00A459B8">
          <w:rPr>
            <w:rFonts w:eastAsia="Calibri"/>
            <w:color w:val="0000FF"/>
            <w:sz w:val="24"/>
            <w:szCs w:val="24"/>
            <w:u w:val="single"/>
            <w:lang w:eastAsia="en-US"/>
          </w:rPr>
          <w:t>http://www.telecom.gov.sk/index/index.php?ids=170474</w:t>
        </w:r>
      </w:hyperlink>
      <w:r w:rsidRPr="00A459B8">
        <w:rPr>
          <w:rFonts w:eastAsia="Calibri"/>
          <w:sz w:val="24"/>
          <w:szCs w:val="24"/>
          <w:lang w:eastAsia="en-US"/>
        </w:rPr>
        <w:t>.</w:t>
      </w:r>
    </w:p>
    <w:p w:rsidR="0024416E" w:rsidRPr="00A26D06" w:rsidRDefault="0024416E" w:rsidP="0024416E">
      <w:pPr>
        <w:keepNext/>
        <w:keepLines/>
        <w:spacing w:before="480" w:line="276" w:lineRule="auto"/>
        <w:outlineLvl w:val="0"/>
        <w:rPr>
          <w:rFonts w:ascii="Cambria" w:hAnsi="Cambria"/>
          <w:b/>
          <w:bCs/>
          <w:sz w:val="28"/>
          <w:szCs w:val="28"/>
          <w:lang w:eastAsia="en-US"/>
        </w:rPr>
      </w:pPr>
      <w:bookmarkStart w:id="10" w:name="_Toc475385088"/>
      <w:r w:rsidRPr="00A26D06">
        <w:rPr>
          <w:rFonts w:ascii="Cambria" w:hAnsi="Cambria"/>
          <w:b/>
          <w:bCs/>
          <w:sz w:val="28"/>
          <w:szCs w:val="28"/>
          <w:lang w:eastAsia="en-US"/>
        </w:rPr>
        <w:t>5. Úspory energie dosiahnuté prostredníctvom povinných schém energetickej efektívnosti, alebo alternatívnymi opatreniami</w:t>
      </w:r>
      <w:bookmarkEnd w:id="10"/>
    </w:p>
    <w:p w:rsidR="0024416E" w:rsidRDefault="0024416E" w:rsidP="00075A67">
      <w:pPr>
        <w:jc w:val="both"/>
        <w:rPr>
          <w:rFonts w:eastAsia="Calibri"/>
          <w:sz w:val="24"/>
          <w:szCs w:val="24"/>
          <w:lang w:eastAsia="en-US"/>
        </w:rPr>
      </w:pPr>
      <w:r w:rsidRPr="00A459B8">
        <w:rPr>
          <w:rFonts w:eastAsia="Calibri"/>
          <w:sz w:val="24"/>
          <w:szCs w:val="24"/>
          <w:lang w:eastAsia="en-US"/>
        </w:rPr>
        <w:t>SR uplatňuje čl. 7 smernice implementáciou tzv. alternatívnych politických opatrení, a to najmä kvôli možnému vplyvu na rast koncových cien energie, ktorý by v konečnom dôsledku znamenal negatívny dopad na podnikateľské prostredie, čo by následne znamenalo zníženie konkurencieschopnosti ekonomiky ako aj možné zvyšovanie nezamestnanosti.</w:t>
      </w:r>
    </w:p>
    <w:p w:rsidR="00DB4347" w:rsidRPr="00A459B8" w:rsidRDefault="00DB4347" w:rsidP="00075A67">
      <w:pPr>
        <w:jc w:val="both"/>
        <w:rPr>
          <w:rFonts w:eastAsia="Calibri"/>
          <w:sz w:val="24"/>
          <w:szCs w:val="24"/>
          <w:lang w:eastAsia="en-US"/>
        </w:rPr>
      </w:pPr>
    </w:p>
    <w:p w:rsidR="0024416E" w:rsidRPr="00A459B8" w:rsidRDefault="0024416E" w:rsidP="00075A67">
      <w:pPr>
        <w:jc w:val="both"/>
        <w:rPr>
          <w:rFonts w:eastAsia="Calibri"/>
          <w:sz w:val="24"/>
          <w:szCs w:val="24"/>
          <w:lang w:eastAsia="en-US"/>
        </w:rPr>
      </w:pPr>
      <w:r w:rsidRPr="00A459B8">
        <w:rPr>
          <w:rFonts w:eastAsia="Calibri"/>
          <w:sz w:val="24"/>
          <w:szCs w:val="24"/>
          <w:lang w:eastAsia="en-US"/>
        </w:rPr>
        <w:t xml:space="preserve">Vyhodnotenie plnenia jednotlivých opatrení podľa sektorov je uvedené v 3. kapitole </w:t>
      </w:r>
      <w:r>
        <w:rPr>
          <w:sz w:val="24"/>
          <w:szCs w:val="24"/>
        </w:rPr>
        <w:t>Akčného plánu energetickej efektívnosti na roky 2017-2019 s výhľadom do roku 2020</w:t>
      </w:r>
      <w:r w:rsidRPr="00A459B8">
        <w:rPr>
          <w:rFonts w:eastAsia="Calibri"/>
          <w:sz w:val="24"/>
          <w:szCs w:val="24"/>
          <w:lang w:eastAsia="en-US"/>
        </w:rPr>
        <w:t xml:space="preserve">. </w:t>
      </w:r>
    </w:p>
    <w:p w:rsidR="0024416E" w:rsidRPr="00A26D06" w:rsidRDefault="0024416E" w:rsidP="0024416E">
      <w:pPr>
        <w:keepNext/>
        <w:keepLines/>
        <w:spacing w:before="480" w:line="276" w:lineRule="auto"/>
        <w:outlineLvl w:val="0"/>
        <w:rPr>
          <w:rFonts w:ascii="Cambria" w:hAnsi="Cambria"/>
          <w:b/>
          <w:bCs/>
          <w:sz w:val="28"/>
          <w:szCs w:val="28"/>
          <w:lang w:eastAsia="en-US"/>
        </w:rPr>
      </w:pPr>
      <w:bookmarkStart w:id="11" w:name="_Toc475385089"/>
      <w:r w:rsidRPr="00A26D06">
        <w:rPr>
          <w:rFonts w:ascii="Cambria" w:hAnsi="Cambria"/>
          <w:b/>
          <w:bCs/>
          <w:sz w:val="28"/>
          <w:szCs w:val="28"/>
          <w:lang w:eastAsia="en-US"/>
        </w:rPr>
        <w:lastRenderedPageBreak/>
        <w:t>6. Vyhodnotenie plnenia národného cieľa energetickej efektívnosti</w:t>
      </w:r>
      <w:bookmarkEnd w:id="11"/>
    </w:p>
    <w:p w:rsidR="00DB4347" w:rsidRDefault="00DB4347" w:rsidP="00075A67">
      <w:pPr>
        <w:jc w:val="both"/>
        <w:rPr>
          <w:rFonts w:eastAsia="Calibri"/>
          <w:sz w:val="24"/>
          <w:szCs w:val="24"/>
          <w:lang w:eastAsia="en-US"/>
        </w:rPr>
      </w:pPr>
    </w:p>
    <w:p w:rsidR="0024416E" w:rsidRDefault="0024416E" w:rsidP="00075A67">
      <w:pPr>
        <w:jc w:val="both"/>
        <w:rPr>
          <w:rFonts w:eastAsia="Calibri"/>
          <w:sz w:val="24"/>
          <w:szCs w:val="24"/>
          <w:lang w:eastAsia="en-US"/>
        </w:rPr>
      </w:pPr>
      <w:r w:rsidRPr="00A459B8">
        <w:rPr>
          <w:rFonts w:eastAsia="Calibri"/>
          <w:sz w:val="24"/>
          <w:szCs w:val="24"/>
          <w:lang w:eastAsia="en-US"/>
        </w:rPr>
        <w:t>Na základe čl. 3 smernice 2012/27/EÚ a v súlade s §5 ods. 1 písm. c) zákona č. 321/2014 Z. z. bol stanovený národný cieľ energetickej efektívnosti pre rok 2020 (ďalej len „národný cieľ“) vo forme absolútnej hodnoty primárnej energetickej spotreby a konečnej energetickej spotreby.</w:t>
      </w:r>
      <w:r w:rsidR="005802FD">
        <w:rPr>
          <w:rFonts w:eastAsia="Calibri"/>
          <w:sz w:val="24"/>
          <w:szCs w:val="24"/>
          <w:lang w:eastAsia="en-US"/>
        </w:rPr>
        <w:t xml:space="preserve"> </w:t>
      </w:r>
    </w:p>
    <w:p w:rsidR="005802FD" w:rsidRPr="00A459B8" w:rsidRDefault="005802FD" w:rsidP="00075A67">
      <w:pPr>
        <w:jc w:val="both"/>
        <w:rPr>
          <w:rFonts w:eastAsia="Calibri"/>
          <w:sz w:val="24"/>
          <w:szCs w:val="24"/>
          <w:lang w:eastAsia="en-US"/>
        </w:rPr>
      </w:pPr>
    </w:p>
    <w:p w:rsidR="0024416E" w:rsidRDefault="0024416E" w:rsidP="00075A67">
      <w:pPr>
        <w:jc w:val="both"/>
        <w:rPr>
          <w:rFonts w:eastAsia="Calibri"/>
          <w:sz w:val="24"/>
          <w:szCs w:val="24"/>
          <w:lang w:eastAsia="en-US"/>
        </w:rPr>
      </w:pPr>
      <w:r w:rsidRPr="00A459B8">
        <w:rPr>
          <w:rFonts w:eastAsia="Calibri"/>
          <w:sz w:val="24"/>
          <w:szCs w:val="24"/>
          <w:lang w:eastAsia="en-US"/>
        </w:rPr>
        <w:t xml:space="preserve">Nakoľko štatistické údaje o úrovni konečnej energetickej spotreby a o úrovni primárnej energetickej spotreby v roku 2016 nie sú v súčasnosti k dispozícii, daný cieľ </w:t>
      </w:r>
      <w:r>
        <w:rPr>
          <w:rFonts w:eastAsia="Calibri"/>
          <w:sz w:val="24"/>
          <w:szCs w:val="24"/>
          <w:lang w:eastAsia="en-US"/>
        </w:rPr>
        <w:t xml:space="preserve">je </w:t>
      </w:r>
      <w:r w:rsidRPr="00A459B8">
        <w:rPr>
          <w:rFonts w:eastAsia="Calibri"/>
          <w:sz w:val="24"/>
          <w:szCs w:val="24"/>
          <w:lang w:eastAsia="en-US"/>
        </w:rPr>
        <w:t>možn</w:t>
      </w:r>
      <w:r>
        <w:rPr>
          <w:rFonts w:eastAsia="Calibri"/>
          <w:sz w:val="24"/>
          <w:szCs w:val="24"/>
          <w:lang w:eastAsia="en-US"/>
        </w:rPr>
        <w:t>é</w:t>
      </w:r>
      <w:r w:rsidRPr="00A459B8">
        <w:rPr>
          <w:rFonts w:eastAsia="Calibri"/>
          <w:sz w:val="24"/>
          <w:szCs w:val="24"/>
          <w:lang w:eastAsia="en-US"/>
        </w:rPr>
        <w:t xml:space="preserve"> vyhodnotiť k termínu 30.04.2017 iba v porovnaní so spotrebou energie v roku 2015 (pozri tabuľku č. 8).  </w:t>
      </w:r>
    </w:p>
    <w:p w:rsidR="00075A67" w:rsidRPr="00A459B8" w:rsidRDefault="00075A67" w:rsidP="00075A67">
      <w:pPr>
        <w:jc w:val="both"/>
        <w:rPr>
          <w:rFonts w:eastAsia="Calibri"/>
          <w:sz w:val="24"/>
          <w:szCs w:val="24"/>
          <w:lang w:eastAsia="en-US"/>
        </w:rPr>
      </w:pPr>
    </w:p>
    <w:p w:rsidR="0024416E" w:rsidRPr="00A459B8" w:rsidRDefault="0024416E" w:rsidP="00075A67">
      <w:pPr>
        <w:keepNext/>
        <w:jc w:val="both"/>
        <w:rPr>
          <w:rFonts w:eastAsia="Calibri"/>
          <w:sz w:val="24"/>
          <w:szCs w:val="24"/>
          <w:lang w:eastAsia="en-US"/>
        </w:rPr>
      </w:pPr>
      <w:r w:rsidRPr="00A459B8">
        <w:rPr>
          <w:rFonts w:eastAsia="Calibri"/>
          <w:sz w:val="24"/>
          <w:szCs w:val="24"/>
          <w:lang w:eastAsia="en-US"/>
        </w:rPr>
        <w:t xml:space="preserve">Tabuľka č. 3: Národný indikatívny cieľ energetickej efektívnosti pre rok 2020 a jeho porovnanie s úrovňou spotreby energie za rok </w:t>
      </w:r>
      <w:r w:rsidRPr="00037616">
        <w:rPr>
          <w:rFonts w:eastAsia="Calibri"/>
          <w:sz w:val="24"/>
          <w:szCs w:val="24"/>
          <w:lang w:eastAsia="en-US"/>
        </w:rPr>
        <w:t>2015</w:t>
      </w:r>
    </w:p>
    <w:tbl>
      <w:tblPr>
        <w:tblW w:w="89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1067"/>
        <w:gridCol w:w="1201"/>
        <w:gridCol w:w="851"/>
        <w:gridCol w:w="992"/>
        <w:gridCol w:w="851"/>
        <w:gridCol w:w="918"/>
      </w:tblGrid>
      <w:tr w:rsidR="0024416E" w:rsidRPr="00A459B8" w:rsidTr="00A26D06">
        <w:trPr>
          <w:trHeight w:val="330"/>
          <w:tblHeader/>
        </w:trPr>
        <w:tc>
          <w:tcPr>
            <w:tcW w:w="3119" w:type="dxa"/>
            <w:vMerge w:val="restart"/>
            <w:shd w:val="pct25" w:color="auto" w:fill="auto"/>
            <w:noWrap/>
            <w:vAlign w:val="center"/>
          </w:tcPr>
          <w:p w:rsidR="0024416E" w:rsidRPr="00A459B8" w:rsidRDefault="0024416E" w:rsidP="00A26D06">
            <w:pPr>
              <w:jc w:val="right"/>
              <w:rPr>
                <w:color w:val="000000"/>
                <w:szCs w:val="18"/>
              </w:rPr>
            </w:pPr>
          </w:p>
        </w:tc>
        <w:tc>
          <w:tcPr>
            <w:tcW w:w="5880" w:type="dxa"/>
            <w:gridSpan w:val="6"/>
            <w:shd w:val="pct25" w:color="auto" w:fill="auto"/>
          </w:tcPr>
          <w:p w:rsidR="0024416E" w:rsidRPr="00A459B8" w:rsidRDefault="0024416E" w:rsidP="00A26D06">
            <w:pPr>
              <w:jc w:val="center"/>
              <w:rPr>
                <w:b/>
                <w:color w:val="000000"/>
                <w:szCs w:val="18"/>
              </w:rPr>
            </w:pPr>
            <w:r w:rsidRPr="00A459B8">
              <w:rPr>
                <w:b/>
                <w:color w:val="000000"/>
                <w:szCs w:val="18"/>
              </w:rPr>
              <w:t>Porovnanie národného indikatívneho cieľa energetickej efektívnosti pre rok 2020  a súčasnej úrovne spotreby energie</w:t>
            </w:r>
          </w:p>
        </w:tc>
      </w:tr>
      <w:tr w:rsidR="0024416E" w:rsidRPr="00A459B8" w:rsidTr="00A26D06">
        <w:trPr>
          <w:trHeight w:val="330"/>
          <w:tblHeader/>
        </w:trPr>
        <w:tc>
          <w:tcPr>
            <w:tcW w:w="3119" w:type="dxa"/>
            <w:vMerge/>
            <w:shd w:val="pct25" w:color="auto" w:fill="auto"/>
            <w:noWrap/>
            <w:vAlign w:val="center"/>
          </w:tcPr>
          <w:p w:rsidR="0024416E" w:rsidRPr="00A459B8" w:rsidRDefault="0024416E" w:rsidP="00A26D06">
            <w:pPr>
              <w:jc w:val="right"/>
              <w:rPr>
                <w:color w:val="000000"/>
                <w:szCs w:val="18"/>
              </w:rPr>
            </w:pPr>
          </w:p>
        </w:tc>
        <w:tc>
          <w:tcPr>
            <w:tcW w:w="3119" w:type="dxa"/>
            <w:gridSpan w:val="3"/>
            <w:shd w:val="pct25" w:color="auto" w:fill="auto"/>
            <w:noWrap/>
            <w:vAlign w:val="center"/>
          </w:tcPr>
          <w:p w:rsidR="0024416E" w:rsidRPr="00A459B8" w:rsidRDefault="0024416E" w:rsidP="00A26D06">
            <w:pPr>
              <w:jc w:val="center"/>
              <w:rPr>
                <w:b/>
                <w:color w:val="000000"/>
                <w:szCs w:val="18"/>
              </w:rPr>
            </w:pPr>
            <w:r w:rsidRPr="00A459B8">
              <w:rPr>
                <w:b/>
                <w:color w:val="000000"/>
                <w:szCs w:val="18"/>
              </w:rPr>
              <w:t>KES</w:t>
            </w:r>
          </w:p>
        </w:tc>
        <w:tc>
          <w:tcPr>
            <w:tcW w:w="2761" w:type="dxa"/>
            <w:gridSpan w:val="3"/>
            <w:shd w:val="pct25" w:color="auto" w:fill="auto"/>
            <w:vAlign w:val="center"/>
          </w:tcPr>
          <w:p w:rsidR="0024416E" w:rsidRPr="00A459B8" w:rsidRDefault="0024416E" w:rsidP="00A26D06">
            <w:pPr>
              <w:jc w:val="center"/>
              <w:rPr>
                <w:b/>
                <w:color w:val="000000"/>
                <w:szCs w:val="18"/>
              </w:rPr>
            </w:pPr>
            <w:r w:rsidRPr="00A459B8">
              <w:rPr>
                <w:b/>
                <w:color w:val="000000"/>
                <w:szCs w:val="18"/>
              </w:rPr>
              <w:t>PES</w:t>
            </w:r>
          </w:p>
        </w:tc>
      </w:tr>
      <w:tr w:rsidR="0024416E" w:rsidRPr="00A459B8" w:rsidTr="00A26D06">
        <w:trPr>
          <w:trHeight w:val="330"/>
          <w:tblHeader/>
        </w:trPr>
        <w:tc>
          <w:tcPr>
            <w:tcW w:w="3119" w:type="dxa"/>
            <w:vMerge/>
            <w:shd w:val="pct25" w:color="auto" w:fill="auto"/>
            <w:noWrap/>
            <w:vAlign w:val="center"/>
            <w:hideMark/>
          </w:tcPr>
          <w:p w:rsidR="0024416E" w:rsidRPr="00A459B8" w:rsidRDefault="0024416E" w:rsidP="00A26D06">
            <w:pPr>
              <w:jc w:val="right"/>
              <w:rPr>
                <w:color w:val="000000"/>
                <w:szCs w:val="18"/>
              </w:rPr>
            </w:pPr>
          </w:p>
        </w:tc>
        <w:tc>
          <w:tcPr>
            <w:tcW w:w="1067" w:type="dxa"/>
            <w:shd w:val="pct25" w:color="auto" w:fill="auto"/>
            <w:noWrap/>
            <w:vAlign w:val="center"/>
          </w:tcPr>
          <w:p w:rsidR="0024416E" w:rsidRPr="00A459B8" w:rsidRDefault="0024416E" w:rsidP="00A26D06">
            <w:pPr>
              <w:jc w:val="center"/>
              <w:rPr>
                <w:b/>
                <w:color w:val="000000"/>
                <w:szCs w:val="18"/>
              </w:rPr>
            </w:pPr>
            <w:r w:rsidRPr="00A459B8">
              <w:rPr>
                <w:b/>
                <w:color w:val="000000"/>
                <w:szCs w:val="22"/>
              </w:rPr>
              <w:t>[</w:t>
            </w:r>
            <w:proofErr w:type="spellStart"/>
            <w:r w:rsidRPr="00A459B8">
              <w:rPr>
                <w:b/>
                <w:color w:val="000000"/>
                <w:szCs w:val="22"/>
              </w:rPr>
              <w:t>TWh</w:t>
            </w:r>
            <w:proofErr w:type="spellEnd"/>
            <w:r w:rsidRPr="00A459B8">
              <w:rPr>
                <w:b/>
                <w:color w:val="000000"/>
                <w:szCs w:val="22"/>
              </w:rPr>
              <w:t>]</w:t>
            </w:r>
          </w:p>
        </w:tc>
        <w:tc>
          <w:tcPr>
            <w:tcW w:w="1201" w:type="dxa"/>
            <w:shd w:val="pct25" w:color="auto" w:fill="auto"/>
            <w:vAlign w:val="center"/>
          </w:tcPr>
          <w:p w:rsidR="0024416E" w:rsidRPr="00A459B8" w:rsidRDefault="0024416E" w:rsidP="00A26D06">
            <w:pPr>
              <w:jc w:val="center"/>
              <w:rPr>
                <w:b/>
                <w:color w:val="000000"/>
                <w:szCs w:val="18"/>
              </w:rPr>
            </w:pPr>
            <w:r w:rsidRPr="00A459B8">
              <w:rPr>
                <w:b/>
                <w:color w:val="000000"/>
                <w:szCs w:val="22"/>
              </w:rPr>
              <w:t>[PJ]</w:t>
            </w:r>
          </w:p>
        </w:tc>
        <w:tc>
          <w:tcPr>
            <w:tcW w:w="851" w:type="dxa"/>
            <w:shd w:val="pct25" w:color="auto" w:fill="auto"/>
            <w:vAlign w:val="center"/>
          </w:tcPr>
          <w:p w:rsidR="0024416E" w:rsidRPr="00A459B8" w:rsidRDefault="0024416E" w:rsidP="00A26D06">
            <w:pPr>
              <w:jc w:val="center"/>
              <w:rPr>
                <w:b/>
                <w:color w:val="000000"/>
                <w:szCs w:val="22"/>
              </w:rPr>
            </w:pPr>
            <w:r w:rsidRPr="00A459B8">
              <w:rPr>
                <w:b/>
                <w:color w:val="000000"/>
                <w:szCs w:val="18"/>
                <w:lang w:val="en-US"/>
              </w:rPr>
              <w:t>[%]</w:t>
            </w:r>
          </w:p>
        </w:tc>
        <w:tc>
          <w:tcPr>
            <w:tcW w:w="992" w:type="dxa"/>
            <w:tcBorders>
              <w:bottom w:val="single" w:sz="4" w:space="0" w:color="auto"/>
            </w:tcBorders>
            <w:shd w:val="pct25" w:color="auto" w:fill="auto"/>
            <w:noWrap/>
            <w:vAlign w:val="center"/>
          </w:tcPr>
          <w:p w:rsidR="0024416E" w:rsidRPr="00A459B8" w:rsidRDefault="0024416E" w:rsidP="00A26D06">
            <w:pPr>
              <w:jc w:val="center"/>
              <w:rPr>
                <w:b/>
                <w:color w:val="000000"/>
                <w:szCs w:val="18"/>
              </w:rPr>
            </w:pPr>
            <w:r w:rsidRPr="00A459B8">
              <w:rPr>
                <w:b/>
                <w:color w:val="000000"/>
                <w:szCs w:val="22"/>
              </w:rPr>
              <w:t>[</w:t>
            </w:r>
            <w:proofErr w:type="spellStart"/>
            <w:r w:rsidRPr="00A459B8">
              <w:rPr>
                <w:b/>
                <w:color w:val="000000"/>
                <w:szCs w:val="22"/>
              </w:rPr>
              <w:t>TWh</w:t>
            </w:r>
            <w:proofErr w:type="spellEnd"/>
            <w:r w:rsidRPr="00A459B8">
              <w:rPr>
                <w:b/>
                <w:color w:val="000000"/>
                <w:szCs w:val="22"/>
              </w:rPr>
              <w:t>]</w:t>
            </w:r>
          </w:p>
        </w:tc>
        <w:tc>
          <w:tcPr>
            <w:tcW w:w="851" w:type="dxa"/>
            <w:tcBorders>
              <w:bottom w:val="single" w:sz="4" w:space="0" w:color="auto"/>
            </w:tcBorders>
            <w:shd w:val="pct25" w:color="auto" w:fill="auto"/>
            <w:vAlign w:val="center"/>
          </w:tcPr>
          <w:p w:rsidR="0024416E" w:rsidRPr="00A459B8" w:rsidRDefault="0024416E" w:rsidP="00A26D06">
            <w:pPr>
              <w:jc w:val="center"/>
              <w:rPr>
                <w:b/>
                <w:color w:val="000000"/>
                <w:szCs w:val="18"/>
              </w:rPr>
            </w:pPr>
            <w:r w:rsidRPr="00A459B8">
              <w:rPr>
                <w:b/>
                <w:color w:val="000000"/>
                <w:szCs w:val="22"/>
              </w:rPr>
              <w:t>[PJ]</w:t>
            </w:r>
          </w:p>
        </w:tc>
        <w:tc>
          <w:tcPr>
            <w:tcW w:w="918" w:type="dxa"/>
            <w:shd w:val="pct25" w:color="auto" w:fill="auto"/>
            <w:noWrap/>
            <w:vAlign w:val="center"/>
          </w:tcPr>
          <w:p w:rsidR="0024416E" w:rsidRPr="00A459B8" w:rsidRDefault="0024416E" w:rsidP="00A26D06">
            <w:pPr>
              <w:jc w:val="center"/>
              <w:rPr>
                <w:b/>
                <w:color w:val="000000"/>
                <w:szCs w:val="18"/>
              </w:rPr>
            </w:pPr>
            <w:r w:rsidRPr="00A459B8">
              <w:rPr>
                <w:b/>
                <w:color w:val="000000"/>
                <w:szCs w:val="18"/>
                <w:lang w:val="en-US"/>
              </w:rPr>
              <w:t>[%]</w:t>
            </w:r>
          </w:p>
        </w:tc>
      </w:tr>
      <w:tr w:rsidR="0024416E" w:rsidRPr="00A459B8" w:rsidTr="00A26D06">
        <w:trPr>
          <w:trHeight w:val="330"/>
        </w:trPr>
        <w:tc>
          <w:tcPr>
            <w:tcW w:w="3119" w:type="dxa"/>
            <w:shd w:val="clear" w:color="auto" w:fill="auto"/>
            <w:noWrap/>
            <w:vAlign w:val="center"/>
          </w:tcPr>
          <w:p w:rsidR="0024416E" w:rsidRPr="00A459B8" w:rsidRDefault="0024416E" w:rsidP="00A26D06">
            <w:pPr>
              <w:rPr>
                <w:b/>
                <w:color w:val="000000"/>
                <w:szCs w:val="18"/>
              </w:rPr>
            </w:pPr>
            <w:r w:rsidRPr="00A459B8">
              <w:rPr>
                <w:b/>
                <w:color w:val="000000"/>
                <w:szCs w:val="18"/>
              </w:rPr>
              <w:t>Národný indikatívny cieľ energetickej efektívnosti (úroveň energetickej spotreby v r. 2020)</w:t>
            </w:r>
          </w:p>
        </w:tc>
        <w:tc>
          <w:tcPr>
            <w:tcW w:w="1067" w:type="dxa"/>
            <w:shd w:val="clear" w:color="auto" w:fill="auto"/>
            <w:noWrap/>
            <w:vAlign w:val="center"/>
          </w:tcPr>
          <w:p w:rsidR="0024416E" w:rsidRPr="00A459B8" w:rsidRDefault="0024416E" w:rsidP="00A26D06">
            <w:pPr>
              <w:jc w:val="center"/>
              <w:rPr>
                <w:color w:val="000000"/>
                <w:sz w:val="18"/>
                <w:szCs w:val="18"/>
              </w:rPr>
            </w:pPr>
            <w:r w:rsidRPr="00A459B8">
              <w:rPr>
                <w:rFonts w:eastAsia="Calibri"/>
                <w:sz w:val="22"/>
                <w:szCs w:val="22"/>
                <w:lang w:eastAsia="en-US"/>
              </w:rPr>
              <w:t>105</w:t>
            </w:r>
          </w:p>
        </w:tc>
        <w:tc>
          <w:tcPr>
            <w:tcW w:w="1201" w:type="dxa"/>
            <w:shd w:val="clear" w:color="auto" w:fill="auto"/>
            <w:vAlign w:val="center"/>
          </w:tcPr>
          <w:p w:rsidR="0024416E" w:rsidRPr="00A459B8" w:rsidRDefault="0024416E" w:rsidP="00A26D06">
            <w:pPr>
              <w:jc w:val="center"/>
              <w:rPr>
                <w:color w:val="000000"/>
                <w:sz w:val="18"/>
                <w:szCs w:val="18"/>
              </w:rPr>
            </w:pPr>
            <w:r w:rsidRPr="00A459B8">
              <w:rPr>
                <w:rFonts w:eastAsia="Calibri"/>
                <w:sz w:val="22"/>
                <w:szCs w:val="22"/>
                <w:lang w:eastAsia="en-US"/>
              </w:rPr>
              <w:t>387</w:t>
            </w:r>
          </w:p>
        </w:tc>
        <w:tc>
          <w:tcPr>
            <w:tcW w:w="851" w:type="dxa"/>
            <w:vAlign w:val="center"/>
          </w:tcPr>
          <w:p w:rsidR="0024416E" w:rsidRPr="00A459B8" w:rsidRDefault="0024416E" w:rsidP="00A26D06">
            <w:pPr>
              <w:jc w:val="center"/>
              <w:rPr>
                <w:rFonts w:eastAsia="Calibri"/>
                <w:color w:val="000000"/>
                <w:sz w:val="18"/>
                <w:szCs w:val="22"/>
                <w:lang w:eastAsia="en-US"/>
              </w:rPr>
            </w:pPr>
            <w:r w:rsidRPr="00A459B8">
              <w:rPr>
                <w:rFonts w:eastAsia="Calibri"/>
                <w:sz w:val="22"/>
                <w:szCs w:val="22"/>
                <w:lang w:eastAsia="en-US"/>
              </w:rPr>
              <w:t>-</w:t>
            </w:r>
          </w:p>
        </w:tc>
        <w:tc>
          <w:tcPr>
            <w:tcW w:w="992" w:type="dxa"/>
            <w:shd w:val="clear" w:color="auto" w:fill="auto"/>
            <w:noWrap/>
            <w:vAlign w:val="center"/>
          </w:tcPr>
          <w:p w:rsidR="0024416E" w:rsidRPr="00A459B8" w:rsidRDefault="0024416E" w:rsidP="00A26D06">
            <w:pPr>
              <w:jc w:val="center"/>
              <w:rPr>
                <w:color w:val="000000"/>
                <w:sz w:val="18"/>
                <w:szCs w:val="18"/>
              </w:rPr>
            </w:pPr>
            <w:r w:rsidRPr="00A459B8">
              <w:rPr>
                <w:rFonts w:eastAsia="Calibri"/>
                <w:sz w:val="22"/>
                <w:szCs w:val="22"/>
                <w:lang w:eastAsia="en-US"/>
              </w:rPr>
              <w:t>191</w:t>
            </w:r>
          </w:p>
        </w:tc>
        <w:tc>
          <w:tcPr>
            <w:tcW w:w="851" w:type="dxa"/>
            <w:shd w:val="clear" w:color="auto" w:fill="auto"/>
            <w:vAlign w:val="center"/>
          </w:tcPr>
          <w:p w:rsidR="0024416E" w:rsidRPr="00A459B8" w:rsidRDefault="0024416E" w:rsidP="00A26D06">
            <w:pPr>
              <w:jc w:val="center"/>
              <w:rPr>
                <w:color w:val="000000"/>
                <w:sz w:val="18"/>
                <w:szCs w:val="18"/>
              </w:rPr>
            </w:pPr>
            <w:r w:rsidRPr="00A459B8">
              <w:rPr>
                <w:rFonts w:eastAsia="Calibri"/>
                <w:sz w:val="22"/>
                <w:szCs w:val="22"/>
                <w:lang w:eastAsia="en-US"/>
              </w:rPr>
              <w:t>686</w:t>
            </w:r>
          </w:p>
        </w:tc>
        <w:tc>
          <w:tcPr>
            <w:tcW w:w="918" w:type="dxa"/>
            <w:shd w:val="clear" w:color="auto" w:fill="auto"/>
            <w:noWrap/>
            <w:vAlign w:val="center"/>
          </w:tcPr>
          <w:p w:rsidR="0024416E" w:rsidRPr="00A459B8" w:rsidRDefault="0024416E" w:rsidP="00A26D06">
            <w:pPr>
              <w:jc w:val="center"/>
              <w:rPr>
                <w:color w:val="000000"/>
                <w:sz w:val="18"/>
                <w:szCs w:val="18"/>
              </w:rPr>
            </w:pPr>
            <w:r w:rsidRPr="00A459B8">
              <w:rPr>
                <w:rFonts w:eastAsia="Calibri"/>
                <w:sz w:val="22"/>
                <w:szCs w:val="22"/>
                <w:lang w:eastAsia="en-US"/>
              </w:rPr>
              <w:t>-</w:t>
            </w:r>
          </w:p>
        </w:tc>
      </w:tr>
      <w:tr w:rsidR="0024416E" w:rsidRPr="00A459B8" w:rsidTr="00A26D06">
        <w:trPr>
          <w:trHeight w:val="300"/>
        </w:trPr>
        <w:tc>
          <w:tcPr>
            <w:tcW w:w="3119" w:type="dxa"/>
            <w:shd w:val="clear" w:color="auto" w:fill="auto"/>
            <w:noWrap/>
            <w:vAlign w:val="center"/>
          </w:tcPr>
          <w:p w:rsidR="0024416E" w:rsidRPr="00A459B8" w:rsidRDefault="0024416E" w:rsidP="00A26D06">
            <w:pPr>
              <w:rPr>
                <w:b/>
                <w:color w:val="000000"/>
                <w:szCs w:val="18"/>
              </w:rPr>
            </w:pPr>
            <w:r w:rsidRPr="00A459B8">
              <w:rPr>
                <w:b/>
                <w:color w:val="000000"/>
                <w:szCs w:val="18"/>
              </w:rPr>
              <w:t>Úroveň energetickej spotreby (KES a PES) v r. 2015</w:t>
            </w:r>
          </w:p>
        </w:tc>
        <w:tc>
          <w:tcPr>
            <w:tcW w:w="1067" w:type="dxa"/>
            <w:shd w:val="clear" w:color="auto" w:fill="auto"/>
            <w:noWrap/>
            <w:vAlign w:val="center"/>
          </w:tcPr>
          <w:p w:rsidR="0024416E" w:rsidRPr="00037616" w:rsidRDefault="0024416E" w:rsidP="00A26D06">
            <w:pPr>
              <w:jc w:val="center"/>
              <w:rPr>
                <w:color w:val="000000"/>
                <w:sz w:val="18"/>
                <w:szCs w:val="18"/>
              </w:rPr>
            </w:pPr>
            <w:r w:rsidRPr="00037616">
              <w:rPr>
                <w:rFonts w:eastAsia="Calibri"/>
                <w:sz w:val="22"/>
                <w:szCs w:val="22"/>
                <w:lang w:eastAsia="en-US"/>
              </w:rPr>
              <w:t>106</w:t>
            </w:r>
          </w:p>
        </w:tc>
        <w:tc>
          <w:tcPr>
            <w:tcW w:w="1201" w:type="dxa"/>
            <w:shd w:val="clear" w:color="auto" w:fill="auto"/>
            <w:vAlign w:val="center"/>
          </w:tcPr>
          <w:p w:rsidR="0024416E" w:rsidRPr="00037616" w:rsidRDefault="0024416E" w:rsidP="00A26D06">
            <w:pPr>
              <w:jc w:val="center"/>
              <w:rPr>
                <w:color w:val="000000"/>
                <w:sz w:val="18"/>
                <w:szCs w:val="18"/>
              </w:rPr>
            </w:pPr>
            <w:r w:rsidRPr="00037616">
              <w:rPr>
                <w:rFonts w:eastAsia="Calibri"/>
                <w:sz w:val="22"/>
                <w:szCs w:val="22"/>
                <w:lang w:eastAsia="en-US"/>
              </w:rPr>
              <w:t>383</w:t>
            </w:r>
          </w:p>
        </w:tc>
        <w:tc>
          <w:tcPr>
            <w:tcW w:w="851" w:type="dxa"/>
            <w:vAlign w:val="center"/>
          </w:tcPr>
          <w:p w:rsidR="0024416E" w:rsidRPr="00037616" w:rsidRDefault="0024416E" w:rsidP="00A26D06">
            <w:pPr>
              <w:jc w:val="center"/>
              <w:rPr>
                <w:rFonts w:eastAsia="Calibri"/>
                <w:sz w:val="18"/>
                <w:szCs w:val="22"/>
                <w:lang w:eastAsia="en-US"/>
              </w:rPr>
            </w:pPr>
            <w:r w:rsidRPr="00037616">
              <w:rPr>
                <w:rFonts w:eastAsia="Calibri"/>
                <w:sz w:val="22"/>
                <w:szCs w:val="22"/>
                <w:lang w:eastAsia="en-US"/>
              </w:rPr>
              <w:t>99%</w:t>
            </w:r>
          </w:p>
        </w:tc>
        <w:tc>
          <w:tcPr>
            <w:tcW w:w="992" w:type="dxa"/>
            <w:shd w:val="clear" w:color="auto" w:fill="auto"/>
            <w:noWrap/>
            <w:vAlign w:val="center"/>
          </w:tcPr>
          <w:p w:rsidR="0024416E" w:rsidRPr="00037616" w:rsidRDefault="0024416E" w:rsidP="00A26D06">
            <w:pPr>
              <w:jc w:val="center"/>
              <w:rPr>
                <w:color w:val="000000"/>
                <w:sz w:val="18"/>
                <w:szCs w:val="18"/>
              </w:rPr>
            </w:pPr>
            <w:r w:rsidRPr="00037616">
              <w:rPr>
                <w:rFonts w:eastAsia="Calibri"/>
                <w:sz w:val="22"/>
                <w:szCs w:val="22"/>
                <w:lang w:eastAsia="en-US"/>
              </w:rPr>
              <w:t>178</w:t>
            </w:r>
          </w:p>
        </w:tc>
        <w:tc>
          <w:tcPr>
            <w:tcW w:w="851" w:type="dxa"/>
            <w:shd w:val="clear" w:color="auto" w:fill="auto"/>
            <w:vAlign w:val="center"/>
          </w:tcPr>
          <w:p w:rsidR="0024416E" w:rsidRPr="00037616" w:rsidRDefault="0024416E" w:rsidP="00A26D06">
            <w:pPr>
              <w:jc w:val="center"/>
              <w:rPr>
                <w:color w:val="000000"/>
                <w:sz w:val="18"/>
                <w:szCs w:val="18"/>
              </w:rPr>
            </w:pPr>
            <w:r w:rsidRPr="00037616">
              <w:rPr>
                <w:rFonts w:eastAsia="Calibri"/>
                <w:sz w:val="22"/>
                <w:szCs w:val="22"/>
                <w:lang w:eastAsia="en-US"/>
              </w:rPr>
              <w:t>640</w:t>
            </w:r>
          </w:p>
        </w:tc>
        <w:tc>
          <w:tcPr>
            <w:tcW w:w="918" w:type="dxa"/>
            <w:shd w:val="clear" w:color="auto" w:fill="auto"/>
            <w:noWrap/>
            <w:vAlign w:val="center"/>
          </w:tcPr>
          <w:p w:rsidR="0024416E" w:rsidRPr="00037616" w:rsidRDefault="0024416E" w:rsidP="00A26D06">
            <w:pPr>
              <w:jc w:val="center"/>
              <w:rPr>
                <w:color w:val="000000"/>
                <w:sz w:val="18"/>
                <w:szCs w:val="18"/>
              </w:rPr>
            </w:pPr>
            <w:r w:rsidRPr="00037616">
              <w:rPr>
                <w:rFonts w:eastAsia="Calibri"/>
                <w:sz w:val="22"/>
                <w:szCs w:val="22"/>
                <w:lang w:eastAsia="en-US"/>
              </w:rPr>
              <w:t>93%</w:t>
            </w:r>
          </w:p>
        </w:tc>
      </w:tr>
    </w:tbl>
    <w:p w:rsidR="0024416E" w:rsidRPr="00A459B8" w:rsidRDefault="0024416E" w:rsidP="0024416E">
      <w:pPr>
        <w:jc w:val="both"/>
        <w:rPr>
          <w:rFonts w:eastAsia="Calibri"/>
          <w:sz w:val="24"/>
          <w:szCs w:val="24"/>
          <w:lang w:eastAsia="en-US"/>
        </w:rPr>
      </w:pPr>
      <w:r w:rsidRPr="00A459B8">
        <w:rPr>
          <w:rFonts w:eastAsia="Calibri"/>
          <w:sz w:val="24"/>
          <w:szCs w:val="24"/>
          <w:lang w:eastAsia="en-US"/>
        </w:rPr>
        <w:t>Zdroj: MH SR (2016), ŠÚSR (2017)</w:t>
      </w:r>
    </w:p>
    <w:p w:rsidR="0024416E" w:rsidRPr="00A459B8" w:rsidRDefault="0024416E" w:rsidP="0024416E">
      <w:pPr>
        <w:jc w:val="both"/>
        <w:rPr>
          <w:rFonts w:ascii="Calibri" w:eastAsia="Calibri" w:hAnsi="Calibri"/>
          <w:sz w:val="22"/>
          <w:szCs w:val="22"/>
          <w:lang w:eastAsia="en-US"/>
        </w:rPr>
      </w:pPr>
    </w:p>
    <w:p w:rsidR="0024416E" w:rsidRDefault="0024416E" w:rsidP="00C675CC">
      <w:pPr>
        <w:jc w:val="both"/>
        <w:rPr>
          <w:rFonts w:eastAsia="Calibri"/>
          <w:sz w:val="24"/>
          <w:szCs w:val="24"/>
          <w:lang w:eastAsia="en-US"/>
        </w:rPr>
      </w:pPr>
      <w:r w:rsidRPr="00A459B8">
        <w:rPr>
          <w:rFonts w:eastAsia="Calibri"/>
          <w:sz w:val="24"/>
          <w:szCs w:val="24"/>
          <w:lang w:eastAsia="en-US"/>
        </w:rPr>
        <w:t xml:space="preserve">Viac detailov je uvedených v 1. kapitole </w:t>
      </w:r>
      <w:r w:rsidRPr="00C675CC">
        <w:rPr>
          <w:rFonts w:eastAsia="Calibri"/>
          <w:sz w:val="24"/>
          <w:szCs w:val="24"/>
          <w:lang w:eastAsia="en-US"/>
        </w:rPr>
        <w:t>Akčného plánu energetickej efektívnosti na roky 2017-2019 s výhľadom do roku 2020</w:t>
      </w:r>
      <w:r w:rsidRPr="00A459B8">
        <w:rPr>
          <w:rFonts w:eastAsia="Calibri"/>
          <w:sz w:val="24"/>
          <w:szCs w:val="24"/>
          <w:lang w:eastAsia="en-US"/>
        </w:rPr>
        <w:t xml:space="preserve">. </w:t>
      </w:r>
    </w:p>
    <w:p w:rsidR="0024416E" w:rsidRDefault="0024416E" w:rsidP="0024416E">
      <w:pPr>
        <w:spacing w:after="200" w:line="276" w:lineRule="auto"/>
        <w:jc w:val="both"/>
        <w:rPr>
          <w:rFonts w:eastAsia="Calibri"/>
          <w:sz w:val="24"/>
          <w:szCs w:val="24"/>
          <w:lang w:eastAsia="en-US"/>
        </w:rPr>
      </w:pPr>
    </w:p>
    <w:p w:rsidR="00993D00" w:rsidRDefault="00993D00" w:rsidP="00DB4347"/>
    <w:sectPr w:rsidR="00993D00" w:rsidSect="008D4D66">
      <w:headerReference w:type="even" r:id="rId11"/>
      <w:footerReference w:type="even" r:id="rId12"/>
      <w:footerReference w:type="default" r:id="rId13"/>
      <w:footerReference w:type="first" r:id="rId14"/>
      <w:pgSz w:w="11906" w:h="16838"/>
      <w:pgMar w:top="1135" w:right="1134" w:bottom="993" w:left="1134" w:header="708" w:footer="708"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DDB" w:rsidRDefault="00626DDB" w:rsidP="0024416E">
      <w:r>
        <w:separator/>
      </w:r>
    </w:p>
  </w:endnote>
  <w:endnote w:type="continuationSeparator" w:id="0">
    <w:p w:rsidR="00626DDB" w:rsidRDefault="00626DDB" w:rsidP="00244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16E" w:rsidRDefault="0024416E">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10</w:t>
    </w:r>
    <w:r>
      <w:rPr>
        <w:rStyle w:val="slostrany"/>
      </w:rPr>
      <w:fldChar w:fldCharType="end"/>
    </w:r>
  </w:p>
  <w:p w:rsidR="0024416E" w:rsidRDefault="0024416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16E" w:rsidRPr="00DB4347" w:rsidRDefault="0024416E">
    <w:pPr>
      <w:pStyle w:val="Pta"/>
      <w:jc w:val="right"/>
      <w:rPr>
        <w:rFonts w:ascii="Times New Roman" w:hAnsi="Times New Roman"/>
      </w:rPr>
    </w:pPr>
    <w:r w:rsidRPr="00DB4347">
      <w:rPr>
        <w:rFonts w:ascii="Times New Roman" w:hAnsi="Times New Roman"/>
      </w:rPr>
      <w:fldChar w:fldCharType="begin"/>
    </w:r>
    <w:r w:rsidRPr="00DB4347">
      <w:rPr>
        <w:rFonts w:ascii="Times New Roman" w:hAnsi="Times New Roman"/>
      </w:rPr>
      <w:instrText>PAGE   \* MERGEFORMAT</w:instrText>
    </w:r>
    <w:r w:rsidRPr="00DB4347">
      <w:rPr>
        <w:rFonts w:ascii="Times New Roman" w:hAnsi="Times New Roman"/>
      </w:rPr>
      <w:fldChar w:fldCharType="separate"/>
    </w:r>
    <w:r w:rsidR="00567FB9">
      <w:rPr>
        <w:rFonts w:ascii="Times New Roman" w:hAnsi="Times New Roman"/>
        <w:noProof/>
      </w:rPr>
      <w:t>7</w:t>
    </w:r>
    <w:r w:rsidRPr="00DB4347">
      <w:rPr>
        <w:rFonts w:ascii="Times New Roman" w:hAnsi="Times New Roman"/>
      </w:rPr>
      <w:fldChar w:fldCharType="end"/>
    </w:r>
  </w:p>
  <w:p w:rsidR="0024416E" w:rsidRDefault="0024416E">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16E" w:rsidRDefault="0024416E">
    <w:pPr>
      <w:pStyle w:val="Pta"/>
      <w:jc w:val="right"/>
    </w:pPr>
    <w:r>
      <w:fldChar w:fldCharType="begin"/>
    </w:r>
    <w:r>
      <w:instrText>PAGE   \* MERGEFORMAT</w:instrText>
    </w:r>
    <w:r>
      <w:fldChar w:fldCharType="separate"/>
    </w:r>
    <w:r w:rsidR="00567FB9">
      <w:rPr>
        <w:noProof/>
      </w:rPr>
      <w:t>1</w:t>
    </w:r>
    <w:r>
      <w:fldChar w:fldCharType="end"/>
    </w:r>
  </w:p>
  <w:p w:rsidR="0024416E" w:rsidRDefault="0024416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DDB" w:rsidRDefault="00626DDB" w:rsidP="0024416E">
      <w:r>
        <w:separator/>
      </w:r>
    </w:p>
  </w:footnote>
  <w:footnote w:type="continuationSeparator" w:id="0">
    <w:p w:rsidR="00626DDB" w:rsidRDefault="00626DDB" w:rsidP="0024416E">
      <w:r>
        <w:continuationSeparator/>
      </w:r>
    </w:p>
  </w:footnote>
  <w:footnote w:id="1">
    <w:p w:rsidR="0024416E" w:rsidRPr="00272AA8" w:rsidRDefault="0024416E" w:rsidP="0024416E">
      <w:pPr>
        <w:pStyle w:val="Textpoznmkypodiarou"/>
        <w:rPr>
          <w:rFonts w:ascii="Times New Roman" w:hAnsi="Times New Roman"/>
        </w:rPr>
      </w:pPr>
      <w:r w:rsidRPr="00FB1CD2">
        <w:rPr>
          <w:rStyle w:val="Odkaznapoznmkupodiarou"/>
          <w:rFonts w:ascii="Times New Roman" w:hAnsi="Times New Roman"/>
        </w:rPr>
        <w:footnoteRef/>
      </w:r>
      <w:r w:rsidRPr="00FB1CD2">
        <w:rPr>
          <w:rFonts w:ascii="Times New Roman" w:hAnsi="Times New Roman"/>
        </w:rPr>
        <w:t xml:space="preserve"> </w:t>
      </w:r>
      <w:r w:rsidRPr="00272AA8">
        <w:rPr>
          <w:rFonts w:ascii="Times New Roman" w:hAnsi="Times New Roman"/>
        </w:rPr>
        <w:t xml:space="preserve">Energetická spotreba sa pre položku Obchod a služby samostatne nezisťuje, ale sa dopočítava zo všetkých ostatných údajov. Z tohto dôvodu sa tu prejavia aj odchýlky z iných odvetví.  </w:t>
      </w:r>
    </w:p>
  </w:footnote>
  <w:footnote w:id="2">
    <w:p w:rsidR="0024416E" w:rsidRPr="00FB1CD2" w:rsidRDefault="0024416E" w:rsidP="0024416E">
      <w:pPr>
        <w:pStyle w:val="Textpoznmkypodiarou"/>
        <w:jc w:val="both"/>
        <w:rPr>
          <w:rFonts w:ascii="Times New Roman" w:hAnsi="Times New Roman"/>
        </w:rPr>
      </w:pPr>
      <w:r w:rsidRPr="00FB1CD2">
        <w:rPr>
          <w:rStyle w:val="Odkaznapoznmkupodiarou"/>
          <w:rFonts w:ascii="Times New Roman" w:hAnsi="Times New Roman"/>
        </w:rPr>
        <w:footnoteRef/>
      </w:r>
      <w:r w:rsidRPr="00FB1CD2">
        <w:rPr>
          <w:rFonts w:ascii="Times New Roman" w:hAnsi="Times New Roman"/>
        </w:rPr>
        <w:t xml:space="preserve"> Údaje budú doplnené na základe údajov poskytnutých podľa § 10 ods. 8 zákona č. 321/2014 Z. z. o energetickej efektívnosti </w:t>
      </w:r>
    </w:p>
  </w:footnote>
  <w:footnote w:id="3">
    <w:p w:rsidR="0024416E" w:rsidRPr="00FB1CD2" w:rsidRDefault="0024416E" w:rsidP="0024416E">
      <w:pPr>
        <w:pStyle w:val="Textpoznmkypodiarou"/>
        <w:jc w:val="both"/>
        <w:rPr>
          <w:rFonts w:ascii="Times New Roman" w:hAnsi="Times New Roman"/>
        </w:rPr>
      </w:pPr>
      <w:r w:rsidRPr="00FB1CD2">
        <w:rPr>
          <w:rStyle w:val="Odkaznapoznmkupodiarou"/>
          <w:rFonts w:ascii="Times New Roman" w:hAnsi="Times New Roman"/>
        </w:rPr>
        <w:footnoteRef/>
      </w:r>
      <w:r w:rsidRPr="00FB1CD2">
        <w:rPr>
          <w:rFonts w:ascii="Times New Roman" w:hAnsi="Times New Roman"/>
        </w:rPr>
        <w:t xml:space="preserve"> Údaje budú aktualizované na základe údajov poskytnutých podľa § 10 ods. 8 zákona č. 321/2014 Z. z. o energetickej efektívnosti </w:t>
      </w:r>
    </w:p>
  </w:footnote>
  <w:footnote w:id="4">
    <w:p w:rsidR="0024416E" w:rsidRPr="00272AA8" w:rsidRDefault="0024416E" w:rsidP="0024416E">
      <w:pPr>
        <w:pStyle w:val="Textpoznmkypodiarou"/>
        <w:jc w:val="both"/>
        <w:rPr>
          <w:rFonts w:ascii="Times New Roman" w:hAnsi="Times New Roman"/>
        </w:rPr>
      </w:pPr>
      <w:r w:rsidRPr="00FB1CD2">
        <w:rPr>
          <w:rStyle w:val="Odkaznapoznmkupodiarou"/>
          <w:rFonts w:ascii="Times New Roman" w:hAnsi="Times New Roman"/>
        </w:rPr>
        <w:footnoteRef/>
      </w:r>
      <w:r w:rsidRPr="00FB1CD2">
        <w:rPr>
          <w:rFonts w:ascii="Times New Roman" w:hAnsi="Times New Roman"/>
        </w:rPr>
        <w:t xml:space="preserve"> </w:t>
      </w:r>
      <w:r w:rsidRPr="00272AA8">
        <w:rPr>
          <w:rFonts w:ascii="Times New Roman" w:hAnsi="Times New Roman"/>
        </w:rPr>
        <w:t xml:space="preserve">Notifikačná správa k alternatívnemu prístupu podľa článku 5 smernice 2012/27/EÚ o energetickej  efektívnosti. Správa zaslaná Európskej komisii dňa 27.12.2013.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16E" w:rsidRDefault="0024416E" w:rsidP="00BB7586">
    <w:pPr>
      <w:pStyle w:val="Hlavika"/>
      <w:jc w:val="right"/>
      <w:rPr>
        <w:sz w:val="24"/>
        <w:szCs w:val="24"/>
      </w:rPr>
    </w:pPr>
    <w:r>
      <w:rPr>
        <w:sz w:val="24"/>
        <w:szCs w:val="24"/>
      </w:rPr>
      <w:t>Príloha č. 2</w:t>
    </w:r>
  </w:p>
  <w:p w:rsidR="0024416E" w:rsidRPr="00EB59C8" w:rsidRDefault="0024416E" w:rsidP="00BB7586">
    <w:pPr>
      <w:pStyle w:val="Hlavika"/>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001B"/>
    <w:multiLevelType w:val="hybridMultilevel"/>
    <w:tmpl w:val="94945F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F7554F"/>
    <w:multiLevelType w:val="hybridMultilevel"/>
    <w:tmpl w:val="EAB843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8413839"/>
    <w:multiLevelType w:val="hybridMultilevel"/>
    <w:tmpl w:val="1102E3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8786969"/>
    <w:multiLevelType w:val="hybridMultilevel"/>
    <w:tmpl w:val="B1F802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B8442D4"/>
    <w:multiLevelType w:val="multilevel"/>
    <w:tmpl w:val="A08453AE"/>
    <w:lvl w:ilvl="0">
      <w:start w:val="1"/>
      <w:numFmt w:val="upperLetter"/>
      <w:pStyle w:val="Heading1orobas"/>
      <w:lvlText w:val="%1."/>
      <w:lvlJc w:val="left"/>
      <w:pPr>
        <w:tabs>
          <w:tab w:val="num" w:pos="567"/>
        </w:tabs>
        <w:ind w:left="567" w:hanging="567"/>
      </w:pPr>
      <w:rPr>
        <w:rFonts w:ascii="Times New Roman" w:hAnsi="Times New Roman" w:cs="Times New Roman" w:hint="default"/>
        <w:b/>
        <w:i w:val="0"/>
        <w:sz w:val="28"/>
        <w:szCs w:val="28"/>
      </w:rPr>
    </w:lvl>
    <w:lvl w:ilvl="1">
      <w:start w:val="1"/>
      <w:numFmt w:val="decimal"/>
      <w:pStyle w:val="Heading2loha"/>
      <w:lvlText w:val="%1.%2."/>
      <w:lvlJc w:val="left"/>
      <w:pPr>
        <w:tabs>
          <w:tab w:val="num" w:pos="1418"/>
        </w:tabs>
        <w:ind w:left="1418" w:hanging="851"/>
      </w:pPr>
      <w:rPr>
        <w:rFonts w:ascii="Times New Roman" w:hAnsi="Times New Roman" w:cs="Times New Roman" w:hint="default"/>
        <w:b/>
        <w:i w:val="0"/>
        <w:sz w:val="24"/>
        <w:szCs w:val="24"/>
      </w:rPr>
    </w:lvl>
    <w:lvl w:ilvl="2">
      <w:start w:val="1"/>
      <w:numFmt w:val="none"/>
      <w:lvlRestart w:val="0"/>
      <w:lvlText w:val=""/>
      <w:lvlJc w:val="left"/>
      <w:pPr>
        <w:tabs>
          <w:tab w:val="num" w:pos="1418"/>
        </w:tabs>
        <w:ind w:left="1418" w:hanging="851"/>
      </w:pPr>
      <w:rPr>
        <w:rFonts w:ascii="Times New Roman" w:hAnsi="Times New Roman" w:cs="Times New Roman" w:hint="default"/>
        <w:b w:val="0"/>
        <w:i w:val="0"/>
        <w:sz w:val="24"/>
        <w:szCs w:val="24"/>
      </w:rPr>
    </w:lvl>
    <w:lvl w:ilvl="3">
      <w:start w:val="1"/>
      <w:numFmt w:val="none"/>
      <w:lvlText w:val="%4"/>
      <w:lvlJc w:val="left"/>
      <w:pPr>
        <w:tabs>
          <w:tab w:val="num" w:pos="1418"/>
        </w:tabs>
        <w:ind w:left="1418" w:hanging="1418"/>
      </w:pPr>
      <w:rPr>
        <w:rFonts w:ascii="Times New Roman" w:hAnsi="Times New Roman" w:cs="Times New Roman" w:hint="default"/>
        <w:b w:val="0"/>
        <w:i/>
        <w:sz w:val="24"/>
        <w:szCs w:val="24"/>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15:restartNumberingAfterBreak="0">
    <w:nsid w:val="1B925D5A"/>
    <w:multiLevelType w:val="hybridMultilevel"/>
    <w:tmpl w:val="5114DA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712312B"/>
    <w:multiLevelType w:val="hybridMultilevel"/>
    <w:tmpl w:val="09EAD5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CCB16EE"/>
    <w:multiLevelType w:val="hybridMultilevel"/>
    <w:tmpl w:val="344EFCF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178093D"/>
    <w:multiLevelType w:val="hybridMultilevel"/>
    <w:tmpl w:val="FFB436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7DC1E02"/>
    <w:multiLevelType w:val="hybridMultilevel"/>
    <w:tmpl w:val="8F1CB6D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1" w15:restartNumberingAfterBreak="0">
    <w:nsid w:val="7E850BC1"/>
    <w:multiLevelType w:val="hybridMultilevel"/>
    <w:tmpl w:val="49CEE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10"/>
  </w:num>
  <w:num w:numId="5">
    <w:abstractNumId w:val="9"/>
  </w:num>
  <w:num w:numId="6">
    <w:abstractNumId w:val="5"/>
  </w:num>
  <w:num w:numId="7">
    <w:abstractNumId w:val="3"/>
  </w:num>
  <w:num w:numId="8">
    <w:abstractNumId w:val="7"/>
  </w:num>
  <w:num w:numId="9">
    <w:abstractNumId w:val="2"/>
  </w:num>
  <w:num w:numId="10">
    <w:abstractNumId w:val="8"/>
  </w:num>
  <w:num w:numId="11">
    <w:abstractNumId w:val="0"/>
  </w:num>
  <w:num w:numId="1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16E"/>
    <w:rsid w:val="000002CF"/>
    <w:rsid w:val="00037616"/>
    <w:rsid w:val="00075A67"/>
    <w:rsid w:val="001C110C"/>
    <w:rsid w:val="001C1585"/>
    <w:rsid w:val="001D0BF7"/>
    <w:rsid w:val="0024416E"/>
    <w:rsid w:val="0027276B"/>
    <w:rsid w:val="00353128"/>
    <w:rsid w:val="0046234E"/>
    <w:rsid w:val="004A39BC"/>
    <w:rsid w:val="00567FB9"/>
    <w:rsid w:val="005802FD"/>
    <w:rsid w:val="005D4D49"/>
    <w:rsid w:val="005F40CE"/>
    <w:rsid w:val="00626DDB"/>
    <w:rsid w:val="00690E45"/>
    <w:rsid w:val="006C2DBC"/>
    <w:rsid w:val="00797197"/>
    <w:rsid w:val="007A3F70"/>
    <w:rsid w:val="007B11CD"/>
    <w:rsid w:val="007C110E"/>
    <w:rsid w:val="00885CEA"/>
    <w:rsid w:val="008978D6"/>
    <w:rsid w:val="008D4D66"/>
    <w:rsid w:val="00923EDB"/>
    <w:rsid w:val="00931A63"/>
    <w:rsid w:val="00993D00"/>
    <w:rsid w:val="00A65960"/>
    <w:rsid w:val="00A96B9B"/>
    <w:rsid w:val="00BB4849"/>
    <w:rsid w:val="00BC53EA"/>
    <w:rsid w:val="00BC5DE3"/>
    <w:rsid w:val="00C675CC"/>
    <w:rsid w:val="00DB4347"/>
    <w:rsid w:val="00E53ACE"/>
    <w:rsid w:val="00F114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82D5D6-7BCB-4548-BFA2-A866E37E6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4416E"/>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uiPriority w:val="9"/>
    <w:qFormat/>
    <w:rsid w:val="0024416E"/>
    <w:pPr>
      <w:keepNext/>
      <w:outlineLvl w:val="0"/>
    </w:pPr>
    <w:rPr>
      <w:sz w:val="24"/>
    </w:rPr>
  </w:style>
  <w:style w:type="paragraph" w:styleId="Nadpis2">
    <w:name w:val="heading 2"/>
    <w:basedOn w:val="Normlny"/>
    <w:next w:val="Normlny"/>
    <w:link w:val="Nadpis2Char"/>
    <w:uiPriority w:val="9"/>
    <w:qFormat/>
    <w:rsid w:val="0024416E"/>
    <w:pPr>
      <w:keepNext/>
      <w:jc w:val="center"/>
      <w:outlineLvl w:val="1"/>
    </w:pPr>
    <w:rPr>
      <w:sz w:val="24"/>
    </w:rPr>
  </w:style>
  <w:style w:type="paragraph" w:styleId="Nadpis3">
    <w:name w:val="heading 3"/>
    <w:basedOn w:val="Normlny"/>
    <w:next w:val="Normlny"/>
    <w:link w:val="Nadpis3Char"/>
    <w:uiPriority w:val="9"/>
    <w:unhideWhenUsed/>
    <w:qFormat/>
    <w:rsid w:val="0024416E"/>
    <w:pPr>
      <w:keepNext/>
      <w:spacing w:before="240" w:after="60"/>
      <w:outlineLvl w:val="2"/>
    </w:pPr>
    <w:rPr>
      <w:rFonts w:ascii="Calibri Light" w:hAnsi="Calibri Light"/>
      <w:b/>
      <w:bCs/>
      <w:sz w:val="26"/>
      <w:szCs w:val="26"/>
    </w:rPr>
  </w:style>
  <w:style w:type="paragraph" w:styleId="Nadpis4">
    <w:name w:val="heading 4"/>
    <w:basedOn w:val="Normlny"/>
    <w:next w:val="Normlny"/>
    <w:link w:val="Nadpis4Char"/>
    <w:uiPriority w:val="9"/>
    <w:unhideWhenUsed/>
    <w:qFormat/>
    <w:rsid w:val="0024416E"/>
    <w:pPr>
      <w:keepNext/>
      <w:spacing w:before="240" w:after="60"/>
      <w:outlineLvl w:val="3"/>
    </w:pPr>
    <w:rPr>
      <w:rFonts w:ascii="Calibri" w:hAnsi="Calibri"/>
      <w:b/>
      <w:bCs/>
      <w:sz w:val="28"/>
      <w:szCs w:val="28"/>
    </w:rPr>
  </w:style>
  <w:style w:type="paragraph" w:styleId="Nadpis7">
    <w:name w:val="heading 7"/>
    <w:basedOn w:val="Normlny"/>
    <w:next w:val="Normlny"/>
    <w:link w:val="Nadpis7Char"/>
    <w:uiPriority w:val="9"/>
    <w:qFormat/>
    <w:rsid w:val="0024416E"/>
    <w:pPr>
      <w:keepNext/>
      <w:ind w:firstLine="11"/>
      <w:outlineLvl w:val="6"/>
    </w:pPr>
    <w:rPr>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4416E"/>
    <w:rPr>
      <w:rFonts w:ascii="Times New Roman" w:eastAsia="Times New Roman" w:hAnsi="Times New Roman" w:cs="Times New Roman"/>
      <w:sz w:val="24"/>
      <w:szCs w:val="20"/>
      <w:lang w:eastAsia="sk-SK"/>
    </w:rPr>
  </w:style>
  <w:style w:type="character" w:customStyle="1" w:styleId="Nadpis2Char">
    <w:name w:val="Nadpis 2 Char"/>
    <w:basedOn w:val="Predvolenpsmoodseku"/>
    <w:link w:val="Nadpis2"/>
    <w:uiPriority w:val="9"/>
    <w:rsid w:val="0024416E"/>
    <w:rPr>
      <w:rFonts w:ascii="Times New Roman" w:eastAsia="Times New Roman" w:hAnsi="Times New Roman" w:cs="Times New Roman"/>
      <w:sz w:val="24"/>
      <w:szCs w:val="20"/>
      <w:lang w:eastAsia="sk-SK"/>
    </w:rPr>
  </w:style>
  <w:style w:type="character" w:customStyle="1" w:styleId="Nadpis3Char">
    <w:name w:val="Nadpis 3 Char"/>
    <w:basedOn w:val="Predvolenpsmoodseku"/>
    <w:link w:val="Nadpis3"/>
    <w:uiPriority w:val="9"/>
    <w:rsid w:val="0024416E"/>
    <w:rPr>
      <w:rFonts w:ascii="Calibri Light" w:eastAsia="Times New Roman" w:hAnsi="Calibri Light" w:cs="Times New Roman"/>
      <w:b/>
      <w:bCs/>
      <w:sz w:val="26"/>
      <w:szCs w:val="26"/>
      <w:lang w:eastAsia="sk-SK"/>
    </w:rPr>
  </w:style>
  <w:style w:type="character" w:customStyle="1" w:styleId="Nadpis4Char">
    <w:name w:val="Nadpis 4 Char"/>
    <w:basedOn w:val="Predvolenpsmoodseku"/>
    <w:link w:val="Nadpis4"/>
    <w:uiPriority w:val="9"/>
    <w:rsid w:val="0024416E"/>
    <w:rPr>
      <w:rFonts w:ascii="Calibri" w:eastAsia="Times New Roman" w:hAnsi="Calibri" w:cs="Times New Roman"/>
      <w:b/>
      <w:bCs/>
      <w:sz w:val="28"/>
      <w:szCs w:val="28"/>
      <w:lang w:eastAsia="sk-SK"/>
    </w:rPr>
  </w:style>
  <w:style w:type="character" w:customStyle="1" w:styleId="Nadpis7Char">
    <w:name w:val="Nadpis 7 Char"/>
    <w:basedOn w:val="Predvolenpsmoodseku"/>
    <w:link w:val="Nadpis7"/>
    <w:uiPriority w:val="9"/>
    <w:rsid w:val="0024416E"/>
    <w:rPr>
      <w:rFonts w:ascii="Times New Roman" w:eastAsia="Times New Roman" w:hAnsi="Times New Roman" w:cs="Times New Roman"/>
      <w:sz w:val="24"/>
      <w:szCs w:val="20"/>
      <w:lang w:eastAsia="sk-SK"/>
    </w:rPr>
  </w:style>
  <w:style w:type="paragraph" w:styleId="Nzov">
    <w:name w:val="Title"/>
    <w:basedOn w:val="Normlny"/>
    <w:link w:val="NzovChar"/>
    <w:uiPriority w:val="10"/>
    <w:qFormat/>
    <w:rsid w:val="0024416E"/>
    <w:pPr>
      <w:jc w:val="center"/>
    </w:pPr>
    <w:rPr>
      <w:sz w:val="28"/>
    </w:rPr>
  </w:style>
  <w:style w:type="character" w:customStyle="1" w:styleId="NzovChar">
    <w:name w:val="Názov Char"/>
    <w:basedOn w:val="Predvolenpsmoodseku"/>
    <w:link w:val="Nzov"/>
    <w:uiPriority w:val="10"/>
    <w:rsid w:val="0024416E"/>
    <w:rPr>
      <w:rFonts w:ascii="Times New Roman" w:eastAsia="Times New Roman" w:hAnsi="Times New Roman" w:cs="Times New Roman"/>
      <w:sz w:val="28"/>
      <w:szCs w:val="20"/>
      <w:lang w:eastAsia="sk-SK"/>
    </w:rPr>
  </w:style>
  <w:style w:type="paragraph" w:styleId="Zkladntext">
    <w:name w:val="Body Text"/>
    <w:basedOn w:val="Normlny"/>
    <w:link w:val="ZkladntextChar"/>
    <w:rsid w:val="0024416E"/>
    <w:rPr>
      <w:b/>
      <w:sz w:val="24"/>
    </w:rPr>
  </w:style>
  <w:style w:type="character" w:customStyle="1" w:styleId="ZkladntextChar">
    <w:name w:val="Základný text Char"/>
    <w:basedOn w:val="Predvolenpsmoodseku"/>
    <w:link w:val="Zkladntext"/>
    <w:rsid w:val="0024416E"/>
    <w:rPr>
      <w:rFonts w:ascii="Times New Roman" w:eastAsia="Times New Roman" w:hAnsi="Times New Roman" w:cs="Times New Roman"/>
      <w:b/>
      <w:sz w:val="24"/>
      <w:szCs w:val="20"/>
      <w:lang w:eastAsia="sk-SK"/>
    </w:rPr>
  </w:style>
  <w:style w:type="paragraph" w:styleId="Zkladntext2">
    <w:name w:val="Body Text 2"/>
    <w:basedOn w:val="Normlny"/>
    <w:link w:val="Zkladntext2Char"/>
    <w:semiHidden/>
    <w:rsid w:val="0024416E"/>
    <w:rPr>
      <w:sz w:val="24"/>
    </w:rPr>
  </w:style>
  <w:style w:type="character" w:customStyle="1" w:styleId="Zkladntext2Char">
    <w:name w:val="Základný text 2 Char"/>
    <w:basedOn w:val="Predvolenpsmoodseku"/>
    <w:link w:val="Zkladntext2"/>
    <w:semiHidden/>
    <w:rsid w:val="0024416E"/>
    <w:rPr>
      <w:rFonts w:ascii="Times New Roman" w:eastAsia="Times New Roman" w:hAnsi="Times New Roman" w:cs="Times New Roman"/>
      <w:sz w:val="24"/>
      <w:szCs w:val="20"/>
      <w:lang w:eastAsia="sk-SK"/>
    </w:rPr>
  </w:style>
  <w:style w:type="numbering" w:customStyle="1" w:styleId="Bezzoznamu1">
    <w:name w:val="Bez zoznamu1"/>
    <w:next w:val="Bezzoznamu"/>
    <w:uiPriority w:val="99"/>
    <w:semiHidden/>
    <w:unhideWhenUsed/>
    <w:rsid w:val="0024416E"/>
  </w:style>
  <w:style w:type="paragraph" w:styleId="Odsekzoznamu">
    <w:name w:val="List Paragraph"/>
    <w:basedOn w:val="Normlny"/>
    <w:uiPriority w:val="34"/>
    <w:qFormat/>
    <w:rsid w:val="0024416E"/>
    <w:pPr>
      <w:spacing w:after="200" w:line="276" w:lineRule="auto"/>
      <w:ind w:left="720"/>
      <w:contextualSpacing/>
    </w:pPr>
    <w:rPr>
      <w:rFonts w:ascii="Calibri" w:eastAsia="Calibri" w:hAnsi="Calibri"/>
      <w:sz w:val="22"/>
      <w:szCs w:val="22"/>
      <w:lang w:eastAsia="en-US"/>
    </w:rPr>
  </w:style>
  <w:style w:type="table" w:styleId="Mriekatabuky">
    <w:name w:val="Table Grid"/>
    <w:basedOn w:val="Normlnatabuka"/>
    <w:uiPriority w:val="59"/>
    <w:rsid w:val="0024416E"/>
    <w:pPr>
      <w:widowControl w:val="0"/>
      <w:spacing w:after="0" w:line="36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24416E"/>
    <w:pPr>
      <w:spacing w:after="200" w:line="276" w:lineRule="auto"/>
      <w:ind w:left="720"/>
      <w:contextualSpacing/>
    </w:pPr>
    <w:rPr>
      <w:rFonts w:ascii="Calibri" w:hAnsi="Calibri"/>
      <w:sz w:val="22"/>
      <w:szCs w:val="22"/>
      <w:lang w:eastAsia="en-US"/>
    </w:rPr>
  </w:style>
  <w:style w:type="paragraph" w:styleId="Textbubliny">
    <w:name w:val="Balloon Text"/>
    <w:basedOn w:val="Normlny"/>
    <w:link w:val="TextbublinyChar"/>
    <w:uiPriority w:val="99"/>
    <w:semiHidden/>
    <w:unhideWhenUsed/>
    <w:rsid w:val="0024416E"/>
    <w:rPr>
      <w:rFonts w:ascii="Tahoma" w:eastAsia="Calibri" w:hAnsi="Tahoma" w:cs="Tahoma"/>
      <w:sz w:val="16"/>
      <w:szCs w:val="16"/>
      <w:lang w:eastAsia="en-US"/>
    </w:rPr>
  </w:style>
  <w:style w:type="character" w:customStyle="1" w:styleId="TextbublinyChar">
    <w:name w:val="Text bubliny Char"/>
    <w:basedOn w:val="Predvolenpsmoodseku"/>
    <w:link w:val="Textbubliny"/>
    <w:uiPriority w:val="99"/>
    <w:semiHidden/>
    <w:rsid w:val="0024416E"/>
    <w:rPr>
      <w:rFonts w:ascii="Tahoma" w:eastAsia="Calibri" w:hAnsi="Tahoma" w:cs="Tahoma"/>
      <w:sz w:val="16"/>
      <w:szCs w:val="16"/>
    </w:rPr>
  </w:style>
  <w:style w:type="character" w:styleId="Odkaznakomentr">
    <w:name w:val="annotation reference"/>
    <w:uiPriority w:val="99"/>
    <w:semiHidden/>
    <w:unhideWhenUsed/>
    <w:rsid w:val="0024416E"/>
    <w:rPr>
      <w:sz w:val="16"/>
      <w:szCs w:val="16"/>
    </w:rPr>
  </w:style>
  <w:style w:type="paragraph" w:styleId="Textkomentra">
    <w:name w:val="annotation text"/>
    <w:basedOn w:val="Normlny"/>
    <w:link w:val="TextkomentraChar"/>
    <w:uiPriority w:val="99"/>
    <w:unhideWhenUsed/>
    <w:rsid w:val="0024416E"/>
    <w:pPr>
      <w:spacing w:after="200"/>
    </w:pPr>
    <w:rPr>
      <w:rFonts w:ascii="Calibri" w:eastAsia="Calibri" w:hAnsi="Calibri"/>
      <w:lang w:eastAsia="en-US"/>
    </w:rPr>
  </w:style>
  <w:style w:type="character" w:customStyle="1" w:styleId="TextkomentraChar">
    <w:name w:val="Text komentára Char"/>
    <w:basedOn w:val="Predvolenpsmoodseku"/>
    <w:link w:val="Textkomentra"/>
    <w:uiPriority w:val="99"/>
    <w:rsid w:val="0024416E"/>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24416E"/>
    <w:rPr>
      <w:b/>
      <w:bCs/>
    </w:rPr>
  </w:style>
  <w:style w:type="character" w:customStyle="1" w:styleId="PredmetkomentraChar">
    <w:name w:val="Predmet komentára Char"/>
    <w:basedOn w:val="TextkomentraChar"/>
    <w:link w:val="Predmetkomentra"/>
    <w:uiPriority w:val="99"/>
    <w:semiHidden/>
    <w:rsid w:val="0024416E"/>
    <w:rPr>
      <w:rFonts w:ascii="Calibri" w:eastAsia="Calibri" w:hAnsi="Calibri" w:cs="Times New Roman"/>
      <w:b/>
      <w:bCs/>
      <w:sz w:val="20"/>
      <w:szCs w:val="20"/>
    </w:rPr>
  </w:style>
  <w:style w:type="paragraph" w:styleId="Hlavika">
    <w:name w:val="header"/>
    <w:basedOn w:val="Normlny"/>
    <w:link w:val="HlavikaChar"/>
    <w:uiPriority w:val="99"/>
    <w:unhideWhenUsed/>
    <w:rsid w:val="0024416E"/>
    <w:pPr>
      <w:tabs>
        <w:tab w:val="center" w:pos="4536"/>
        <w:tab w:val="right" w:pos="9072"/>
      </w:tabs>
    </w:pPr>
    <w:rPr>
      <w:rFonts w:ascii="Calibri" w:eastAsia="Calibri" w:hAnsi="Calibri"/>
      <w:sz w:val="22"/>
      <w:szCs w:val="22"/>
      <w:lang w:eastAsia="en-US"/>
    </w:rPr>
  </w:style>
  <w:style w:type="character" w:customStyle="1" w:styleId="HlavikaChar">
    <w:name w:val="Hlavička Char"/>
    <w:basedOn w:val="Predvolenpsmoodseku"/>
    <w:link w:val="Hlavika"/>
    <w:uiPriority w:val="99"/>
    <w:rsid w:val="0024416E"/>
    <w:rPr>
      <w:rFonts w:ascii="Calibri" w:eastAsia="Calibri" w:hAnsi="Calibri" w:cs="Times New Roman"/>
    </w:rPr>
  </w:style>
  <w:style w:type="paragraph" w:styleId="Pta">
    <w:name w:val="footer"/>
    <w:basedOn w:val="Normlny"/>
    <w:link w:val="PtaChar"/>
    <w:uiPriority w:val="99"/>
    <w:unhideWhenUsed/>
    <w:rsid w:val="0024416E"/>
    <w:pPr>
      <w:tabs>
        <w:tab w:val="center" w:pos="4536"/>
        <w:tab w:val="right" w:pos="9072"/>
      </w:tabs>
    </w:pPr>
    <w:rPr>
      <w:rFonts w:ascii="Calibri" w:eastAsia="Calibri" w:hAnsi="Calibri"/>
      <w:sz w:val="22"/>
      <w:szCs w:val="22"/>
      <w:lang w:eastAsia="en-US"/>
    </w:rPr>
  </w:style>
  <w:style w:type="character" w:customStyle="1" w:styleId="PtaChar">
    <w:name w:val="Päta Char"/>
    <w:basedOn w:val="Predvolenpsmoodseku"/>
    <w:link w:val="Pta"/>
    <w:uiPriority w:val="99"/>
    <w:rsid w:val="0024416E"/>
    <w:rPr>
      <w:rFonts w:ascii="Calibri" w:eastAsia="Calibri" w:hAnsi="Calibri" w:cs="Times New Roman"/>
    </w:rPr>
  </w:style>
  <w:style w:type="paragraph" w:styleId="Revzia">
    <w:name w:val="Revision"/>
    <w:hidden/>
    <w:uiPriority w:val="99"/>
    <w:semiHidden/>
    <w:rsid w:val="0024416E"/>
    <w:pPr>
      <w:spacing w:after="0" w:line="240" w:lineRule="auto"/>
    </w:pPr>
    <w:rPr>
      <w:rFonts w:ascii="Calibri" w:eastAsia="Calibri" w:hAnsi="Calibri" w:cs="Times New Roman"/>
    </w:rPr>
  </w:style>
  <w:style w:type="paragraph" w:customStyle="1" w:styleId="Default">
    <w:name w:val="Default"/>
    <w:basedOn w:val="Normlny"/>
    <w:rsid w:val="0024416E"/>
    <w:pPr>
      <w:autoSpaceDE w:val="0"/>
      <w:autoSpaceDN w:val="0"/>
    </w:pPr>
    <w:rPr>
      <w:rFonts w:ascii="EUAlbertina" w:hAnsi="EUAlbertina"/>
      <w:color w:val="000000"/>
      <w:sz w:val="24"/>
      <w:szCs w:val="24"/>
    </w:rPr>
  </w:style>
  <w:style w:type="paragraph" w:customStyle="1" w:styleId="Titreobjet">
    <w:name w:val="Titre objet"/>
    <w:basedOn w:val="Normlny"/>
    <w:next w:val="Normlny"/>
    <w:rsid w:val="0024416E"/>
    <w:pPr>
      <w:spacing w:before="360" w:after="360"/>
      <w:jc w:val="center"/>
    </w:pPr>
    <w:rPr>
      <w:b/>
      <w:sz w:val="24"/>
      <w:szCs w:val="22"/>
      <w:lang w:eastAsia="en-GB"/>
    </w:rPr>
  </w:style>
  <w:style w:type="paragraph" w:customStyle="1" w:styleId="Datedadoption">
    <w:name w:val="Date d'adoption"/>
    <w:basedOn w:val="Normlny"/>
    <w:next w:val="Titreobjet"/>
    <w:rsid w:val="0024416E"/>
    <w:pPr>
      <w:spacing w:before="360"/>
      <w:jc w:val="center"/>
    </w:pPr>
    <w:rPr>
      <w:b/>
      <w:sz w:val="24"/>
      <w:szCs w:val="22"/>
      <w:lang w:eastAsia="en-GB"/>
    </w:rPr>
  </w:style>
  <w:style w:type="paragraph" w:customStyle="1" w:styleId="Typedudocument">
    <w:name w:val="Type du document"/>
    <w:basedOn w:val="Normlny"/>
    <w:next w:val="Titreobjet"/>
    <w:rsid w:val="0024416E"/>
    <w:pPr>
      <w:spacing w:before="360"/>
      <w:jc w:val="center"/>
    </w:pPr>
    <w:rPr>
      <w:b/>
      <w:sz w:val="24"/>
      <w:szCs w:val="22"/>
      <w:lang w:eastAsia="en-GB"/>
    </w:rPr>
  </w:style>
  <w:style w:type="character" w:customStyle="1" w:styleId="Marker2">
    <w:name w:val="Marker2"/>
    <w:rsid w:val="0024416E"/>
    <w:rPr>
      <w:color w:val="FF0000"/>
    </w:rPr>
  </w:style>
  <w:style w:type="paragraph" w:styleId="Textpoznmkypodiarou">
    <w:name w:val="footnote text"/>
    <w:aliases w:val="Footnote Text Char,Znak"/>
    <w:basedOn w:val="Normlny"/>
    <w:link w:val="TextpoznmkypodiarouChar"/>
    <w:uiPriority w:val="99"/>
    <w:unhideWhenUsed/>
    <w:rsid w:val="0024416E"/>
    <w:rPr>
      <w:rFonts w:ascii="Calibri" w:eastAsia="Calibri" w:hAnsi="Calibri"/>
      <w:lang w:eastAsia="en-US"/>
    </w:rPr>
  </w:style>
  <w:style w:type="character" w:customStyle="1" w:styleId="TextpoznmkypodiarouChar">
    <w:name w:val="Text poznámky pod čiarou Char"/>
    <w:aliases w:val="Footnote Text Char Char,Znak Char"/>
    <w:basedOn w:val="Predvolenpsmoodseku"/>
    <w:link w:val="Textpoznmkypodiarou"/>
    <w:uiPriority w:val="99"/>
    <w:rsid w:val="0024416E"/>
    <w:rPr>
      <w:rFonts w:ascii="Calibri" w:eastAsia="Calibri" w:hAnsi="Calibri" w:cs="Times New Roman"/>
      <w:sz w:val="20"/>
      <w:szCs w:val="20"/>
    </w:rPr>
  </w:style>
  <w:style w:type="character" w:styleId="Odkaznapoznmkupodiarou">
    <w:name w:val="footnote reference"/>
    <w:aliases w:val="BVI fnr,(Footnote Reference),Footnote symbol,Footnotes refss,Footnote Reference Superscript,SUPERS,Footnote,Footnote reference number,note TESI,EN Footnote Reference,Voetnootverwijzing,Times 10 Point,Exposant 3 Point,number"/>
    <w:uiPriority w:val="99"/>
    <w:unhideWhenUsed/>
    <w:rsid w:val="0024416E"/>
    <w:rPr>
      <w:vertAlign w:val="superscript"/>
    </w:rPr>
  </w:style>
  <w:style w:type="paragraph" w:customStyle="1" w:styleId="CM1">
    <w:name w:val="CM1"/>
    <w:basedOn w:val="Default"/>
    <w:next w:val="Default"/>
    <w:uiPriority w:val="99"/>
    <w:rsid w:val="0024416E"/>
    <w:pPr>
      <w:adjustRightInd w:val="0"/>
    </w:pPr>
    <w:rPr>
      <w:rFonts w:eastAsia="Calibri"/>
      <w:color w:val="auto"/>
      <w:lang w:eastAsia="en-US"/>
    </w:rPr>
  </w:style>
  <w:style w:type="paragraph" w:customStyle="1" w:styleId="CM3">
    <w:name w:val="CM3"/>
    <w:basedOn w:val="Default"/>
    <w:next w:val="Default"/>
    <w:uiPriority w:val="99"/>
    <w:rsid w:val="0024416E"/>
    <w:pPr>
      <w:adjustRightInd w:val="0"/>
    </w:pPr>
    <w:rPr>
      <w:rFonts w:eastAsia="Calibri"/>
      <w:color w:val="auto"/>
      <w:lang w:eastAsia="en-US"/>
    </w:rPr>
  </w:style>
  <w:style w:type="numbering" w:customStyle="1" w:styleId="Bezzoznamu2">
    <w:name w:val="Bez zoznamu2"/>
    <w:next w:val="Bezzoznamu"/>
    <w:uiPriority w:val="99"/>
    <w:semiHidden/>
    <w:unhideWhenUsed/>
    <w:rsid w:val="0024416E"/>
  </w:style>
  <w:style w:type="numbering" w:customStyle="1" w:styleId="Bezzoznamu3">
    <w:name w:val="Bez zoznamu3"/>
    <w:next w:val="Bezzoznamu"/>
    <w:uiPriority w:val="99"/>
    <w:semiHidden/>
    <w:unhideWhenUsed/>
    <w:rsid w:val="0024416E"/>
  </w:style>
  <w:style w:type="table" w:customStyle="1" w:styleId="Mriekatabuky1">
    <w:name w:val="Mriežka tabuľky1"/>
    <w:basedOn w:val="Normlnatabuka"/>
    <w:next w:val="Mriekatabuky"/>
    <w:uiPriority w:val="59"/>
    <w:rsid w:val="0024416E"/>
    <w:pPr>
      <w:widowControl w:val="0"/>
      <w:spacing w:after="0" w:line="36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uiPriority w:val="99"/>
    <w:rsid w:val="0024416E"/>
  </w:style>
  <w:style w:type="paragraph" w:styleId="Normlnywebov">
    <w:name w:val="Normal (Web)"/>
    <w:basedOn w:val="Normlny"/>
    <w:uiPriority w:val="99"/>
    <w:unhideWhenUsed/>
    <w:rsid w:val="0024416E"/>
    <w:pPr>
      <w:spacing w:before="100" w:beforeAutospacing="1" w:after="100" w:afterAutospacing="1"/>
    </w:pPr>
    <w:rPr>
      <w:sz w:val="24"/>
      <w:szCs w:val="24"/>
    </w:rPr>
  </w:style>
  <w:style w:type="paragraph" w:customStyle="1" w:styleId="Heading1orobas">
    <w:name w:val="Heading 1.Čo robí (časť)"/>
    <w:basedOn w:val="Normlny"/>
    <w:next w:val="Normlny"/>
    <w:rsid w:val="0024416E"/>
    <w:pPr>
      <w:keepNext/>
      <w:numPr>
        <w:numId w:val="1"/>
      </w:numPr>
      <w:spacing w:before="360"/>
    </w:pPr>
    <w:rPr>
      <w:b/>
      <w:bCs/>
      <w:kern w:val="32"/>
      <w:sz w:val="28"/>
      <w:szCs w:val="28"/>
      <w:lang w:eastAsia="en-US"/>
    </w:rPr>
  </w:style>
  <w:style w:type="paragraph" w:customStyle="1" w:styleId="Heading2loha">
    <w:name w:val="Heading 2.Úloha"/>
    <w:basedOn w:val="Normlny"/>
    <w:rsid w:val="0024416E"/>
    <w:pPr>
      <w:numPr>
        <w:ilvl w:val="1"/>
        <w:numId w:val="1"/>
      </w:numPr>
      <w:spacing w:before="120"/>
      <w:jc w:val="both"/>
    </w:pPr>
    <w:rPr>
      <w:sz w:val="24"/>
      <w:szCs w:val="24"/>
      <w:lang w:eastAsia="en-US"/>
    </w:rPr>
  </w:style>
  <w:style w:type="paragraph" w:customStyle="1" w:styleId="Vykonaj">
    <w:name w:val="Vykonajú"/>
    <w:basedOn w:val="Normlny"/>
    <w:next w:val="Vykonajzoznam"/>
    <w:rsid w:val="0024416E"/>
    <w:pPr>
      <w:keepNext/>
      <w:spacing w:before="360"/>
    </w:pPr>
    <w:rPr>
      <w:b/>
      <w:bCs/>
      <w:sz w:val="24"/>
      <w:szCs w:val="24"/>
      <w:lang w:eastAsia="en-US"/>
    </w:rPr>
  </w:style>
  <w:style w:type="paragraph" w:customStyle="1" w:styleId="Vykonajzoznam">
    <w:name w:val="Vykonajú_zoznam"/>
    <w:basedOn w:val="Normlny"/>
    <w:rsid w:val="0024416E"/>
    <w:pPr>
      <w:ind w:left="1418"/>
    </w:pPr>
    <w:rPr>
      <w:sz w:val="24"/>
      <w:szCs w:val="24"/>
      <w:lang w:eastAsia="en-US"/>
    </w:rPr>
  </w:style>
  <w:style w:type="character" w:styleId="Hypertextovprepojenie">
    <w:name w:val="Hyperlink"/>
    <w:uiPriority w:val="99"/>
    <w:unhideWhenUsed/>
    <w:rsid w:val="0024416E"/>
    <w:rPr>
      <w:color w:val="0000FF"/>
      <w:u w:val="single"/>
    </w:rPr>
  </w:style>
  <w:style w:type="paragraph" w:styleId="Obsah1">
    <w:name w:val="toc 1"/>
    <w:basedOn w:val="Normlny"/>
    <w:next w:val="Normlny"/>
    <w:autoRedefine/>
    <w:uiPriority w:val="39"/>
    <w:unhideWhenUsed/>
    <w:rsid w:val="0024416E"/>
    <w:pPr>
      <w:spacing w:after="100" w:line="276" w:lineRule="auto"/>
    </w:pPr>
    <w:rPr>
      <w:rFonts w:ascii="Calibri" w:eastAsia="Calibri" w:hAnsi="Calibri"/>
      <w:sz w:val="22"/>
      <w:szCs w:val="22"/>
      <w:lang w:eastAsia="en-US"/>
    </w:rPr>
  </w:style>
  <w:style w:type="paragraph" w:styleId="Obsah2">
    <w:name w:val="toc 2"/>
    <w:basedOn w:val="Normlny"/>
    <w:next w:val="Normlny"/>
    <w:autoRedefine/>
    <w:uiPriority w:val="39"/>
    <w:unhideWhenUsed/>
    <w:rsid w:val="0024416E"/>
    <w:pPr>
      <w:spacing w:after="100" w:line="276" w:lineRule="auto"/>
      <w:ind w:left="220"/>
    </w:pPr>
    <w:rPr>
      <w:rFonts w:ascii="Calibri" w:eastAsia="Calibri" w:hAnsi="Calibri"/>
      <w:sz w:val="22"/>
      <w:szCs w:val="22"/>
      <w:lang w:eastAsia="en-US"/>
    </w:rPr>
  </w:style>
  <w:style w:type="paragraph" w:styleId="Obsah3">
    <w:name w:val="toc 3"/>
    <w:basedOn w:val="Normlny"/>
    <w:next w:val="Normlny"/>
    <w:autoRedefine/>
    <w:uiPriority w:val="39"/>
    <w:unhideWhenUsed/>
    <w:rsid w:val="0024416E"/>
    <w:pPr>
      <w:spacing w:after="100" w:line="276" w:lineRule="auto"/>
      <w:ind w:left="440"/>
    </w:pPr>
    <w:rPr>
      <w:rFonts w:ascii="Calibri" w:eastAsia="Calibri" w:hAnsi="Calibri"/>
      <w:sz w:val="22"/>
      <w:szCs w:val="22"/>
      <w:lang w:eastAsia="en-US"/>
    </w:rPr>
  </w:style>
  <w:style w:type="paragraph" w:styleId="Obsah4">
    <w:name w:val="toc 4"/>
    <w:basedOn w:val="Normlny"/>
    <w:next w:val="Normlny"/>
    <w:autoRedefine/>
    <w:uiPriority w:val="39"/>
    <w:unhideWhenUsed/>
    <w:rsid w:val="0024416E"/>
    <w:pPr>
      <w:spacing w:after="100" w:line="259" w:lineRule="auto"/>
      <w:ind w:left="660"/>
    </w:pPr>
    <w:rPr>
      <w:rFonts w:ascii="Calibri" w:eastAsia="Calibri" w:hAnsi="Calibri"/>
      <w:sz w:val="22"/>
      <w:szCs w:val="22"/>
      <w:lang w:eastAsia="en-US"/>
    </w:rPr>
  </w:style>
  <w:style w:type="table" w:customStyle="1" w:styleId="Mriekatabuky2">
    <w:name w:val="Mriežka tabuľky2"/>
    <w:basedOn w:val="Normlnatabuka"/>
    <w:next w:val="Mriekatabuky"/>
    <w:uiPriority w:val="59"/>
    <w:rsid w:val="002441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2441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51">
    <w:name w:val="Nadpis 51"/>
    <w:basedOn w:val="Normlny"/>
    <w:next w:val="Normlny"/>
    <w:uiPriority w:val="9"/>
    <w:semiHidden/>
    <w:unhideWhenUsed/>
    <w:qFormat/>
    <w:rsid w:val="0024416E"/>
    <w:pPr>
      <w:keepNext/>
      <w:keepLines/>
      <w:tabs>
        <w:tab w:val="num" w:pos="360"/>
      </w:tabs>
      <w:spacing w:before="200" w:line="259" w:lineRule="auto"/>
      <w:ind w:left="360" w:hanging="360"/>
      <w:outlineLvl w:val="4"/>
    </w:pPr>
    <w:rPr>
      <w:rFonts w:ascii="Calibri Light" w:hAnsi="Calibri Light"/>
      <w:color w:val="1F4D78"/>
      <w:sz w:val="22"/>
      <w:szCs w:val="22"/>
      <w:lang w:eastAsia="en-US"/>
    </w:rPr>
  </w:style>
  <w:style w:type="paragraph" w:customStyle="1" w:styleId="Nadpis61">
    <w:name w:val="Nadpis 61"/>
    <w:basedOn w:val="Normlny"/>
    <w:next w:val="Normlny"/>
    <w:uiPriority w:val="9"/>
    <w:semiHidden/>
    <w:unhideWhenUsed/>
    <w:qFormat/>
    <w:rsid w:val="0024416E"/>
    <w:pPr>
      <w:keepNext/>
      <w:keepLines/>
      <w:tabs>
        <w:tab w:val="num" w:pos="360"/>
      </w:tabs>
      <w:spacing w:before="200" w:line="259" w:lineRule="auto"/>
      <w:ind w:left="360" w:hanging="360"/>
      <w:outlineLvl w:val="5"/>
    </w:pPr>
    <w:rPr>
      <w:rFonts w:ascii="Calibri Light" w:hAnsi="Calibri Light"/>
      <w:i/>
      <w:iCs/>
      <w:color w:val="1F4D78"/>
      <w:sz w:val="22"/>
      <w:szCs w:val="22"/>
      <w:lang w:eastAsia="en-US"/>
    </w:rPr>
  </w:style>
  <w:style w:type="paragraph" w:customStyle="1" w:styleId="Nadpis81">
    <w:name w:val="Nadpis 81"/>
    <w:basedOn w:val="Normlny"/>
    <w:next w:val="Normlny"/>
    <w:uiPriority w:val="9"/>
    <w:semiHidden/>
    <w:unhideWhenUsed/>
    <w:qFormat/>
    <w:rsid w:val="0024416E"/>
    <w:pPr>
      <w:keepNext/>
      <w:keepLines/>
      <w:tabs>
        <w:tab w:val="num" w:pos="360"/>
      </w:tabs>
      <w:spacing w:before="200" w:line="259" w:lineRule="auto"/>
      <w:ind w:left="360" w:hanging="360"/>
      <w:outlineLvl w:val="7"/>
    </w:pPr>
    <w:rPr>
      <w:rFonts w:ascii="Calibri Light" w:hAnsi="Calibri Light"/>
      <w:color w:val="404040"/>
      <w:lang w:eastAsia="en-US"/>
    </w:rPr>
  </w:style>
  <w:style w:type="paragraph" w:customStyle="1" w:styleId="Nadpis91">
    <w:name w:val="Nadpis 91"/>
    <w:basedOn w:val="Normlny"/>
    <w:next w:val="Normlny"/>
    <w:uiPriority w:val="9"/>
    <w:semiHidden/>
    <w:unhideWhenUsed/>
    <w:qFormat/>
    <w:rsid w:val="0024416E"/>
    <w:pPr>
      <w:keepNext/>
      <w:keepLines/>
      <w:tabs>
        <w:tab w:val="num" w:pos="360"/>
      </w:tabs>
      <w:spacing w:before="200" w:line="259" w:lineRule="auto"/>
      <w:ind w:left="360" w:hanging="360"/>
      <w:outlineLvl w:val="8"/>
    </w:pPr>
    <w:rPr>
      <w:rFonts w:ascii="Calibri Light" w:hAnsi="Calibri Light"/>
      <w:i/>
      <w:iCs/>
      <w:color w:val="404040"/>
      <w:lang w:eastAsia="en-US"/>
    </w:rPr>
  </w:style>
  <w:style w:type="table" w:customStyle="1" w:styleId="Mriekatabuky4">
    <w:name w:val="Mriežka tabuľky4"/>
    <w:basedOn w:val="Normlnatabuka"/>
    <w:next w:val="Mriekatabuky"/>
    <w:uiPriority w:val="59"/>
    <w:rsid w:val="002441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next w:val="Mriekatabuky"/>
    <w:uiPriority w:val="59"/>
    <w:rsid w:val="002441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6">
    <w:name w:val="Mriežka tabuľky6"/>
    <w:basedOn w:val="Normlnatabuka"/>
    <w:next w:val="Mriekatabuky"/>
    <w:uiPriority w:val="59"/>
    <w:rsid w:val="002441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52">
    <w:name w:val="Nadpis 52"/>
    <w:basedOn w:val="Normlny"/>
    <w:next w:val="Normlny"/>
    <w:uiPriority w:val="9"/>
    <w:semiHidden/>
    <w:unhideWhenUsed/>
    <w:qFormat/>
    <w:rsid w:val="0024416E"/>
    <w:pPr>
      <w:keepNext/>
      <w:keepLines/>
      <w:tabs>
        <w:tab w:val="num" w:pos="360"/>
      </w:tabs>
      <w:spacing w:before="200" w:line="259" w:lineRule="auto"/>
      <w:ind w:left="360" w:hanging="360"/>
      <w:outlineLvl w:val="4"/>
    </w:pPr>
    <w:rPr>
      <w:rFonts w:ascii="Calibri Light" w:hAnsi="Calibri Light"/>
      <w:color w:val="1F4D78"/>
      <w:sz w:val="22"/>
      <w:szCs w:val="22"/>
      <w:lang w:eastAsia="en-US"/>
    </w:rPr>
  </w:style>
  <w:style w:type="paragraph" w:customStyle="1" w:styleId="Nadpis62">
    <w:name w:val="Nadpis 62"/>
    <w:basedOn w:val="Normlny"/>
    <w:next w:val="Normlny"/>
    <w:uiPriority w:val="9"/>
    <w:semiHidden/>
    <w:unhideWhenUsed/>
    <w:qFormat/>
    <w:rsid w:val="0024416E"/>
    <w:pPr>
      <w:keepNext/>
      <w:keepLines/>
      <w:tabs>
        <w:tab w:val="num" w:pos="360"/>
      </w:tabs>
      <w:spacing w:before="200" w:line="259" w:lineRule="auto"/>
      <w:ind w:left="360" w:hanging="360"/>
      <w:outlineLvl w:val="5"/>
    </w:pPr>
    <w:rPr>
      <w:rFonts w:ascii="Calibri Light" w:hAnsi="Calibri Light"/>
      <w:i/>
      <w:iCs/>
      <w:color w:val="1F4D78"/>
      <w:sz w:val="22"/>
      <w:szCs w:val="22"/>
      <w:lang w:eastAsia="en-US"/>
    </w:rPr>
  </w:style>
  <w:style w:type="paragraph" w:customStyle="1" w:styleId="Nadpis82">
    <w:name w:val="Nadpis 82"/>
    <w:basedOn w:val="Normlny"/>
    <w:next w:val="Normlny"/>
    <w:uiPriority w:val="9"/>
    <w:semiHidden/>
    <w:unhideWhenUsed/>
    <w:qFormat/>
    <w:rsid w:val="0024416E"/>
    <w:pPr>
      <w:keepNext/>
      <w:keepLines/>
      <w:tabs>
        <w:tab w:val="num" w:pos="360"/>
      </w:tabs>
      <w:spacing w:before="200" w:line="259" w:lineRule="auto"/>
      <w:ind w:left="360" w:hanging="360"/>
      <w:outlineLvl w:val="7"/>
    </w:pPr>
    <w:rPr>
      <w:rFonts w:ascii="Calibri Light" w:hAnsi="Calibri Light"/>
      <w:color w:val="404040"/>
      <w:lang w:eastAsia="en-US"/>
    </w:rPr>
  </w:style>
  <w:style w:type="paragraph" w:customStyle="1" w:styleId="Nadpis92">
    <w:name w:val="Nadpis 92"/>
    <w:basedOn w:val="Normlny"/>
    <w:next w:val="Normlny"/>
    <w:uiPriority w:val="9"/>
    <w:semiHidden/>
    <w:unhideWhenUsed/>
    <w:qFormat/>
    <w:rsid w:val="0024416E"/>
    <w:pPr>
      <w:keepNext/>
      <w:keepLines/>
      <w:tabs>
        <w:tab w:val="num" w:pos="360"/>
      </w:tabs>
      <w:spacing w:before="200" w:line="259" w:lineRule="auto"/>
      <w:ind w:left="360" w:hanging="360"/>
      <w:outlineLvl w:val="8"/>
    </w:pPr>
    <w:rPr>
      <w:rFonts w:ascii="Calibri Light" w:hAnsi="Calibri Light"/>
      <w:i/>
      <w:iCs/>
      <w:color w:val="404040"/>
      <w:lang w:eastAsia="en-US"/>
    </w:rPr>
  </w:style>
  <w:style w:type="table" w:customStyle="1" w:styleId="Mriekatabuky7">
    <w:name w:val="Mriežka tabuľky7"/>
    <w:basedOn w:val="Normlnatabuka"/>
    <w:next w:val="Mriekatabuky"/>
    <w:uiPriority w:val="59"/>
    <w:rsid w:val="002441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8">
    <w:name w:val="Mriežka tabuľky8"/>
    <w:basedOn w:val="Normlnatabuka"/>
    <w:next w:val="Mriekatabuky"/>
    <w:uiPriority w:val="59"/>
    <w:rsid w:val="002441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9">
    <w:name w:val="Mriežka tabuľky9"/>
    <w:basedOn w:val="Normlnatabuka"/>
    <w:next w:val="Mriekatabuky"/>
    <w:uiPriority w:val="59"/>
    <w:rsid w:val="0024416E"/>
    <w:pPr>
      <w:widowControl w:val="0"/>
      <w:spacing w:after="0" w:line="36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5">
    <w:name w:val="toc 5"/>
    <w:basedOn w:val="Normlny"/>
    <w:next w:val="Normlny"/>
    <w:autoRedefine/>
    <w:uiPriority w:val="39"/>
    <w:unhideWhenUsed/>
    <w:rsid w:val="0024416E"/>
    <w:pPr>
      <w:spacing w:after="100" w:line="259" w:lineRule="auto"/>
      <w:ind w:left="880"/>
    </w:pPr>
    <w:rPr>
      <w:rFonts w:ascii="Calibri" w:hAnsi="Calibri"/>
      <w:sz w:val="22"/>
      <w:szCs w:val="22"/>
    </w:rPr>
  </w:style>
  <w:style w:type="paragraph" w:styleId="Obsah6">
    <w:name w:val="toc 6"/>
    <w:basedOn w:val="Normlny"/>
    <w:next w:val="Normlny"/>
    <w:autoRedefine/>
    <w:uiPriority w:val="39"/>
    <w:unhideWhenUsed/>
    <w:rsid w:val="0024416E"/>
    <w:pPr>
      <w:spacing w:after="100" w:line="259" w:lineRule="auto"/>
      <w:ind w:left="1100"/>
    </w:pPr>
    <w:rPr>
      <w:rFonts w:ascii="Calibri" w:hAnsi="Calibri"/>
      <w:sz w:val="22"/>
      <w:szCs w:val="22"/>
    </w:rPr>
  </w:style>
  <w:style w:type="paragraph" w:styleId="Obsah7">
    <w:name w:val="toc 7"/>
    <w:basedOn w:val="Normlny"/>
    <w:next w:val="Normlny"/>
    <w:autoRedefine/>
    <w:uiPriority w:val="39"/>
    <w:unhideWhenUsed/>
    <w:rsid w:val="0024416E"/>
    <w:pPr>
      <w:spacing w:after="100" w:line="259" w:lineRule="auto"/>
      <w:ind w:left="1320"/>
    </w:pPr>
    <w:rPr>
      <w:rFonts w:ascii="Calibri" w:hAnsi="Calibri"/>
      <w:sz w:val="22"/>
      <w:szCs w:val="22"/>
    </w:rPr>
  </w:style>
  <w:style w:type="paragraph" w:styleId="Obsah8">
    <w:name w:val="toc 8"/>
    <w:basedOn w:val="Normlny"/>
    <w:next w:val="Normlny"/>
    <w:autoRedefine/>
    <w:uiPriority w:val="39"/>
    <w:unhideWhenUsed/>
    <w:rsid w:val="0024416E"/>
    <w:pPr>
      <w:spacing w:after="100" w:line="259" w:lineRule="auto"/>
      <w:ind w:left="1540"/>
    </w:pPr>
    <w:rPr>
      <w:rFonts w:ascii="Calibri" w:hAnsi="Calibri"/>
      <w:sz w:val="22"/>
      <w:szCs w:val="22"/>
    </w:rPr>
  </w:style>
  <w:style w:type="paragraph" w:styleId="Obsah9">
    <w:name w:val="toc 9"/>
    <w:basedOn w:val="Normlny"/>
    <w:next w:val="Normlny"/>
    <w:autoRedefine/>
    <w:uiPriority w:val="39"/>
    <w:unhideWhenUsed/>
    <w:rsid w:val="0024416E"/>
    <w:pPr>
      <w:spacing w:after="100" w:line="259" w:lineRule="auto"/>
      <w:ind w:left="176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elecom.gov.sk/index/index.php?ids=170474"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6C0C8C3C1E3DCC44BECE3792677AD011" ma:contentTypeVersion="0" ma:contentTypeDescription="Umožňuje vytvoriť nový dokument." ma:contentTypeScope="" ma:versionID="85fc4bdbf09a6aa5742b4e3db9523750">
  <xsd:schema xmlns:xsd="http://www.w3.org/2001/XMLSchema" xmlns:xs="http://www.w3.org/2001/XMLSchema" xmlns:p="http://schemas.microsoft.com/office/2006/metadata/properties" xmlns:ns2="e60a29af-d413-48d4-bd90-fe9d2a897e4b" targetNamespace="http://schemas.microsoft.com/office/2006/metadata/properties" ma:root="true" ma:fieldsID="d088e84141cffc04886a2632a8c86973" ns2:_="">
    <xsd:import namespace="e60a29af-d413-48d4-bd90-fe9d2a897e4b"/>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a29af-d413-48d4-bd90-fe9d2a897e4b"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e60a29af-d413-48d4-bd90-fe9d2a897e4b">WKX3UHSAJ2R6-2-774955</_dlc_DocId>
    <_dlc_DocIdUrl xmlns="e60a29af-d413-48d4-bd90-fe9d2a897e4b">
      <Url>https://ovdmasv601/sites/DMS/_layouts/15/DocIdRedir.aspx?ID=WKX3UHSAJ2R6-2-774955</Url>
      <Description>WKX3UHSAJ2R6-2-774955</Description>
    </_dlc_DocIdUrl>
  </documentManagement>
</p:properties>
</file>

<file path=customXml/itemProps1.xml><?xml version="1.0" encoding="utf-8"?>
<ds:datastoreItem xmlns:ds="http://schemas.openxmlformats.org/officeDocument/2006/customXml" ds:itemID="{B9FEA22A-0075-4F98-8C55-D92BCE6DA76E}"/>
</file>

<file path=customXml/itemProps2.xml><?xml version="1.0" encoding="utf-8"?>
<ds:datastoreItem xmlns:ds="http://schemas.openxmlformats.org/officeDocument/2006/customXml" ds:itemID="{FCE90326-F1DA-4770-90FE-4E51A45BCE98}"/>
</file>

<file path=customXml/itemProps3.xml><?xml version="1.0" encoding="utf-8"?>
<ds:datastoreItem xmlns:ds="http://schemas.openxmlformats.org/officeDocument/2006/customXml" ds:itemID="{3FF165CC-D3E0-4385-942E-012C0D0DDEAE}"/>
</file>

<file path=customXml/itemProps4.xml><?xml version="1.0" encoding="utf-8"?>
<ds:datastoreItem xmlns:ds="http://schemas.openxmlformats.org/officeDocument/2006/customXml" ds:itemID="{8BC72968-7B76-4AB5-95DD-A074BA74DDA2}"/>
</file>

<file path=docProps/app.xml><?xml version="1.0" encoding="utf-8"?>
<Properties xmlns="http://schemas.openxmlformats.org/officeDocument/2006/extended-properties" xmlns:vt="http://schemas.openxmlformats.org/officeDocument/2006/docPropsVTypes">
  <Template>Normal</Template>
  <TotalTime>1</TotalTime>
  <Pages>7</Pages>
  <Words>2546</Words>
  <Characters>14514</Characters>
  <Application>Microsoft Office Word</Application>
  <DocSecurity>0</DocSecurity>
  <Lines>120</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Korytarova Katarina</dc:creator>
  <cp:keywords/>
  <dc:description/>
  <cp:lastModifiedBy>Korytarova Katarina</cp:lastModifiedBy>
  <cp:revision>5</cp:revision>
  <cp:lastPrinted>2017-03-15T12:00:00Z</cp:lastPrinted>
  <dcterms:created xsi:type="dcterms:W3CDTF">2017-04-19T08:37:00Z</dcterms:created>
  <dcterms:modified xsi:type="dcterms:W3CDTF">2017-04-21T11:05:00Z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0x0101006C0C8C3C1E3DCC44BECE3792677AD011</vt:lpwstr>
  </property>
  <property fmtid="{D5CDD505-2E9C-101B-9397-08002B2CF9AE}" pid="3" name="_dlc_DocIdItemGuid">
    <vt:lpwstr>cd48857e-e384-4129-86f3-46ba5f4dd216</vt:lpwstr>
  </property>
</Properties>
</file>