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charts/chart13.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charts/chart14.xml" ContentType="application/vnd.openxmlformats-officedocument.drawingml.chart+xml"/>
  <Override PartName="/word/theme/themeOverride12.xml" ContentType="application/vnd.openxmlformats-officedocument.themeOverride+xml"/>
  <Override PartName="/word/charts/chart11.xml" ContentType="application/vnd.openxmlformats-officedocument.drawingml.chart+xml"/>
  <Override PartName="/word/theme/themeOverride13.xml" ContentType="application/vnd.openxmlformats-officedocument.themeOverride+xml"/>
  <Override PartName="/word/theme/themeOverride9.xml" ContentType="application/vnd.openxmlformats-officedocument.themeOverride+xml"/>
  <Override PartName="/word/charts/chart10.xml" ContentType="application/vnd.openxmlformats-officedocument.drawingml.chart+xml"/>
  <Override PartName="/word/theme/themeOverride8.xml" ContentType="application/vnd.openxmlformats-officedocument.themeOverride+xml"/>
  <Override PartName="/word/theme/themeOverride10.xml" ContentType="application/vnd.openxmlformats-officedocument.themeOverride+xml"/>
  <Override PartName="/word/theme/theme1.xml" ContentType="application/vnd.openxmlformats-officedocument.theme+xml"/>
  <Override PartName="/word/charts/chart9.xml" ContentType="application/vnd.openxmlformats-officedocument.drawingml.chart+xml"/>
  <Override PartName="/word/charts/chart8.xml" ContentType="application/vnd.openxmlformats-officedocument.drawingml.chart+xml"/>
  <Override PartName="/word/charts/colors2.xml" ContentType="application/vnd.ms-office.chartcolorstyle+xml"/>
  <Override PartName="/word/charts/style2.xml" ContentType="application/vnd.ms-office.chartstyle+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charts/chart1.xml" ContentType="application/vnd.openxmlformats-officedocument.drawingml.chart+xml"/>
  <Override PartName="/word/theme/themeOverride7.xml" ContentType="application/vnd.openxmlformats-officedocument.themeOverride+xml"/>
  <Override PartName="/word/theme/themeOverride1.xml" ContentType="application/vnd.openxmlformats-officedocument.themeOverride+xml"/>
  <Override PartName="/word/charts/chart3.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charts/chart5.xml" ContentType="application/vnd.openxmlformats-officedocument.drawingml.chart+xml"/>
  <Override PartName="/word/theme/themeOverride4.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charts/chart4.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DA2078" w14:textId="77777777" w:rsidR="002E09E2" w:rsidRPr="00F77093" w:rsidRDefault="002E09E2" w:rsidP="002E09E2">
      <w:pPr>
        <w:jc w:val="center"/>
        <w:rPr>
          <w:rFonts w:ascii="Times New Roman" w:hAnsi="Times New Roman" w:cs="Times New Roman"/>
          <w:sz w:val="32"/>
          <w:szCs w:val="40"/>
        </w:rPr>
      </w:pPr>
      <w:r w:rsidRPr="00F77093">
        <w:rPr>
          <w:rFonts w:ascii="Times New Roman" w:hAnsi="Times New Roman" w:cs="Times New Roman"/>
          <w:sz w:val="32"/>
          <w:szCs w:val="40"/>
        </w:rPr>
        <w:t>Ministerstvo hospodárstva Slovenskej republiky</w:t>
      </w:r>
    </w:p>
    <w:p w14:paraId="6FF75350" w14:textId="77777777" w:rsidR="002E09E2" w:rsidRPr="002E09E2" w:rsidRDefault="002E09E2" w:rsidP="002E09E2">
      <w:pPr>
        <w:jc w:val="center"/>
        <w:rPr>
          <w:rFonts w:ascii="Times New Roman" w:hAnsi="Times New Roman" w:cs="Times New Roman"/>
          <w:sz w:val="40"/>
          <w:szCs w:val="40"/>
        </w:rPr>
      </w:pPr>
    </w:p>
    <w:p w14:paraId="7E44149A" w14:textId="77777777" w:rsidR="002E09E2" w:rsidRPr="002E09E2" w:rsidRDefault="002E09E2" w:rsidP="002E09E2">
      <w:pPr>
        <w:jc w:val="center"/>
        <w:rPr>
          <w:rFonts w:ascii="Times New Roman" w:hAnsi="Times New Roman" w:cs="Times New Roman"/>
          <w:sz w:val="40"/>
          <w:szCs w:val="40"/>
        </w:rPr>
      </w:pPr>
    </w:p>
    <w:p w14:paraId="369C7C64" w14:textId="77777777" w:rsidR="002E09E2" w:rsidRPr="002E09E2" w:rsidRDefault="002E09E2" w:rsidP="002E09E2">
      <w:pPr>
        <w:jc w:val="center"/>
        <w:rPr>
          <w:rFonts w:ascii="Times New Roman" w:hAnsi="Times New Roman" w:cs="Times New Roman"/>
          <w:sz w:val="40"/>
          <w:szCs w:val="40"/>
        </w:rPr>
      </w:pPr>
    </w:p>
    <w:p w14:paraId="2C5CD774" w14:textId="77777777" w:rsidR="002E09E2" w:rsidRPr="002E09E2" w:rsidRDefault="002E09E2" w:rsidP="002E09E2">
      <w:pPr>
        <w:jc w:val="center"/>
        <w:rPr>
          <w:rFonts w:ascii="Times New Roman" w:hAnsi="Times New Roman" w:cs="Times New Roman"/>
          <w:sz w:val="40"/>
          <w:szCs w:val="40"/>
        </w:rPr>
      </w:pPr>
    </w:p>
    <w:p w14:paraId="00C24FCA" w14:textId="77777777" w:rsidR="002E09E2" w:rsidRPr="002E09E2" w:rsidRDefault="002E09E2" w:rsidP="002E09E2">
      <w:pPr>
        <w:jc w:val="center"/>
        <w:rPr>
          <w:rFonts w:ascii="Times New Roman" w:hAnsi="Times New Roman" w:cs="Times New Roman"/>
          <w:sz w:val="40"/>
          <w:szCs w:val="40"/>
        </w:rPr>
      </w:pPr>
    </w:p>
    <w:p w14:paraId="397BB945" w14:textId="0D742353" w:rsidR="002E09E2" w:rsidRDefault="002E09E2" w:rsidP="002E09E2">
      <w:pPr>
        <w:jc w:val="center"/>
        <w:rPr>
          <w:rFonts w:ascii="Times New Roman" w:hAnsi="Times New Roman" w:cs="Times New Roman"/>
          <w:sz w:val="40"/>
          <w:szCs w:val="40"/>
        </w:rPr>
      </w:pPr>
    </w:p>
    <w:p w14:paraId="3B7BD96E" w14:textId="053A7718" w:rsidR="00B40851" w:rsidRPr="002E09E2" w:rsidRDefault="00B40851" w:rsidP="002E09E2">
      <w:pPr>
        <w:jc w:val="center"/>
        <w:rPr>
          <w:rFonts w:ascii="Times New Roman" w:hAnsi="Times New Roman" w:cs="Times New Roman"/>
          <w:sz w:val="40"/>
          <w:szCs w:val="40"/>
        </w:rPr>
      </w:pPr>
      <w:r>
        <w:rPr>
          <w:rFonts w:ascii="Times New Roman" w:hAnsi="Times New Roman" w:cs="Times New Roman"/>
          <w:sz w:val="40"/>
          <w:szCs w:val="40"/>
        </w:rPr>
        <w:t>Návrh</w:t>
      </w:r>
    </w:p>
    <w:p w14:paraId="5A7F7172" w14:textId="77777777" w:rsidR="002E09E2" w:rsidRPr="002E09E2" w:rsidRDefault="002E09E2" w:rsidP="002E09E2">
      <w:pPr>
        <w:jc w:val="center"/>
        <w:rPr>
          <w:rFonts w:ascii="Times New Roman" w:hAnsi="Times New Roman" w:cs="Times New Roman"/>
          <w:sz w:val="40"/>
          <w:szCs w:val="40"/>
        </w:rPr>
      </w:pPr>
    </w:p>
    <w:p w14:paraId="662FFE80" w14:textId="77777777" w:rsidR="002E09E2" w:rsidRPr="002E09E2" w:rsidRDefault="002E09E2" w:rsidP="002E09E2">
      <w:pPr>
        <w:jc w:val="center"/>
        <w:rPr>
          <w:rFonts w:ascii="Times New Roman" w:hAnsi="Times New Roman" w:cs="Times New Roman"/>
          <w:sz w:val="40"/>
          <w:szCs w:val="40"/>
        </w:rPr>
      </w:pPr>
    </w:p>
    <w:p w14:paraId="4EEFCA26" w14:textId="77777777" w:rsidR="002E09E2" w:rsidRDefault="002E09E2" w:rsidP="002E09E2">
      <w:pPr>
        <w:jc w:val="center"/>
        <w:rPr>
          <w:rFonts w:ascii="Times New Roman" w:hAnsi="Times New Roman" w:cs="Times New Roman"/>
          <w:b/>
          <w:sz w:val="40"/>
          <w:szCs w:val="40"/>
        </w:rPr>
      </w:pPr>
      <w:r w:rsidRPr="007577DE">
        <w:rPr>
          <w:rFonts w:ascii="Times New Roman" w:hAnsi="Times New Roman" w:cs="Times New Roman"/>
          <w:b/>
          <w:sz w:val="40"/>
          <w:szCs w:val="40"/>
        </w:rPr>
        <w:t xml:space="preserve">Akčný plán energetickej efektívnosti </w:t>
      </w:r>
    </w:p>
    <w:p w14:paraId="647D01A1" w14:textId="24D09553" w:rsidR="002E09E2" w:rsidRPr="007577DE" w:rsidRDefault="002E09E2" w:rsidP="002E09E2">
      <w:pPr>
        <w:jc w:val="center"/>
        <w:rPr>
          <w:rFonts w:ascii="Times New Roman" w:hAnsi="Times New Roman" w:cs="Times New Roman"/>
          <w:b/>
          <w:sz w:val="40"/>
          <w:szCs w:val="40"/>
        </w:rPr>
      </w:pPr>
      <w:r w:rsidRPr="007577DE">
        <w:rPr>
          <w:rFonts w:ascii="Times New Roman" w:hAnsi="Times New Roman" w:cs="Times New Roman"/>
          <w:b/>
          <w:sz w:val="40"/>
          <w:szCs w:val="40"/>
        </w:rPr>
        <w:t>na roky 2017-2019 s výhľadom do roku 2020</w:t>
      </w:r>
    </w:p>
    <w:p w14:paraId="2AB456F4" w14:textId="77777777" w:rsidR="002E09E2" w:rsidRPr="002E09E2" w:rsidRDefault="002E09E2" w:rsidP="002E09E2">
      <w:pPr>
        <w:jc w:val="center"/>
        <w:rPr>
          <w:rFonts w:ascii="Times New Roman" w:hAnsi="Times New Roman" w:cs="Times New Roman"/>
          <w:sz w:val="40"/>
          <w:szCs w:val="40"/>
        </w:rPr>
      </w:pPr>
    </w:p>
    <w:p w14:paraId="6378A3D5" w14:textId="77777777" w:rsidR="002E09E2" w:rsidRPr="002E09E2" w:rsidRDefault="002E09E2" w:rsidP="002E09E2">
      <w:pPr>
        <w:jc w:val="center"/>
        <w:rPr>
          <w:rFonts w:ascii="Times New Roman" w:hAnsi="Times New Roman" w:cs="Times New Roman"/>
          <w:sz w:val="40"/>
          <w:szCs w:val="40"/>
        </w:rPr>
      </w:pPr>
    </w:p>
    <w:p w14:paraId="45A00EAD" w14:textId="77777777" w:rsidR="002E09E2" w:rsidRPr="002E09E2" w:rsidRDefault="002E09E2" w:rsidP="002E09E2">
      <w:pPr>
        <w:jc w:val="center"/>
        <w:rPr>
          <w:rFonts w:ascii="Times New Roman" w:hAnsi="Times New Roman" w:cs="Times New Roman"/>
          <w:sz w:val="40"/>
          <w:szCs w:val="40"/>
        </w:rPr>
      </w:pPr>
    </w:p>
    <w:p w14:paraId="285FE2AF" w14:textId="77777777" w:rsidR="002E09E2" w:rsidRPr="002E09E2" w:rsidRDefault="002E09E2" w:rsidP="002E09E2">
      <w:pPr>
        <w:jc w:val="center"/>
        <w:rPr>
          <w:rFonts w:ascii="Times New Roman" w:hAnsi="Times New Roman" w:cs="Times New Roman"/>
          <w:sz w:val="40"/>
          <w:szCs w:val="40"/>
        </w:rPr>
      </w:pPr>
    </w:p>
    <w:p w14:paraId="01881344" w14:textId="77777777" w:rsidR="002E09E2" w:rsidRPr="002E09E2" w:rsidRDefault="002E09E2" w:rsidP="002E09E2">
      <w:pPr>
        <w:jc w:val="center"/>
        <w:rPr>
          <w:rFonts w:ascii="Times New Roman" w:hAnsi="Times New Roman" w:cs="Times New Roman"/>
          <w:sz w:val="40"/>
          <w:szCs w:val="40"/>
        </w:rPr>
      </w:pPr>
    </w:p>
    <w:p w14:paraId="5C57DA50" w14:textId="77777777" w:rsidR="002E09E2" w:rsidRPr="002E09E2" w:rsidRDefault="002E09E2" w:rsidP="002E09E2">
      <w:pPr>
        <w:jc w:val="center"/>
        <w:rPr>
          <w:rFonts w:ascii="Times New Roman" w:hAnsi="Times New Roman" w:cs="Times New Roman"/>
          <w:sz w:val="40"/>
          <w:szCs w:val="40"/>
        </w:rPr>
      </w:pPr>
    </w:p>
    <w:p w14:paraId="315F1B43" w14:textId="77777777" w:rsidR="002E09E2" w:rsidRPr="002E09E2" w:rsidRDefault="002E09E2" w:rsidP="002E09E2">
      <w:pPr>
        <w:jc w:val="center"/>
        <w:rPr>
          <w:rFonts w:ascii="Times New Roman" w:hAnsi="Times New Roman" w:cs="Times New Roman"/>
          <w:sz w:val="40"/>
          <w:szCs w:val="40"/>
        </w:rPr>
      </w:pPr>
    </w:p>
    <w:p w14:paraId="28A5A35F" w14:textId="77777777" w:rsidR="002E09E2" w:rsidRPr="002E09E2" w:rsidRDefault="002E09E2" w:rsidP="002E09E2">
      <w:pPr>
        <w:jc w:val="center"/>
        <w:rPr>
          <w:rFonts w:ascii="Times New Roman" w:hAnsi="Times New Roman" w:cs="Times New Roman"/>
          <w:sz w:val="40"/>
          <w:szCs w:val="40"/>
        </w:rPr>
      </w:pPr>
    </w:p>
    <w:p w14:paraId="757938AB" w14:textId="77777777" w:rsidR="002E09E2" w:rsidRPr="007577DE" w:rsidRDefault="002E09E2" w:rsidP="002E09E2">
      <w:pPr>
        <w:jc w:val="center"/>
        <w:rPr>
          <w:rFonts w:ascii="Times New Roman" w:hAnsi="Times New Roman" w:cs="Times New Roman"/>
          <w:sz w:val="24"/>
          <w:szCs w:val="24"/>
        </w:rPr>
      </w:pPr>
      <w:r w:rsidRPr="007577DE">
        <w:rPr>
          <w:rFonts w:ascii="Times New Roman" w:hAnsi="Times New Roman" w:cs="Times New Roman"/>
          <w:sz w:val="24"/>
          <w:szCs w:val="24"/>
        </w:rPr>
        <w:t>Bratislava 2017</w:t>
      </w:r>
    </w:p>
    <w:p w14:paraId="21956BCF" w14:textId="64CA5DF0" w:rsidR="00684C5F" w:rsidRDefault="00684C5F">
      <w:pPr>
        <w:rPr>
          <w:rFonts w:ascii="Times New Roman" w:hAnsi="Times New Roman" w:cs="Times New Roman"/>
          <w:sz w:val="40"/>
          <w:szCs w:val="40"/>
        </w:rPr>
      </w:pPr>
      <w:r>
        <w:rPr>
          <w:rFonts w:ascii="Times New Roman" w:hAnsi="Times New Roman" w:cs="Times New Roman"/>
          <w:sz w:val="40"/>
          <w:szCs w:val="40"/>
        </w:rPr>
        <w:br w:type="page"/>
      </w:r>
    </w:p>
    <w:p w14:paraId="4282AC29" w14:textId="77777777" w:rsidR="00684C5F" w:rsidRDefault="00684C5F" w:rsidP="005F7B58">
      <w:pPr>
        <w:rPr>
          <w:rFonts w:ascii="Times New Roman" w:hAnsi="Times New Roman" w:cs="Times New Roman"/>
          <w:sz w:val="40"/>
          <w:szCs w:val="40"/>
        </w:rPr>
        <w:sectPr w:rsidR="00684C5F" w:rsidSect="00EE7874">
          <w:footerReference w:type="default" r:id="rId8"/>
          <w:pgSz w:w="11906" w:h="16838"/>
          <w:pgMar w:top="1417" w:right="1417" w:bottom="1417" w:left="1417" w:header="708" w:footer="708" w:gutter="0"/>
          <w:pgBorders w:offsetFrom="page">
            <w:top w:val="single" w:sz="4" w:space="24" w:color="FFFFFF"/>
            <w:left w:val="single" w:sz="4" w:space="24" w:color="FFFFFF"/>
            <w:bottom w:val="single" w:sz="4" w:space="24" w:color="FFFFFF"/>
            <w:right w:val="single" w:sz="4" w:space="24" w:color="FFFFFF"/>
          </w:pgBorders>
          <w:cols w:space="708"/>
          <w:titlePg/>
          <w:docGrid w:linePitch="360"/>
        </w:sectPr>
      </w:pPr>
    </w:p>
    <w:p w14:paraId="4BD38011" w14:textId="77777777" w:rsidR="009E267F" w:rsidRPr="009F2998" w:rsidRDefault="009E267F" w:rsidP="007577DE">
      <w:pPr>
        <w:pStyle w:val="Nadpis1"/>
        <w:keepNext w:val="0"/>
        <w:keepLines w:val="0"/>
        <w:numPr>
          <w:ilvl w:val="0"/>
          <w:numId w:val="0"/>
        </w:numPr>
        <w:rPr>
          <w:rFonts w:ascii="Times New Roman" w:hAnsi="Times New Roman" w:cs="Times New Roman"/>
        </w:rPr>
      </w:pPr>
    </w:p>
    <w:p w14:paraId="5E10CAE5" w14:textId="23C9E31B" w:rsidR="0067687B" w:rsidRPr="009F2998" w:rsidRDefault="00B639A9" w:rsidP="0067687B">
      <w:pPr>
        <w:rPr>
          <w:rFonts w:ascii="Times New Roman" w:hAnsi="Times New Roman" w:cs="Times New Roman"/>
          <w:sz w:val="28"/>
          <w:szCs w:val="24"/>
        </w:rPr>
      </w:pPr>
      <w:r w:rsidRPr="009F2998">
        <w:rPr>
          <w:rFonts w:ascii="Times New Roman" w:hAnsi="Times New Roman" w:cs="Times New Roman"/>
          <w:sz w:val="28"/>
          <w:szCs w:val="24"/>
        </w:rPr>
        <w:t>O</w:t>
      </w:r>
      <w:r w:rsidR="00AD7E8F" w:rsidRPr="009F2998">
        <w:rPr>
          <w:rFonts w:ascii="Times New Roman" w:hAnsi="Times New Roman" w:cs="Times New Roman"/>
          <w:sz w:val="28"/>
          <w:szCs w:val="24"/>
        </w:rPr>
        <w:t>bsah</w:t>
      </w:r>
    </w:p>
    <w:p w14:paraId="636246CD" w14:textId="6B464D7C" w:rsidR="00CC0781" w:rsidRDefault="00B639A9" w:rsidP="00CC0781">
      <w:pPr>
        <w:pStyle w:val="Obsah2"/>
        <w:rPr>
          <w:rFonts w:eastAsiaTheme="minorEastAsia"/>
          <w:noProof/>
          <w:lang w:eastAsia="sk-SK"/>
        </w:rPr>
      </w:pPr>
      <w:r w:rsidRPr="000578FE">
        <w:rPr>
          <w:rFonts w:ascii="Times New Roman" w:hAnsi="Times New Roman" w:cs="Times New Roman"/>
        </w:rPr>
        <w:fldChar w:fldCharType="begin"/>
      </w:r>
      <w:r w:rsidRPr="000578FE">
        <w:rPr>
          <w:rFonts w:ascii="Times New Roman" w:hAnsi="Times New Roman" w:cs="Times New Roman"/>
        </w:rPr>
        <w:instrText xml:space="preserve"> TOC \o "1-4" \h \z \u </w:instrText>
      </w:r>
      <w:r w:rsidRPr="000578FE">
        <w:rPr>
          <w:rFonts w:ascii="Times New Roman" w:hAnsi="Times New Roman" w:cs="Times New Roman"/>
        </w:rPr>
        <w:fldChar w:fldCharType="separate"/>
      </w:r>
      <w:hyperlink w:anchor="_Toc480547213" w:history="1">
        <w:r w:rsidR="00CC0781" w:rsidRPr="00606124">
          <w:rPr>
            <w:rStyle w:val="Hypertextovprepojenie"/>
            <w:rFonts w:ascii="Times New Roman" w:hAnsi="Times New Roman" w:cs="Times New Roman"/>
            <w:noProof/>
          </w:rPr>
          <w:t>Použité skratky</w:t>
        </w:r>
        <w:r w:rsidR="00CC0781">
          <w:rPr>
            <w:noProof/>
            <w:webHidden/>
          </w:rPr>
          <w:tab/>
        </w:r>
        <w:r w:rsidR="00CC0781">
          <w:rPr>
            <w:noProof/>
            <w:webHidden/>
          </w:rPr>
          <w:fldChar w:fldCharType="begin"/>
        </w:r>
        <w:r w:rsidR="00CC0781">
          <w:rPr>
            <w:noProof/>
            <w:webHidden/>
          </w:rPr>
          <w:instrText xml:space="preserve"> PAGEREF _Toc480547213 \h </w:instrText>
        </w:r>
        <w:r w:rsidR="00CC0781">
          <w:rPr>
            <w:noProof/>
            <w:webHidden/>
          </w:rPr>
        </w:r>
        <w:r w:rsidR="00CC0781">
          <w:rPr>
            <w:noProof/>
            <w:webHidden/>
          </w:rPr>
          <w:fldChar w:fldCharType="separate"/>
        </w:r>
        <w:r w:rsidR="00684C5F">
          <w:rPr>
            <w:noProof/>
            <w:webHidden/>
          </w:rPr>
          <w:t>6</w:t>
        </w:r>
        <w:r w:rsidR="00CC0781">
          <w:rPr>
            <w:noProof/>
            <w:webHidden/>
          </w:rPr>
          <w:fldChar w:fldCharType="end"/>
        </w:r>
      </w:hyperlink>
    </w:p>
    <w:p w14:paraId="4C43010F" w14:textId="33578662" w:rsidR="00CC0781" w:rsidRDefault="00CC0781">
      <w:pPr>
        <w:pStyle w:val="Obsah1"/>
        <w:rPr>
          <w:rFonts w:eastAsiaTheme="minorEastAsia"/>
          <w:noProof/>
          <w:lang w:eastAsia="sk-SK"/>
        </w:rPr>
      </w:pPr>
      <w:hyperlink w:anchor="_Toc480547214" w:history="1">
        <w:r w:rsidRPr="00606124">
          <w:rPr>
            <w:rStyle w:val="Hypertextovprepojenie"/>
            <w:rFonts w:ascii="Times New Roman" w:hAnsi="Times New Roman" w:cs="Times New Roman"/>
            <w:noProof/>
          </w:rPr>
          <w:t>Úvod</w:t>
        </w:r>
        <w:r>
          <w:rPr>
            <w:noProof/>
            <w:webHidden/>
          </w:rPr>
          <w:tab/>
        </w:r>
        <w:r>
          <w:rPr>
            <w:noProof/>
            <w:webHidden/>
          </w:rPr>
          <w:fldChar w:fldCharType="begin"/>
        </w:r>
        <w:r>
          <w:rPr>
            <w:noProof/>
            <w:webHidden/>
          </w:rPr>
          <w:instrText xml:space="preserve"> PAGEREF _Toc480547214 \h </w:instrText>
        </w:r>
        <w:r>
          <w:rPr>
            <w:noProof/>
            <w:webHidden/>
          </w:rPr>
        </w:r>
        <w:r>
          <w:rPr>
            <w:noProof/>
            <w:webHidden/>
          </w:rPr>
          <w:fldChar w:fldCharType="separate"/>
        </w:r>
        <w:r w:rsidR="00684C5F">
          <w:rPr>
            <w:noProof/>
            <w:webHidden/>
          </w:rPr>
          <w:t>7</w:t>
        </w:r>
        <w:r>
          <w:rPr>
            <w:noProof/>
            <w:webHidden/>
          </w:rPr>
          <w:fldChar w:fldCharType="end"/>
        </w:r>
      </w:hyperlink>
    </w:p>
    <w:p w14:paraId="418C8D71" w14:textId="71CFFF15" w:rsidR="00CC0781" w:rsidRDefault="00CC0781">
      <w:pPr>
        <w:pStyle w:val="Obsah1"/>
        <w:rPr>
          <w:rFonts w:eastAsiaTheme="minorEastAsia"/>
          <w:noProof/>
          <w:lang w:eastAsia="sk-SK"/>
        </w:rPr>
      </w:pPr>
      <w:hyperlink w:anchor="_Toc480547215" w:history="1">
        <w:r w:rsidRPr="00606124">
          <w:rPr>
            <w:rStyle w:val="Hypertextovprepojenie"/>
            <w:rFonts w:ascii="Times New Roman" w:hAnsi="Times New Roman" w:cs="Times New Roman"/>
            <w:b/>
            <w:noProof/>
          </w:rPr>
          <w:t>1.</w:t>
        </w:r>
        <w:r>
          <w:rPr>
            <w:rFonts w:eastAsiaTheme="minorEastAsia"/>
            <w:noProof/>
            <w:lang w:eastAsia="sk-SK"/>
          </w:rPr>
          <w:tab/>
        </w:r>
        <w:r w:rsidRPr="00606124">
          <w:rPr>
            <w:rStyle w:val="Hypertextovprepojenie"/>
            <w:rFonts w:ascii="Times New Roman" w:hAnsi="Times New Roman" w:cs="Times New Roman"/>
            <w:b/>
            <w:noProof/>
          </w:rPr>
          <w:t>Prehľad národných cieľov energetickej efektívnosti a úspor energie</w:t>
        </w:r>
        <w:r>
          <w:rPr>
            <w:noProof/>
            <w:webHidden/>
          </w:rPr>
          <w:tab/>
        </w:r>
        <w:r>
          <w:rPr>
            <w:noProof/>
            <w:webHidden/>
          </w:rPr>
          <w:fldChar w:fldCharType="begin"/>
        </w:r>
        <w:r>
          <w:rPr>
            <w:noProof/>
            <w:webHidden/>
          </w:rPr>
          <w:instrText xml:space="preserve"> PAGEREF _Toc480547215 \h </w:instrText>
        </w:r>
        <w:r>
          <w:rPr>
            <w:noProof/>
            <w:webHidden/>
          </w:rPr>
        </w:r>
        <w:r>
          <w:rPr>
            <w:noProof/>
            <w:webHidden/>
          </w:rPr>
          <w:fldChar w:fldCharType="separate"/>
        </w:r>
        <w:r w:rsidR="00684C5F">
          <w:rPr>
            <w:noProof/>
            <w:webHidden/>
          </w:rPr>
          <w:t>8</w:t>
        </w:r>
        <w:r>
          <w:rPr>
            <w:noProof/>
            <w:webHidden/>
          </w:rPr>
          <w:fldChar w:fldCharType="end"/>
        </w:r>
      </w:hyperlink>
    </w:p>
    <w:p w14:paraId="481AFE98" w14:textId="00D8739D" w:rsidR="00CC0781" w:rsidRDefault="00CC0781" w:rsidP="00CC0781">
      <w:pPr>
        <w:pStyle w:val="Obsah2"/>
        <w:rPr>
          <w:rFonts w:eastAsiaTheme="minorEastAsia"/>
          <w:noProof/>
          <w:lang w:eastAsia="sk-SK"/>
        </w:rPr>
      </w:pPr>
      <w:hyperlink w:anchor="_Toc480547216" w:history="1">
        <w:r w:rsidRPr="00606124">
          <w:rPr>
            <w:rStyle w:val="Hypertextovprepojenie"/>
            <w:rFonts w:ascii="Times New Roman" w:hAnsi="Times New Roman" w:cs="Times New Roman"/>
            <w:noProof/>
          </w:rPr>
          <w:t>1.1.</w:t>
        </w:r>
        <w:r>
          <w:rPr>
            <w:rFonts w:eastAsiaTheme="minorEastAsia"/>
            <w:noProof/>
            <w:lang w:eastAsia="sk-SK"/>
          </w:rPr>
          <w:tab/>
        </w:r>
        <w:r w:rsidRPr="00606124">
          <w:rPr>
            <w:rStyle w:val="Hypertextovprepojenie"/>
            <w:rFonts w:ascii="Times New Roman" w:hAnsi="Times New Roman" w:cs="Times New Roman"/>
            <w:noProof/>
          </w:rPr>
          <w:t>Aktuálny stav v oblasti energetickej efektívnosti v SR</w:t>
        </w:r>
        <w:r>
          <w:rPr>
            <w:noProof/>
            <w:webHidden/>
          </w:rPr>
          <w:tab/>
        </w:r>
        <w:r>
          <w:rPr>
            <w:noProof/>
            <w:webHidden/>
          </w:rPr>
          <w:fldChar w:fldCharType="begin"/>
        </w:r>
        <w:r>
          <w:rPr>
            <w:noProof/>
            <w:webHidden/>
          </w:rPr>
          <w:instrText xml:space="preserve"> PAGEREF _Toc480547216 \h </w:instrText>
        </w:r>
        <w:r>
          <w:rPr>
            <w:noProof/>
            <w:webHidden/>
          </w:rPr>
        </w:r>
        <w:r>
          <w:rPr>
            <w:noProof/>
            <w:webHidden/>
          </w:rPr>
          <w:fldChar w:fldCharType="separate"/>
        </w:r>
        <w:r w:rsidR="00684C5F">
          <w:rPr>
            <w:noProof/>
            <w:webHidden/>
          </w:rPr>
          <w:t>8</w:t>
        </w:r>
        <w:r>
          <w:rPr>
            <w:noProof/>
            <w:webHidden/>
          </w:rPr>
          <w:fldChar w:fldCharType="end"/>
        </w:r>
      </w:hyperlink>
    </w:p>
    <w:p w14:paraId="4EA5DF31" w14:textId="1CE6E2F2" w:rsidR="00CC0781" w:rsidRDefault="00CC0781" w:rsidP="00CC0781">
      <w:pPr>
        <w:pStyle w:val="Obsah2"/>
        <w:rPr>
          <w:rFonts w:eastAsiaTheme="minorEastAsia"/>
          <w:noProof/>
          <w:lang w:eastAsia="sk-SK"/>
        </w:rPr>
      </w:pPr>
      <w:hyperlink w:anchor="_Toc480547217" w:history="1">
        <w:r w:rsidRPr="00606124">
          <w:rPr>
            <w:rStyle w:val="Hypertextovprepojenie"/>
            <w:rFonts w:ascii="Times New Roman" w:hAnsi="Times New Roman" w:cs="Times New Roman"/>
            <w:noProof/>
          </w:rPr>
          <w:t>1.2.</w:t>
        </w:r>
        <w:r>
          <w:rPr>
            <w:rFonts w:eastAsiaTheme="minorEastAsia"/>
            <w:noProof/>
            <w:lang w:eastAsia="sk-SK"/>
          </w:rPr>
          <w:tab/>
        </w:r>
        <w:r w:rsidRPr="00606124">
          <w:rPr>
            <w:rStyle w:val="Hypertextovprepojenie"/>
            <w:rFonts w:ascii="Times New Roman" w:hAnsi="Times New Roman" w:cs="Times New Roman"/>
            <w:noProof/>
          </w:rPr>
          <w:t>Národné ciele v oblasti energetickej efektívnosti a úspor energie</w:t>
        </w:r>
        <w:r>
          <w:rPr>
            <w:noProof/>
            <w:webHidden/>
          </w:rPr>
          <w:tab/>
        </w:r>
        <w:r>
          <w:rPr>
            <w:noProof/>
            <w:webHidden/>
          </w:rPr>
          <w:fldChar w:fldCharType="begin"/>
        </w:r>
        <w:r>
          <w:rPr>
            <w:noProof/>
            <w:webHidden/>
          </w:rPr>
          <w:instrText xml:space="preserve"> PAGEREF _Toc480547217 \h </w:instrText>
        </w:r>
        <w:r>
          <w:rPr>
            <w:noProof/>
            <w:webHidden/>
          </w:rPr>
        </w:r>
        <w:r>
          <w:rPr>
            <w:noProof/>
            <w:webHidden/>
          </w:rPr>
          <w:fldChar w:fldCharType="separate"/>
        </w:r>
        <w:r w:rsidR="00684C5F">
          <w:rPr>
            <w:noProof/>
            <w:webHidden/>
          </w:rPr>
          <w:t>9</w:t>
        </w:r>
        <w:r>
          <w:rPr>
            <w:noProof/>
            <w:webHidden/>
          </w:rPr>
          <w:fldChar w:fldCharType="end"/>
        </w:r>
      </w:hyperlink>
    </w:p>
    <w:p w14:paraId="4C7029B3" w14:textId="05FA1C32" w:rsidR="00CC0781" w:rsidRDefault="00CC0781" w:rsidP="00CC0781">
      <w:pPr>
        <w:pStyle w:val="Obsah2"/>
        <w:rPr>
          <w:rFonts w:eastAsiaTheme="minorEastAsia"/>
          <w:noProof/>
          <w:lang w:eastAsia="sk-SK"/>
        </w:rPr>
      </w:pPr>
      <w:hyperlink w:anchor="_Toc480547218" w:history="1">
        <w:r w:rsidRPr="00606124">
          <w:rPr>
            <w:rStyle w:val="Hypertextovprepojenie"/>
            <w:rFonts w:ascii="Times New Roman" w:hAnsi="Times New Roman" w:cs="Times New Roman"/>
            <w:noProof/>
          </w:rPr>
          <w:t>1.3.</w:t>
        </w:r>
        <w:r>
          <w:rPr>
            <w:rFonts w:eastAsiaTheme="minorEastAsia"/>
            <w:noProof/>
            <w:lang w:eastAsia="sk-SK"/>
          </w:rPr>
          <w:tab/>
        </w:r>
        <w:r w:rsidRPr="00606124">
          <w:rPr>
            <w:rStyle w:val="Hypertextovprepojenie"/>
            <w:rFonts w:ascii="Times New Roman" w:hAnsi="Times New Roman" w:cs="Times New Roman"/>
            <w:noProof/>
          </w:rPr>
          <w:t>Vyhodnotenie národných cieľov energetickej efektívnosti a úspor energie</w:t>
        </w:r>
        <w:r>
          <w:rPr>
            <w:noProof/>
            <w:webHidden/>
          </w:rPr>
          <w:tab/>
        </w:r>
        <w:r>
          <w:rPr>
            <w:noProof/>
            <w:webHidden/>
          </w:rPr>
          <w:fldChar w:fldCharType="begin"/>
        </w:r>
        <w:r>
          <w:rPr>
            <w:noProof/>
            <w:webHidden/>
          </w:rPr>
          <w:instrText xml:space="preserve"> PAGEREF _Toc480547218 \h </w:instrText>
        </w:r>
        <w:r>
          <w:rPr>
            <w:noProof/>
            <w:webHidden/>
          </w:rPr>
        </w:r>
        <w:r>
          <w:rPr>
            <w:noProof/>
            <w:webHidden/>
          </w:rPr>
          <w:fldChar w:fldCharType="separate"/>
        </w:r>
        <w:r w:rsidR="00684C5F">
          <w:rPr>
            <w:noProof/>
            <w:webHidden/>
          </w:rPr>
          <w:t>10</w:t>
        </w:r>
        <w:r>
          <w:rPr>
            <w:noProof/>
            <w:webHidden/>
          </w:rPr>
          <w:fldChar w:fldCharType="end"/>
        </w:r>
      </w:hyperlink>
    </w:p>
    <w:p w14:paraId="05FC9C23" w14:textId="2DE401B5" w:rsidR="00CC0781" w:rsidRDefault="00CC0781">
      <w:pPr>
        <w:pStyle w:val="Obsah3"/>
        <w:rPr>
          <w:rFonts w:eastAsiaTheme="minorEastAsia"/>
          <w:noProof/>
          <w:lang w:eastAsia="sk-SK"/>
        </w:rPr>
      </w:pPr>
      <w:hyperlink w:anchor="_Toc480547219" w:history="1">
        <w:r w:rsidRPr="00606124">
          <w:rPr>
            <w:rStyle w:val="Hypertextovprepojenie"/>
            <w:rFonts w:ascii="Times New Roman" w:hAnsi="Times New Roman" w:cs="Times New Roman"/>
            <w:noProof/>
          </w:rPr>
          <w:t>1.3.1.</w:t>
        </w:r>
        <w:r>
          <w:rPr>
            <w:rFonts w:eastAsiaTheme="minorEastAsia"/>
            <w:noProof/>
            <w:lang w:eastAsia="sk-SK"/>
          </w:rPr>
          <w:tab/>
        </w:r>
        <w:r w:rsidRPr="00606124">
          <w:rPr>
            <w:rStyle w:val="Hypertextovprepojenie"/>
            <w:rFonts w:ascii="Times New Roman" w:hAnsi="Times New Roman" w:cs="Times New Roman"/>
            <w:noProof/>
          </w:rPr>
          <w:t>Vyhodnotenie cieľov úspor energie podľa smernice 2006/32/ES</w:t>
        </w:r>
        <w:r>
          <w:rPr>
            <w:noProof/>
            <w:webHidden/>
          </w:rPr>
          <w:tab/>
        </w:r>
        <w:r>
          <w:rPr>
            <w:noProof/>
            <w:webHidden/>
          </w:rPr>
          <w:fldChar w:fldCharType="begin"/>
        </w:r>
        <w:r>
          <w:rPr>
            <w:noProof/>
            <w:webHidden/>
          </w:rPr>
          <w:instrText xml:space="preserve"> PAGEREF _Toc480547219 \h </w:instrText>
        </w:r>
        <w:r>
          <w:rPr>
            <w:noProof/>
            <w:webHidden/>
          </w:rPr>
        </w:r>
        <w:r>
          <w:rPr>
            <w:noProof/>
            <w:webHidden/>
          </w:rPr>
          <w:fldChar w:fldCharType="separate"/>
        </w:r>
        <w:r w:rsidR="00684C5F">
          <w:rPr>
            <w:noProof/>
            <w:webHidden/>
          </w:rPr>
          <w:t>10</w:t>
        </w:r>
        <w:r>
          <w:rPr>
            <w:noProof/>
            <w:webHidden/>
          </w:rPr>
          <w:fldChar w:fldCharType="end"/>
        </w:r>
      </w:hyperlink>
    </w:p>
    <w:p w14:paraId="46FE919A" w14:textId="00E5937A" w:rsidR="00CC0781" w:rsidRDefault="00CC0781">
      <w:pPr>
        <w:pStyle w:val="Obsah3"/>
        <w:rPr>
          <w:rFonts w:eastAsiaTheme="minorEastAsia"/>
          <w:noProof/>
          <w:lang w:eastAsia="sk-SK"/>
        </w:rPr>
      </w:pPr>
      <w:hyperlink w:anchor="_Toc480547220" w:history="1">
        <w:r w:rsidRPr="00606124">
          <w:rPr>
            <w:rStyle w:val="Hypertextovprepojenie"/>
            <w:rFonts w:ascii="Times New Roman" w:hAnsi="Times New Roman" w:cs="Times New Roman"/>
            <w:noProof/>
          </w:rPr>
          <w:t>1.3.2.</w:t>
        </w:r>
        <w:r>
          <w:rPr>
            <w:rFonts w:eastAsiaTheme="minorEastAsia"/>
            <w:noProof/>
            <w:lang w:eastAsia="sk-SK"/>
          </w:rPr>
          <w:tab/>
        </w:r>
        <w:r w:rsidRPr="00606124">
          <w:rPr>
            <w:rStyle w:val="Hypertextovprepojenie"/>
            <w:rFonts w:ascii="Times New Roman" w:hAnsi="Times New Roman" w:cs="Times New Roman"/>
            <w:noProof/>
          </w:rPr>
          <w:t>Vyhodnotenie cieľov úspor energie podľa smernice 2012/27/EÚ</w:t>
        </w:r>
        <w:r>
          <w:rPr>
            <w:noProof/>
            <w:webHidden/>
          </w:rPr>
          <w:tab/>
        </w:r>
        <w:r>
          <w:rPr>
            <w:noProof/>
            <w:webHidden/>
          </w:rPr>
          <w:fldChar w:fldCharType="begin"/>
        </w:r>
        <w:r>
          <w:rPr>
            <w:noProof/>
            <w:webHidden/>
          </w:rPr>
          <w:instrText xml:space="preserve"> PAGEREF _Toc480547220 \h </w:instrText>
        </w:r>
        <w:r>
          <w:rPr>
            <w:noProof/>
            <w:webHidden/>
          </w:rPr>
        </w:r>
        <w:r>
          <w:rPr>
            <w:noProof/>
            <w:webHidden/>
          </w:rPr>
          <w:fldChar w:fldCharType="separate"/>
        </w:r>
        <w:r w:rsidR="00684C5F">
          <w:rPr>
            <w:noProof/>
            <w:webHidden/>
          </w:rPr>
          <w:t>11</w:t>
        </w:r>
        <w:r>
          <w:rPr>
            <w:noProof/>
            <w:webHidden/>
          </w:rPr>
          <w:fldChar w:fldCharType="end"/>
        </w:r>
      </w:hyperlink>
    </w:p>
    <w:p w14:paraId="2F24A533" w14:textId="6BE66FC2" w:rsidR="00CC0781" w:rsidRDefault="00CC0781">
      <w:pPr>
        <w:pStyle w:val="Obsah4"/>
        <w:rPr>
          <w:rFonts w:eastAsiaTheme="minorEastAsia"/>
          <w:noProof/>
          <w:lang w:eastAsia="sk-SK"/>
        </w:rPr>
      </w:pPr>
      <w:hyperlink w:anchor="_Toc480547221" w:history="1">
        <w:r w:rsidRPr="00606124">
          <w:rPr>
            <w:rStyle w:val="Hypertextovprepojenie"/>
            <w:rFonts w:ascii="Times New Roman" w:hAnsi="Times New Roman" w:cs="Times New Roman"/>
            <w:noProof/>
          </w:rPr>
          <w:t>1.3.2.1.</w:t>
        </w:r>
        <w:r>
          <w:rPr>
            <w:rFonts w:eastAsiaTheme="minorEastAsia"/>
            <w:noProof/>
            <w:lang w:eastAsia="sk-SK"/>
          </w:rPr>
          <w:tab/>
        </w:r>
        <w:r w:rsidRPr="00606124">
          <w:rPr>
            <w:rStyle w:val="Hypertextovprepojenie"/>
            <w:rFonts w:ascii="Times New Roman" w:hAnsi="Times New Roman" w:cs="Times New Roman"/>
            <w:noProof/>
          </w:rPr>
          <w:t>Národný indikatívny cieľ energetickej efektívnosti do roku 2020 podľa článku 3 ods. 1 smernice o energetickej efektívnosti (článok 3 ods. 1 SEE, príloha XIV časť 2 bod 1)</w:t>
        </w:r>
        <w:r>
          <w:rPr>
            <w:noProof/>
            <w:webHidden/>
          </w:rPr>
          <w:tab/>
        </w:r>
        <w:r>
          <w:rPr>
            <w:noProof/>
            <w:webHidden/>
          </w:rPr>
          <w:fldChar w:fldCharType="begin"/>
        </w:r>
        <w:r>
          <w:rPr>
            <w:noProof/>
            <w:webHidden/>
          </w:rPr>
          <w:instrText xml:space="preserve"> PAGEREF _Toc480547221 \h </w:instrText>
        </w:r>
        <w:r>
          <w:rPr>
            <w:noProof/>
            <w:webHidden/>
          </w:rPr>
        </w:r>
        <w:r>
          <w:rPr>
            <w:noProof/>
            <w:webHidden/>
          </w:rPr>
          <w:fldChar w:fldCharType="separate"/>
        </w:r>
        <w:r w:rsidR="00684C5F">
          <w:rPr>
            <w:noProof/>
            <w:webHidden/>
          </w:rPr>
          <w:t>11</w:t>
        </w:r>
        <w:r>
          <w:rPr>
            <w:noProof/>
            <w:webHidden/>
          </w:rPr>
          <w:fldChar w:fldCharType="end"/>
        </w:r>
      </w:hyperlink>
    </w:p>
    <w:p w14:paraId="2BE270B7" w14:textId="5C7F22A8" w:rsidR="00CC0781" w:rsidRDefault="00CC0781">
      <w:pPr>
        <w:pStyle w:val="Obsah4"/>
        <w:rPr>
          <w:rFonts w:eastAsiaTheme="minorEastAsia"/>
          <w:noProof/>
          <w:lang w:eastAsia="sk-SK"/>
        </w:rPr>
      </w:pPr>
      <w:hyperlink w:anchor="_Toc480547222" w:history="1">
        <w:r w:rsidRPr="00606124">
          <w:rPr>
            <w:rStyle w:val="Hypertextovprepojenie"/>
            <w:rFonts w:ascii="Times New Roman" w:hAnsi="Times New Roman" w:cs="Times New Roman"/>
            <w:noProof/>
          </w:rPr>
          <w:t>1.3.2.2.</w:t>
        </w:r>
        <w:r>
          <w:rPr>
            <w:rFonts w:eastAsiaTheme="minorEastAsia"/>
            <w:noProof/>
            <w:lang w:eastAsia="sk-SK"/>
          </w:rPr>
          <w:tab/>
        </w:r>
        <w:r w:rsidRPr="00606124">
          <w:rPr>
            <w:rStyle w:val="Hypertextovprepojenie"/>
            <w:rFonts w:ascii="Times New Roman" w:hAnsi="Times New Roman" w:cs="Times New Roman"/>
            <w:noProof/>
          </w:rPr>
          <w:t>Cieľ úspor energie budov (čl. 5 SEE)</w:t>
        </w:r>
        <w:r>
          <w:rPr>
            <w:noProof/>
            <w:webHidden/>
          </w:rPr>
          <w:tab/>
        </w:r>
        <w:r>
          <w:rPr>
            <w:noProof/>
            <w:webHidden/>
          </w:rPr>
          <w:fldChar w:fldCharType="begin"/>
        </w:r>
        <w:r>
          <w:rPr>
            <w:noProof/>
            <w:webHidden/>
          </w:rPr>
          <w:instrText xml:space="preserve"> PAGEREF _Toc480547222 \h </w:instrText>
        </w:r>
        <w:r>
          <w:rPr>
            <w:noProof/>
            <w:webHidden/>
          </w:rPr>
        </w:r>
        <w:r>
          <w:rPr>
            <w:noProof/>
            <w:webHidden/>
          </w:rPr>
          <w:fldChar w:fldCharType="separate"/>
        </w:r>
        <w:r w:rsidR="00684C5F">
          <w:rPr>
            <w:noProof/>
            <w:webHidden/>
          </w:rPr>
          <w:t>13</w:t>
        </w:r>
        <w:r>
          <w:rPr>
            <w:noProof/>
            <w:webHidden/>
          </w:rPr>
          <w:fldChar w:fldCharType="end"/>
        </w:r>
      </w:hyperlink>
    </w:p>
    <w:p w14:paraId="290AF87E" w14:textId="792CB865" w:rsidR="00CC0781" w:rsidRDefault="00CC0781">
      <w:pPr>
        <w:pStyle w:val="Obsah4"/>
        <w:rPr>
          <w:rFonts w:eastAsiaTheme="minorEastAsia"/>
          <w:noProof/>
          <w:lang w:eastAsia="sk-SK"/>
        </w:rPr>
      </w:pPr>
      <w:hyperlink w:anchor="_Toc480547223" w:history="1">
        <w:r w:rsidRPr="00606124">
          <w:rPr>
            <w:rStyle w:val="Hypertextovprepojenie"/>
            <w:rFonts w:ascii="Times New Roman" w:hAnsi="Times New Roman" w:cs="Times New Roman"/>
            <w:noProof/>
          </w:rPr>
          <w:t>1.3.2.3.</w:t>
        </w:r>
        <w:r>
          <w:rPr>
            <w:rFonts w:eastAsiaTheme="minorEastAsia"/>
            <w:noProof/>
            <w:lang w:eastAsia="sk-SK"/>
          </w:rPr>
          <w:tab/>
        </w:r>
        <w:r w:rsidRPr="00606124">
          <w:rPr>
            <w:rStyle w:val="Hypertextovprepojenie"/>
            <w:rFonts w:ascii="Times New Roman" w:hAnsi="Times New Roman" w:cs="Times New Roman"/>
            <w:noProof/>
          </w:rPr>
          <w:t>Cieľ úspor energie u konečného spotrebiteľa (čl. 7 SEE)</w:t>
        </w:r>
        <w:r>
          <w:rPr>
            <w:noProof/>
            <w:webHidden/>
          </w:rPr>
          <w:tab/>
        </w:r>
        <w:r>
          <w:rPr>
            <w:noProof/>
            <w:webHidden/>
          </w:rPr>
          <w:fldChar w:fldCharType="begin"/>
        </w:r>
        <w:r>
          <w:rPr>
            <w:noProof/>
            <w:webHidden/>
          </w:rPr>
          <w:instrText xml:space="preserve"> PAGEREF _Toc480547223 \h </w:instrText>
        </w:r>
        <w:r>
          <w:rPr>
            <w:noProof/>
            <w:webHidden/>
          </w:rPr>
        </w:r>
        <w:r>
          <w:rPr>
            <w:noProof/>
            <w:webHidden/>
          </w:rPr>
          <w:fldChar w:fldCharType="separate"/>
        </w:r>
        <w:r w:rsidR="00684C5F">
          <w:rPr>
            <w:noProof/>
            <w:webHidden/>
          </w:rPr>
          <w:t>14</w:t>
        </w:r>
        <w:r>
          <w:rPr>
            <w:noProof/>
            <w:webHidden/>
          </w:rPr>
          <w:fldChar w:fldCharType="end"/>
        </w:r>
      </w:hyperlink>
    </w:p>
    <w:p w14:paraId="24EBD5B6" w14:textId="11E66F40" w:rsidR="00CC0781" w:rsidRDefault="00CC0781">
      <w:pPr>
        <w:pStyle w:val="Obsah3"/>
        <w:rPr>
          <w:rFonts w:eastAsiaTheme="minorEastAsia"/>
          <w:noProof/>
          <w:lang w:eastAsia="sk-SK"/>
        </w:rPr>
      </w:pPr>
      <w:hyperlink w:anchor="_Toc480547224" w:history="1">
        <w:r w:rsidRPr="00606124">
          <w:rPr>
            <w:rStyle w:val="Hypertextovprepojenie"/>
            <w:rFonts w:ascii="Times New Roman" w:hAnsi="Times New Roman" w:cs="Times New Roman"/>
            <w:noProof/>
          </w:rPr>
          <w:t>1.3.3.</w:t>
        </w:r>
        <w:r>
          <w:rPr>
            <w:rFonts w:eastAsiaTheme="minorEastAsia"/>
            <w:noProof/>
            <w:lang w:eastAsia="sk-SK"/>
          </w:rPr>
          <w:tab/>
        </w:r>
        <w:r w:rsidRPr="00606124">
          <w:rPr>
            <w:rStyle w:val="Hypertextovprepojenie"/>
            <w:rFonts w:ascii="Times New Roman" w:hAnsi="Times New Roman" w:cs="Times New Roman"/>
            <w:noProof/>
          </w:rPr>
          <w:t>Úspory primárnej energie</w:t>
        </w:r>
        <w:r>
          <w:rPr>
            <w:noProof/>
            <w:webHidden/>
          </w:rPr>
          <w:tab/>
        </w:r>
        <w:r>
          <w:rPr>
            <w:noProof/>
            <w:webHidden/>
          </w:rPr>
          <w:fldChar w:fldCharType="begin"/>
        </w:r>
        <w:r>
          <w:rPr>
            <w:noProof/>
            <w:webHidden/>
          </w:rPr>
          <w:instrText xml:space="preserve"> PAGEREF _Toc480547224 \h </w:instrText>
        </w:r>
        <w:r>
          <w:rPr>
            <w:noProof/>
            <w:webHidden/>
          </w:rPr>
        </w:r>
        <w:r>
          <w:rPr>
            <w:noProof/>
            <w:webHidden/>
          </w:rPr>
          <w:fldChar w:fldCharType="separate"/>
        </w:r>
        <w:r w:rsidR="00684C5F">
          <w:rPr>
            <w:noProof/>
            <w:webHidden/>
          </w:rPr>
          <w:t>16</w:t>
        </w:r>
        <w:r>
          <w:rPr>
            <w:noProof/>
            <w:webHidden/>
          </w:rPr>
          <w:fldChar w:fldCharType="end"/>
        </w:r>
      </w:hyperlink>
    </w:p>
    <w:p w14:paraId="06727C17" w14:textId="42AA3CE3" w:rsidR="00CC0781" w:rsidRDefault="00CC0781">
      <w:pPr>
        <w:pStyle w:val="Obsah1"/>
        <w:rPr>
          <w:rFonts w:eastAsiaTheme="minorEastAsia"/>
          <w:noProof/>
          <w:lang w:eastAsia="sk-SK"/>
        </w:rPr>
      </w:pPr>
      <w:hyperlink w:anchor="_Toc480547225" w:history="1">
        <w:r w:rsidRPr="00606124">
          <w:rPr>
            <w:rStyle w:val="Hypertextovprepojenie"/>
            <w:rFonts w:ascii="Times New Roman" w:hAnsi="Times New Roman" w:cs="Times New Roman"/>
            <w:b/>
            <w:noProof/>
          </w:rPr>
          <w:t>2.</w:t>
        </w:r>
        <w:r>
          <w:rPr>
            <w:rFonts w:eastAsiaTheme="minorEastAsia"/>
            <w:noProof/>
            <w:lang w:eastAsia="sk-SK"/>
          </w:rPr>
          <w:tab/>
        </w:r>
        <w:r w:rsidRPr="00606124">
          <w:rPr>
            <w:rStyle w:val="Hypertextovprepojenie"/>
            <w:rFonts w:ascii="Times New Roman" w:hAnsi="Times New Roman" w:cs="Times New Roman"/>
            <w:b/>
            <w:noProof/>
          </w:rPr>
          <w:t>Opatrenia energetickej efektívnosti</w:t>
        </w:r>
        <w:r>
          <w:rPr>
            <w:noProof/>
            <w:webHidden/>
          </w:rPr>
          <w:tab/>
        </w:r>
        <w:r>
          <w:rPr>
            <w:noProof/>
            <w:webHidden/>
          </w:rPr>
          <w:fldChar w:fldCharType="begin"/>
        </w:r>
        <w:r>
          <w:rPr>
            <w:noProof/>
            <w:webHidden/>
          </w:rPr>
          <w:instrText xml:space="preserve"> PAGEREF _Toc480547225 \h </w:instrText>
        </w:r>
        <w:r>
          <w:rPr>
            <w:noProof/>
            <w:webHidden/>
          </w:rPr>
        </w:r>
        <w:r>
          <w:rPr>
            <w:noProof/>
            <w:webHidden/>
          </w:rPr>
          <w:fldChar w:fldCharType="separate"/>
        </w:r>
        <w:r w:rsidR="00684C5F">
          <w:rPr>
            <w:noProof/>
            <w:webHidden/>
          </w:rPr>
          <w:t>17</w:t>
        </w:r>
        <w:r>
          <w:rPr>
            <w:noProof/>
            <w:webHidden/>
          </w:rPr>
          <w:fldChar w:fldCharType="end"/>
        </w:r>
      </w:hyperlink>
    </w:p>
    <w:p w14:paraId="710F3114" w14:textId="37C0BE43" w:rsidR="00CC0781" w:rsidRDefault="00CC0781" w:rsidP="00CC0781">
      <w:pPr>
        <w:pStyle w:val="Obsah2"/>
        <w:rPr>
          <w:rFonts w:eastAsiaTheme="minorEastAsia"/>
          <w:noProof/>
          <w:lang w:eastAsia="sk-SK"/>
        </w:rPr>
      </w:pPr>
      <w:hyperlink w:anchor="_Toc480547226" w:history="1">
        <w:r w:rsidRPr="00606124">
          <w:rPr>
            <w:rStyle w:val="Hypertextovprepojenie"/>
            <w:rFonts w:ascii="Times New Roman" w:hAnsi="Times New Roman" w:cs="Times New Roman"/>
            <w:noProof/>
          </w:rPr>
          <w:t>2.1</w:t>
        </w:r>
        <w:r>
          <w:rPr>
            <w:rFonts w:eastAsiaTheme="minorEastAsia"/>
            <w:noProof/>
            <w:lang w:eastAsia="sk-SK"/>
          </w:rPr>
          <w:tab/>
        </w:r>
        <w:r w:rsidRPr="00606124">
          <w:rPr>
            <w:rStyle w:val="Hypertextovprepojenie"/>
            <w:rFonts w:ascii="Times New Roman" w:hAnsi="Times New Roman" w:cs="Times New Roman"/>
            <w:noProof/>
          </w:rPr>
          <w:t>Metodika vyhodnocovania a plánovania opatrení energetickej efektívnosti</w:t>
        </w:r>
        <w:r>
          <w:rPr>
            <w:noProof/>
            <w:webHidden/>
          </w:rPr>
          <w:tab/>
        </w:r>
        <w:r>
          <w:rPr>
            <w:noProof/>
            <w:webHidden/>
          </w:rPr>
          <w:fldChar w:fldCharType="begin"/>
        </w:r>
        <w:r>
          <w:rPr>
            <w:noProof/>
            <w:webHidden/>
          </w:rPr>
          <w:instrText xml:space="preserve"> PAGEREF _Toc480547226 \h </w:instrText>
        </w:r>
        <w:r>
          <w:rPr>
            <w:noProof/>
            <w:webHidden/>
          </w:rPr>
        </w:r>
        <w:r>
          <w:rPr>
            <w:noProof/>
            <w:webHidden/>
          </w:rPr>
          <w:fldChar w:fldCharType="separate"/>
        </w:r>
        <w:r w:rsidR="00684C5F">
          <w:rPr>
            <w:noProof/>
            <w:webHidden/>
          </w:rPr>
          <w:t>17</w:t>
        </w:r>
        <w:r>
          <w:rPr>
            <w:noProof/>
            <w:webHidden/>
          </w:rPr>
          <w:fldChar w:fldCharType="end"/>
        </w:r>
      </w:hyperlink>
    </w:p>
    <w:p w14:paraId="6EDACB57" w14:textId="2BA9E5F7" w:rsidR="00CC0781" w:rsidRDefault="00CC0781" w:rsidP="00CC0781">
      <w:pPr>
        <w:pStyle w:val="Obsah2"/>
        <w:rPr>
          <w:rFonts w:eastAsiaTheme="minorEastAsia"/>
          <w:noProof/>
          <w:lang w:eastAsia="sk-SK"/>
        </w:rPr>
      </w:pPr>
      <w:hyperlink w:anchor="_Toc480547227" w:history="1">
        <w:r w:rsidRPr="00606124">
          <w:rPr>
            <w:rStyle w:val="Hypertextovprepojenie"/>
            <w:rFonts w:ascii="Times New Roman" w:hAnsi="Times New Roman" w:cs="Times New Roman"/>
            <w:noProof/>
          </w:rPr>
          <w:t>2.2</w:t>
        </w:r>
        <w:r>
          <w:rPr>
            <w:rFonts w:eastAsiaTheme="minorEastAsia"/>
            <w:noProof/>
            <w:lang w:eastAsia="sk-SK"/>
          </w:rPr>
          <w:tab/>
        </w:r>
        <w:r w:rsidRPr="00606124">
          <w:rPr>
            <w:rStyle w:val="Hypertextovprepojenie"/>
            <w:rFonts w:ascii="Times New Roman" w:hAnsi="Times New Roman" w:cs="Times New Roman"/>
            <w:noProof/>
          </w:rPr>
          <w:t>Opatrenia na strane spotreby energie v rokoch 2014 – 2016</w:t>
        </w:r>
        <w:r>
          <w:rPr>
            <w:noProof/>
            <w:webHidden/>
          </w:rPr>
          <w:tab/>
        </w:r>
        <w:r>
          <w:rPr>
            <w:noProof/>
            <w:webHidden/>
          </w:rPr>
          <w:fldChar w:fldCharType="begin"/>
        </w:r>
        <w:r>
          <w:rPr>
            <w:noProof/>
            <w:webHidden/>
          </w:rPr>
          <w:instrText xml:space="preserve"> PAGEREF _Toc480547227 \h </w:instrText>
        </w:r>
        <w:r>
          <w:rPr>
            <w:noProof/>
            <w:webHidden/>
          </w:rPr>
        </w:r>
        <w:r>
          <w:rPr>
            <w:noProof/>
            <w:webHidden/>
          </w:rPr>
          <w:fldChar w:fldCharType="separate"/>
        </w:r>
        <w:r w:rsidR="00684C5F">
          <w:rPr>
            <w:noProof/>
            <w:webHidden/>
          </w:rPr>
          <w:t>18</w:t>
        </w:r>
        <w:r>
          <w:rPr>
            <w:noProof/>
            <w:webHidden/>
          </w:rPr>
          <w:fldChar w:fldCharType="end"/>
        </w:r>
      </w:hyperlink>
    </w:p>
    <w:p w14:paraId="5AB7CB34" w14:textId="7050B913" w:rsidR="00CC0781" w:rsidRDefault="00CC0781">
      <w:pPr>
        <w:pStyle w:val="Obsah3"/>
        <w:rPr>
          <w:rFonts w:eastAsiaTheme="minorEastAsia"/>
          <w:noProof/>
          <w:lang w:eastAsia="sk-SK"/>
        </w:rPr>
      </w:pPr>
      <w:hyperlink w:anchor="_Toc480547231" w:history="1">
        <w:r w:rsidRPr="00606124">
          <w:rPr>
            <w:rStyle w:val="Hypertextovprepojenie"/>
            <w:rFonts w:ascii="Times New Roman" w:hAnsi="Times New Roman" w:cs="Times New Roman"/>
            <w:noProof/>
          </w:rPr>
          <w:t>2.2.1.</w:t>
        </w:r>
        <w:r>
          <w:rPr>
            <w:rFonts w:eastAsiaTheme="minorEastAsia"/>
            <w:noProof/>
            <w:lang w:eastAsia="sk-SK"/>
          </w:rPr>
          <w:tab/>
        </w:r>
        <w:r w:rsidRPr="00606124">
          <w:rPr>
            <w:rStyle w:val="Hypertextovprepojenie"/>
            <w:rFonts w:ascii="Times New Roman" w:hAnsi="Times New Roman" w:cs="Times New Roman"/>
            <w:noProof/>
          </w:rPr>
          <w:t>Opatrenia energetickej efektívnosti v sektore budov</w:t>
        </w:r>
        <w:r>
          <w:rPr>
            <w:noProof/>
            <w:webHidden/>
          </w:rPr>
          <w:tab/>
        </w:r>
        <w:r>
          <w:rPr>
            <w:noProof/>
            <w:webHidden/>
          </w:rPr>
          <w:fldChar w:fldCharType="begin"/>
        </w:r>
        <w:r>
          <w:rPr>
            <w:noProof/>
            <w:webHidden/>
          </w:rPr>
          <w:instrText xml:space="preserve"> PAGEREF _Toc480547231 \h </w:instrText>
        </w:r>
        <w:r>
          <w:rPr>
            <w:noProof/>
            <w:webHidden/>
          </w:rPr>
        </w:r>
        <w:r>
          <w:rPr>
            <w:noProof/>
            <w:webHidden/>
          </w:rPr>
          <w:fldChar w:fldCharType="separate"/>
        </w:r>
        <w:r w:rsidR="00684C5F">
          <w:rPr>
            <w:noProof/>
            <w:webHidden/>
          </w:rPr>
          <w:t>19</w:t>
        </w:r>
        <w:r>
          <w:rPr>
            <w:noProof/>
            <w:webHidden/>
          </w:rPr>
          <w:fldChar w:fldCharType="end"/>
        </w:r>
      </w:hyperlink>
    </w:p>
    <w:p w14:paraId="57FB7ACE" w14:textId="19F068B2" w:rsidR="00CC0781" w:rsidRDefault="00CC0781">
      <w:pPr>
        <w:pStyle w:val="Obsah3"/>
        <w:rPr>
          <w:rFonts w:eastAsiaTheme="minorEastAsia"/>
          <w:noProof/>
          <w:lang w:eastAsia="sk-SK"/>
        </w:rPr>
      </w:pPr>
      <w:hyperlink w:anchor="_Toc480547232" w:history="1">
        <w:r w:rsidRPr="00606124">
          <w:rPr>
            <w:rStyle w:val="Hypertextovprepojenie"/>
            <w:rFonts w:ascii="Times New Roman" w:hAnsi="Times New Roman" w:cs="Times New Roman"/>
            <w:noProof/>
          </w:rPr>
          <w:t>2.2.2.</w:t>
        </w:r>
        <w:r>
          <w:rPr>
            <w:rFonts w:eastAsiaTheme="minorEastAsia"/>
            <w:noProof/>
            <w:lang w:eastAsia="sk-SK"/>
          </w:rPr>
          <w:tab/>
        </w:r>
        <w:r w:rsidRPr="00606124">
          <w:rPr>
            <w:rStyle w:val="Hypertextovprepojenie"/>
            <w:rFonts w:ascii="Times New Roman" w:hAnsi="Times New Roman" w:cs="Times New Roman"/>
            <w:noProof/>
          </w:rPr>
          <w:t>Opatrenia energetickej efektívnosti v sektore priemysel</w:t>
        </w:r>
        <w:r>
          <w:rPr>
            <w:noProof/>
            <w:webHidden/>
          </w:rPr>
          <w:tab/>
        </w:r>
        <w:r>
          <w:rPr>
            <w:noProof/>
            <w:webHidden/>
          </w:rPr>
          <w:fldChar w:fldCharType="begin"/>
        </w:r>
        <w:r>
          <w:rPr>
            <w:noProof/>
            <w:webHidden/>
          </w:rPr>
          <w:instrText xml:space="preserve"> PAGEREF _Toc480547232 \h </w:instrText>
        </w:r>
        <w:r>
          <w:rPr>
            <w:noProof/>
            <w:webHidden/>
          </w:rPr>
        </w:r>
        <w:r>
          <w:rPr>
            <w:noProof/>
            <w:webHidden/>
          </w:rPr>
          <w:fldChar w:fldCharType="separate"/>
        </w:r>
        <w:r w:rsidR="00684C5F">
          <w:rPr>
            <w:noProof/>
            <w:webHidden/>
          </w:rPr>
          <w:t>21</w:t>
        </w:r>
        <w:r>
          <w:rPr>
            <w:noProof/>
            <w:webHidden/>
          </w:rPr>
          <w:fldChar w:fldCharType="end"/>
        </w:r>
      </w:hyperlink>
    </w:p>
    <w:p w14:paraId="65A326C5" w14:textId="4401550D" w:rsidR="00CC0781" w:rsidRDefault="00CC0781">
      <w:pPr>
        <w:pStyle w:val="Obsah3"/>
        <w:rPr>
          <w:rFonts w:eastAsiaTheme="minorEastAsia"/>
          <w:noProof/>
          <w:lang w:eastAsia="sk-SK"/>
        </w:rPr>
      </w:pPr>
      <w:hyperlink w:anchor="_Toc480547233" w:history="1">
        <w:r w:rsidRPr="00606124">
          <w:rPr>
            <w:rStyle w:val="Hypertextovprepojenie"/>
            <w:rFonts w:ascii="Times New Roman" w:hAnsi="Times New Roman" w:cs="Times New Roman"/>
            <w:noProof/>
          </w:rPr>
          <w:t>2.2.3.</w:t>
        </w:r>
        <w:r>
          <w:rPr>
            <w:rFonts w:eastAsiaTheme="minorEastAsia"/>
            <w:noProof/>
            <w:lang w:eastAsia="sk-SK"/>
          </w:rPr>
          <w:tab/>
        </w:r>
        <w:r w:rsidRPr="00606124">
          <w:rPr>
            <w:rStyle w:val="Hypertextovprepojenie"/>
            <w:rFonts w:ascii="Times New Roman" w:hAnsi="Times New Roman" w:cs="Times New Roman"/>
            <w:noProof/>
          </w:rPr>
          <w:t>Opatrenia energetickej efektívnosti vo verejnom sektore</w:t>
        </w:r>
        <w:r>
          <w:rPr>
            <w:noProof/>
            <w:webHidden/>
          </w:rPr>
          <w:tab/>
        </w:r>
        <w:r>
          <w:rPr>
            <w:noProof/>
            <w:webHidden/>
          </w:rPr>
          <w:fldChar w:fldCharType="begin"/>
        </w:r>
        <w:r>
          <w:rPr>
            <w:noProof/>
            <w:webHidden/>
          </w:rPr>
          <w:instrText xml:space="preserve"> PAGEREF _Toc480547233 \h </w:instrText>
        </w:r>
        <w:r>
          <w:rPr>
            <w:noProof/>
            <w:webHidden/>
          </w:rPr>
        </w:r>
        <w:r>
          <w:rPr>
            <w:noProof/>
            <w:webHidden/>
          </w:rPr>
          <w:fldChar w:fldCharType="separate"/>
        </w:r>
        <w:r w:rsidR="00684C5F">
          <w:rPr>
            <w:noProof/>
            <w:webHidden/>
          </w:rPr>
          <w:t>23</w:t>
        </w:r>
        <w:r>
          <w:rPr>
            <w:noProof/>
            <w:webHidden/>
          </w:rPr>
          <w:fldChar w:fldCharType="end"/>
        </w:r>
      </w:hyperlink>
    </w:p>
    <w:p w14:paraId="3F135006" w14:textId="6D32A382" w:rsidR="00CC0781" w:rsidRDefault="00CC0781">
      <w:pPr>
        <w:pStyle w:val="Obsah3"/>
        <w:rPr>
          <w:rFonts w:eastAsiaTheme="minorEastAsia"/>
          <w:noProof/>
          <w:lang w:eastAsia="sk-SK"/>
        </w:rPr>
      </w:pPr>
      <w:hyperlink w:anchor="_Toc480547234" w:history="1">
        <w:r w:rsidRPr="00606124">
          <w:rPr>
            <w:rStyle w:val="Hypertextovprepojenie"/>
            <w:rFonts w:ascii="Times New Roman" w:hAnsi="Times New Roman" w:cs="Times New Roman"/>
            <w:noProof/>
          </w:rPr>
          <w:t>2.2.4.</w:t>
        </w:r>
        <w:r>
          <w:rPr>
            <w:rFonts w:eastAsiaTheme="minorEastAsia"/>
            <w:noProof/>
            <w:lang w:eastAsia="sk-SK"/>
          </w:rPr>
          <w:tab/>
        </w:r>
        <w:r w:rsidRPr="00606124">
          <w:rPr>
            <w:rStyle w:val="Hypertextovprepojenie"/>
            <w:rFonts w:ascii="Times New Roman" w:hAnsi="Times New Roman" w:cs="Times New Roman"/>
            <w:noProof/>
          </w:rPr>
          <w:t>Opatrenia energetickej efektívnosti v sektore doprava</w:t>
        </w:r>
        <w:r>
          <w:rPr>
            <w:noProof/>
            <w:webHidden/>
          </w:rPr>
          <w:tab/>
        </w:r>
        <w:r>
          <w:rPr>
            <w:noProof/>
            <w:webHidden/>
          </w:rPr>
          <w:fldChar w:fldCharType="begin"/>
        </w:r>
        <w:r>
          <w:rPr>
            <w:noProof/>
            <w:webHidden/>
          </w:rPr>
          <w:instrText xml:space="preserve"> PAGEREF _Toc480547234 \h </w:instrText>
        </w:r>
        <w:r>
          <w:rPr>
            <w:noProof/>
            <w:webHidden/>
          </w:rPr>
        </w:r>
        <w:r>
          <w:rPr>
            <w:noProof/>
            <w:webHidden/>
          </w:rPr>
          <w:fldChar w:fldCharType="separate"/>
        </w:r>
        <w:r w:rsidR="00684C5F">
          <w:rPr>
            <w:noProof/>
            <w:webHidden/>
          </w:rPr>
          <w:t>25</w:t>
        </w:r>
        <w:r>
          <w:rPr>
            <w:noProof/>
            <w:webHidden/>
          </w:rPr>
          <w:fldChar w:fldCharType="end"/>
        </w:r>
      </w:hyperlink>
    </w:p>
    <w:p w14:paraId="62F1C4B4" w14:textId="02D23F66" w:rsidR="00CC0781" w:rsidRDefault="00CC0781">
      <w:pPr>
        <w:pStyle w:val="Obsah3"/>
        <w:rPr>
          <w:rFonts w:eastAsiaTheme="minorEastAsia"/>
          <w:noProof/>
          <w:lang w:eastAsia="sk-SK"/>
        </w:rPr>
      </w:pPr>
      <w:hyperlink w:anchor="_Toc480547235" w:history="1">
        <w:r w:rsidRPr="00606124">
          <w:rPr>
            <w:rStyle w:val="Hypertextovprepojenie"/>
            <w:rFonts w:ascii="Times New Roman" w:hAnsi="Times New Roman" w:cs="Times New Roman"/>
            <w:noProof/>
          </w:rPr>
          <w:t>2.2.5</w:t>
        </w:r>
        <w:r>
          <w:rPr>
            <w:rFonts w:eastAsiaTheme="minorEastAsia"/>
            <w:noProof/>
            <w:lang w:eastAsia="sk-SK"/>
          </w:rPr>
          <w:tab/>
        </w:r>
        <w:r w:rsidRPr="00606124">
          <w:rPr>
            <w:rStyle w:val="Hypertextovprepojenie"/>
            <w:rFonts w:ascii="Times New Roman" w:hAnsi="Times New Roman" w:cs="Times New Roman"/>
            <w:noProof/>
          </w:rPr>
          <w:t>Opatrenia energetickej efektívnosti v sektore spotrebiče</w:t>
        </w:r>
        <w:r>
          <w:rPr>
            <w:noProof/>
            <w:webHidden/>
          </w:rPr>
          <w:tab/>
        </w:r>
        <w:r>
          <w:rPr>
            <w:noProof/>
            <w:webHidden/>
          </w:rPr>
          <w:fldChar w:fldCharType="begin"/>
        </w:r>
        <w:r>
          <w:rPr>
            <w:noProof/>
            <w:webHidden/>
          </w:rPr>
          <w:instrText xml:space="preserve"> PAGEREF _Toc480547235 \h </w:instrText>
        </w:r>
        <w:r>
          <w:rPr>
            <w:noProof/>
            <w:webHidden/>
          </w:rPr>
        </w:r>
        <w:r>
          <w:rPr>
            <w:noProof/>
            <w:webHidden/>
          </w:rPr>
          <w:fldChar w:fldCharType="separate"/>
        </w:r>
        <w:r w:rsidR="00684C5F">
          <w:rPr>
            <w:noProof/>
            <w:webHidden/>
          </w:rPr>
          <w:t>26</w:t>
        </w:r>
        <w:r>
          <w:rPr>
            <w:noProof/>
            <w:webHidden/>
          </w:rPr>
          <w:fldChar w:fldCharType="end"/>
        </w:r>
      </w:hyperlink>
    </w:p>
    <w:p w14:paraId="70141504" w14:textId="0B16A3EC" w:rsidR="00CC0781" w:rsidRDefault="00CC0781" w:rsidP="00CC0781">
      <w:pPr>
        <w:pStyle w:val="Obsah2"/>
        <w:rPr>
          <w:rFonts w:eastAsiaTheme="minorEastAsia"/>
          <w:noProof/>
          <w:lang w:eastAsia="sk-SK"/>
        </w:rPr>
      </w:pPr>
      <w:hyperlink w:anchor="_Toc480547236" w:history="1">
        <w:r w:rsidRPr="00606124">
          <w:rPr>
            <w:rStyle w:val="Hypertextovprepojenie"/>
            <w:rFonts w:ascii="Times New Roman" w:hAnsi="Times New Roman" w:cs="Times New Roman"/>
            <w:noProof/>
          </w:rPr>
          <w:t>2.3</w:t>
        </w:r>
        <w:r>
          <w:rPr>
            <w:rFonts w:eastAsiaTheme="minorEastAsia"/>
            <w:noProof/>
            <w:lang w:eastAsia="sk-SK"/>
          </w:rPr>
          <w:tab/>
        </w:r>
        <w:r w:rsidRPr="00606124">
          <w:rPr>
            <w:rStyle w:val="Hypertextovprepojenie"/>
            <w:rFonts w:ascii="Times New Roman" w:hAnsi="Times New Roman" w:cs="Times New Roman"/>
            <w:noProof/>
          </w:rPr>
          <w:t>Opatrenia na strane premeny, prenosu a distribúcie energie</w:t>
        </w:r>
        <w:r>
          <w:rPr>
            <w:noProof/>
            <w:webHidden/>
          </w:rPr>
          <w:tab/>
        </w:r>
        <w:r>
          <w:rPr>
            <w:noProof/>
            <w:webHidden/>
          </w:rPr>
          <w:fldChar w:fldCharType="begin"/>
        </w:r>
        <w:r>
          <w:rPr>
            <w:noProof/>
            <w:webHidden/>
          </w:rPr>
          <w:instrText xml:space="preserve"> PAGEREF _Toc480547236 \h </w:instrText>
        </w:r>
        <w:r>
          <w:rPr>
            <w:noProof/>
            <w:webHidden/>
          </w:rPr>
        </w:r>
        <w:r>
          <w:rPr>
            <w:noProof/>
            <w:webHidden/>
          </w:rPr>
          <w:fldChar w:fldCharType="separate"/>
        </w:r>
        <w:r w:rsidR="00684C5F">
          <w:rPr>
            <w:noProof/>
            <w:webHidden/>
          </w:rPr>
          <w:t>28</w:t>
        </w:r>
        <w:r>
          <w:rPr>
            <w:noProof/>
            <w:webHidden/>
          </w:rPr>
          <w:fldChar w:fldCharType="end"/>
        </w:r>
      </w:hyperlink>
    </w:p>
    <w:p w14:paraId="4D771C4F" w14:textId="26A6CBDC" w:rsidR="00CC0781" w:rsidRDefault="00CC0781" w:rsidP="00CC0781">
      <w:pPr>
        <w:pStyle w:val="Obsah2"/>
        <w:rPr>
          <w:rFonts w:eastAsiaTheme="minorEastAsia"/>
          <w:noProof/>
          <w:lang w:eastAsia="sk-SK"/>
        </w:rPr>
      </w:pPr>
      <w:hyperlink w:anchor="_Toc480547238" w:history="1">
        <w:r w:rsidRPr="00606124">
          <w:rPr>
            <w:rStyle w:val="Hypertextovprepojenie"/>
            <w:rFonts w:ascii="Times New Roman" w:hAnsi="Times New Roman" w:cs="Times New Roman"/>
            <w:noProof/>
          </w:rPr>
          <w:t>2.4</w:t>
        </w:r>
        <w:r>
          <w:rPr>
            <w:rFonts w:eastAsiaTheme="minorEastAsia"/>
            <w:noProof/>
            <w:lang w:eastAsia="sk-SK"/>
          </w:rPr>
          <w:tab/>
        </w:r>
        <w:r w:rsidRPr="00606124">
          <w:rPr>
            <w:rStyle w:val="Hypertextovprepojenie"/>
            <w:rFonts w:ascii="Times New Roman" w:hAnsi="Times New Roman" w:cs="Times New Roman"/>
            <w:noProof/>
          </w:rPr>
          <w:t>Celkové vyhodnotenie opatrení energetickej efektívnosti za roky 2014-2016</w:t>
        </w:r>
        <w:r>
          <w:rPr>
            <w:noProof/>
            <w:webHidden/>
          </w:rPr>
          <w:tab/>
        </w:r>
        <w:r>
          <w:rPr>
            <w:noProof/>
            <w:webHidden/>
          </w:rPr>
          <w:fldChar w:fldCharType="begin"/>
        </w:r>
        <w:r>
          <w:rPr>
            <w:noProof/>
            <w:webHidden/>
          </w:rPr>
          <w:instrText xml:space="preserve"> PAGEREF _Toc480547238 \h </w:instrText>
        </w:r>
        <w:r>
          <w:rPr>
            <w:noProof/>
            <w:webHidden/>
          </w:rPr>
        </w:r>
        <w:r>
          <w:rPr>
            <w:noProof/>
            <w:webHidden/>
          </w:rPr>
          <w:fldChar w:fldCharType="separate"/>
        </w:r>
        <w:r w:rsidR="00684C5F">
          <w:rPr>
            <w:noProof/>
            <w:webHidden/>
          </w:rPr>
          <w:t>29</w:t>
        </w:r>
        <w:r>
          <w:rPr>
            <w:noProof/>
            <w:webHidden/>
          </w:rPr>
          <w:fldChar w:fldCharType="end"/>
        </w:r>
      </w:hyperlink>
    </w:p>
    <w:p w14:paraId="6D85E53A" w14:textId="36A6FD2C" w:rsidR="00CC0781" w:rsidRDefault="00CC0781" w:rsidP="00CC0781">
      <w:pPr>
        <w:pStyle w:val="Obsah2"/>
        <w:rPr>
          <w:rFonts w:eastAsiaTheme="minorEastAsia"/>
          <w:noProof/>
          <w:lang w:eastAsia="sk-SK"/>
        </w:rPr>
      </w:pPr>
      <w:hyperlink w:anchor="_Toc480547239" w:history="1">
        <w:r w:rsidRPr="00606124">
          <w:rPr>
            <w:rStyle w:val="Hypertextovprepojenie"/>
            <w:rFonts w:ascii="Times New Roman" w:hAnsi="Times New Roman" w:cs="Times New Roman"/>
            <w:noProof/>
          </w:rPr>
          <w:t>2.5</w:t>
        </w:r>
        <w:r>
          <w:rPr>
            <w:rFonts w:eastAsiaTheme="minorEastAsia"/>
            <w:noProof/>
            <w:lang w:eastAsia="sk-SK"/>
          </w:rPr>
          <w:tab/>
        </w:r>
        <w:r w:rsidRPr="00606124">
          <w:rPr>
            <w:rStyle w:val="Hypertextovprepojenie"/>
            <w:rFonts w:ascii="Times New Roman" w:hAnsi="Times New Roman" w:cs="Times New Roman"/>
            <w:noProof/>
          </w:rPr>
          <w:t>Plánované opatrenia energetickej efektívnosti na obdobie 2017-2019       s výhľadom do roku 2020</w:t>
        </w:r>
        <w:r>
          <w:rPr>
            <w:noProof/>
            <w:webHidden/>
          </w:rPr>
          <w:tab/>
        </w:r>
        <w:r>
          <w:rPr>
            <w:noProof/>
            <w:webHidden/>
          </w:rPr>
          <w:fldChar w:fldCharType="begin"/>
        </w:r>
        <w:r>
          <w:rPr>
            <w:noProof/>
            <w:webHidden/>
          </w:rPr>
          <w:instrText xml:space="preserve"> PAGEREF _Toc480547239 \h </w:instrText>
        </w:r>
        <w:r>
          <w:rPr>
            <w:noProof/>
            <w:webHidden/>
          </w:rPr>
        </w:r>
        <w:r>
          <w:rPr>
            <w:noProof/>
            <w:webHidden/>
          </w:rPr>
          <w:fldChar w:fldCharType="separate"/>
        </w:r>
        <w:r w:rsidR="00684C5F">
          <w:rPr>
            <w:noProof/>
            <w:webHidden/>
          </w:rPr>
          <w:t>31</w:t>
        </w:r>
        <w:r>
          <w:rPr>
            <w:noProof/>
            <w:webHidden/>
          </w:rPr>
          <w:fldChar w:fldCharType="end"/>
        </w:r>
      </w:hyperlink>
    </w:p>
    <w:p w14:paraId="44B7DCCE" w14:textId="47A07111" w:rsidR="00CC0781" w:rsidRDefault="00CC0781">
      <w:pPr>
        <w:pStyle w:val="Obsah3"/>
        <w:rPr>
          <w:rFonts w:eastAsiaTheme="minorEastAsia"/>
          <w:noProof/>
          <w:lang w:eastAsia="sk-SK"/>
        </w:rPr>
      </w:pPr>
      <w:hyperlink w:anchor="_Toc480547240" w:history="1">
        <w:r w:rsidRPr="00606124">
          <w:rPr>
            <w:rStyle w:val="Hypertextovprepojenie"/>
            <w:rFonts w:ascii="Times New Roman" w:hAnsi="Times New Roman" w:cs="Times New Roman"/>
            <w:noProof/>
          </w:rPr>
          <w:t>2.5.1</w:t>
        </w:r>
        <w:r>
          <w:rPr>
            <w:rFonts w:eastAsiaTheme="minorEastAsia"/>
            <w:noProof/>
            <w:lang w:eastAsia="sk-SK"/>
          </w:rPr>
          <w:tab/>
        </w:r>
        <w:r w:rsidRPr="00606124">
          <w:rPr>
            <w:rStyle w:val="Hypertextovprepojenie"/>
            <w:rFonts w:ascii="Times New Roman" w:hAnsi="Times New Roman" w:cs="Times New Roman"/>
            <w:noProof/>
          </w:rPr>
          <w:t>Plánované opatrenia v sektore budov</w:t>
        </w:r>
        <w:r>
          <w:rPr>
            <w:noProof/>
            <w:webHidden/>
          </w:rPr>
          <w:tab/>
        </w:r>
        <w:r>
          <w:rPr>
            <w:noProof/>
            <w:webHidden/>
          </w:rPr>
          <w:fldChar w:fldCharType="begin"/>
        </w:r>
        <w:r>
          <w:rPr>
            <w:noProof/>
            <w:webHidden/>
          </w:rPr>
          <w:instrText xml:space="preserve"> PAGEREF _Toc480547240 \h </w:instrText>
        </w:r>
        <w:r>
          <w:rPr>
            <w:noProof/>
            <w:webHidden/>
          </w:rPr>
        </w:r>
        <w:r>
          <w:rPr>
            <w:noProof/>
            <w:webHidden/>
          </w:rPr>
          <w:fldChar w:fldCharType="separate"/>
        </w:r>
        <w:r w:rsidR="00684C5F">
          <w:rPr>
            <w:noProof/>
            <w:webHidden/>
          </w:rPr>
          <w:t>31</w:t>
        </w:r>
        <w:r>
          <w:rPr>
            <w:noProof/>
            <w:webHidden/>
          </w:rPr>
          <w:fldChar w:fldCharType="end"/>
        </w:r>
      </w:hyperlink>
    </w:p>
    <w:p w14:paraId="5C9E92B1" w14:textId="3988229B" w:rsidR="00CC0781" w:rsidRDefault="00CC0781">
      <w:pPr>
        <w:pStyle w:val="Obsah3"/>
        <w:rPr>
          <w:rFonts w:eastAsiaTheme="minorEastAsia"/>
          <w:noProof/>
          <w:lang w:eastAsia="sk-SK"/>
        </w:rPr>
      </w:pPr>
      <w:hyperlink w:anchor="_Toc480547241" w:history="1">
        <w:r w:rsidRPr="00606124">
          <w:rPr>
            <w:rStyle w:val="Hypertextovprepojenie"/>
            <w:rFonts w:ascii="Times New Roman" w:hAnsi="Times New Roman" w:cs="Times New Roman"/>
            <w:noProof/>
          </w:rPr>
          <w:t>2.5.2</w:t>
        </w:r>
        <w:r>
          <w:rPr>
            <w:rFonts w:eastAsiaTheme="minorEastAsia"/>
            <w:noProof/>
            <w:lang w:eastAsia="sk-SK"/>
          </w:rPr>
          <w:tab/>
        </w:r>
        <w:r w:rsidRPr="00606124">
          <w:rPr>
            <w:rStyle w:val="Hypertextovprepojenie"/>
            <w:rFonts w:ascii="Times New Roman" w:hAnsi="Times New Roman" w:cs="Times New Roman"/>
            <w:noProof/>
          </w:rPr>
          <w:t>Plánované opatrenia v sektore priemysel</w:t>
        </w:r>
        <w:r>
          <w:rPr>
            <w:noProof/>
            <w:webHidden/>
          </w:rPr>
          <w:tab/>
        </w:r>
        <w:r>
          <w:rPr>
            <w:noProof/>
            <w:webHidden/>
          </w:rPr>
          <w:fldChar w:fldCharType="begin"/>
        </w:r>
        <w:r>
          <w:rPr>
            <w:noProof/>
            <w:webHidden/>
          </w:rPr>
          <w:instrText xml:space="preserve"> PAGEREF _Toc480547241 \h </w:instrText>
        </w:r>
        <w:r>
          <w:rPr>
            <w:noProof/>
            <w:webHidden/>
          </w:rPr>
        </w:r>
        <w:r>
          <w:rPr>
            <w:noProof/>
            <w:webHidden/>
          </w:rPr>
          <w:fldChar w:fldCharType="separate"/>
        </w:r>
        <w:r w:rsidR="00684C5F">
          <w:rPr>
            <w:noProof/>
            <w:webHidden/>
          </w:rPr>
          <w:t>31</w:t>
        </w:r>
        <w:r>
          <w:rPr>
            <w:noProof/>
            <w:webHidden/>
          </w:rPr>
          <w:fldChar w:fldCharType="end"/>
        </w:r>
      </w:hyperlink>
    </w:p>
    <w:p w14:paraId="4A6E718F" w14:textId="5DB7F2C0" w:rsidR="00CC0781" w:rsidRDefault="00CC0781">
      <w:pPr>
        <w:pStyle w:val="Obsah3"/>
        <w:rPr>
          <w:rFonts w:eastAsiaTheme="minorEastAsia"/>
          <w:noProof/>
          <w:lang w:eastAsia="sk-SK"/>
        </w:rPr>
      </w:pPr>
      <w:hyperlink w:anchor="_Toc480547242" w:history="1">
        <w:r w:rsidRPr="00606124">
          <w:rPr>
            <w:rStyle w:val="Hypertextovprepojenie"/>
            <w:rFonts w:ascii="Times New Roman" w:hAnsi="Times New Roman" w:cs="Times New Roman"/>
            <w:noProof/>
          </w:rPr>
          <w:t>2.5.3</w:t>
        </w:r>
        <w:r>
          <w:rPr>
            <w:rFonts w:eastAsiaTheme="minorEastAsia"/>
            <w:noProof/>
            <w:lang w:eastAsia="sk-SK"/>
          </w:rPr>
          <w:tab/>
        </w:r>
        <w:r w:rsidRPr="00606124">
          <w:rPr>
            <w:rStyle w:val="Hypertextovprepojenie"/>
            <w:rFonts w:ascii="Times New Roman" w:hAnsi="Times New Roman" w:cs="Times New Roman"/>
            <w:noProof/>
          </w:rPr>
          <w:t>Plánované opatrenia vo verejnom sektore</w:t>
        </w:r>
        <w:r>
          <w:rPr>
            <w:noProof/>
            <w:webHidden/>
          </w:rPr>
          <w:tab/>
        </w:r>
        <w:r>
          <w:rPr>
            <w:noProof/>
            <w:webHidden/>
          </w:rPr>
          <w:fldChar w:fldCharType="begin"/>
        </w:r>
        <w:r>
          <w:rPr>
            <w:noProof/>
            <w:webHidden/>
          </w:rPr>
          <w:instrText xml:space="preserve"> PAGEREF _Toc480547242 \h </w:instrText>
        </w:r>
        <w:r>
          <w:rPr>
            <w:noProof/>
            <w:webHidden/>
          </w:rPr>
        </w:r>
        <w:r>
          <w:rPr>
            <w:noProof/>
            <w:webHidden/>
          </w:rPr>
          <w:fldChar w:fldCharType="separate"/>
        </w:r>
        <w:r w:rsidR="00684C5F">
          <w:rPr>
            <w:noProof/>
            <w:webHidden/>
          </w:rPr>
          <w:t>31</w:t>
        </w:r>
        <w:r>
          <w:rPr>
            <w:noProof/>
            <w:webHidden/>
          </w:rPr>
          <w:fldChar w:fldCharType="end"/>
        </w:r>
      </w:hyperlink>
    </w:p>
    <w:p w14:paraId="0A074BF3" w14:textId="1A435CE4" w:rsidR="00CC0781" w:rsidRDefault="00CC0781">
      <w:pPr>
        <w:pStyle w:val="Obsah3"/>
        <w:rPr>
          <w:rFonts w:eastAsiaTheme="minorEastAsia"/>
          <w:noProof/>
          <w:lang w:eastAsia="sk-SK"/>
        </w:rPr>
      </w:pPr>
      <w:hyperlink w:anchor="_Toc480547243" w:history="1">
        <w:r w:rsidRPr="00606124">
          <w:rPr>
            <w:rStyle w:val="Hypertextovprepojenie"/>
            <w:rFonts w:ascii="Times New Roman" w:hAnsi="Times New Roman" w:cs="Times New Roman"/>
            <w:noProof/>
          </w:rPr>
          <w:t>2.5.4</w:t>
        </w:r>
        <w:r>
          <w:rPr>
            <w:rFonts w:eastAsiaTheme="minorEastAsia"/>
            <w:noProof/>
            <w:lang w:eastAsia="sk-SK"/>
          </w:rPr>
          <w:tab/>
        </w:r>
        <w:r w:rsidRPr="00606124">
          <w:rPr>
            <w:rStyle w:val="Hypertextovprepojenie"/>
            <w:rFonts w:ascii="Times New Roman" w:hAnsi="Times New Roman" w:cs="Times New Roman"/>
            <w:noProof/>
          </w:rPr>
          <w:t>Plánované opatrenia v sektore doprava</w:t>
        </w:r>
        <w:r>
          <w:rPr>
            <w:noProof/>
            <w:webHidden/>
          </w:rPr>
          <w:tab/>
        </w:r>
        <w:r>
          <w:rPr>
            <w:noProof/>
            <w:webHidden/>
          </w:rPr>
          <w:fldChar w:fldCharType="begin"/>
        </w:r>
        <w:r>
          <w:rPr>
            <w:noProof/>
            <w:webHidden/>
          </w:rPr>
          <w:instrText xml:space="preserve"> PAGEREF _Toc480547243 \h </w:instrText>
        </w:r>
        <w:r>
          <w:rPr>
            <w:noProof/>
            <w:webHidden/>
          </w:rPr>
        </w:r>
        <w:r>
          <w:rPr>
            <w:noProof/>
            <w:webHidden/>
          </w:rPr>
          <w:fldChar w:fldCharType="separate"/>
        </w:r>
        <w:r w:rsidR="00684C5F">
          <w:rPr>
            <w:noProof/>
            <w:webHidden/>
          </w:rPr>
          <w:t>32</w:t>
        </w:r>
        <w:r>
          <w:rPr>
            <w:noProof/>
            <w:webHidden/>
          </w:rPr>
          <w:fldChar w:fldCharType="end"/>
        </w:r>
      </w:hyperlink>
    </w:p>
    <w:p w14:paraId="54F96A50" w14:textId="6D136D51" w:rsidR="00CC0781" w:rsidRDefault="00CC0781">
      <w:pPr>
        <w:pStyle w:val="Obsah3"/>
        <w:rPr>
          <w:rFonts w:eastAsiaTheme="minorEastAsia"/>
          <w:noProof/>
          <w:lang w:eastAsia="sk-SK"/>
        </w:rPr>
      </w:pPr>
      <w:hyperlink w:anchor="_Toc480547244" w:history="1">
        <w:r w:rsidRPr="00606124">
          <w:rPr>
            <w:rStyle w:val="Hypertextovprepojenie"/>
            <w:rFonts w:ascii="Times New Roman" w:hAnsi="Times New Roman" w:cs="Times New Roman"/>
            <w:noProof/>
          </w:rPr>
          <w:t>2.5.5</w:t>
        </w:r>
        <w:r>
          <w:rPr>
            <w:rFonts w:eastAsiaTheme="minorEastAsia"/>
            <w:noProof/>
            <w:lang w:eastAsia="sk-SK"/>
          </w:rPr>
          <w:tab/>
        </w:r>
        <w:r w:rsidRPr="00606124">
          <w:rPr>
            <w:rStyle w:val="Hypertextovprepojenie"/>
            <w:rFonts w:ascii="Times New Roman" w:hAnsi="Times New Roman" w:cs="Times New Roman"/>
            <w:noProof/>
          </w:rPr>
          <w:t>Plánované opatrenia v sektore spotrebiče</w:t>
        </w:r>
        <w:r>
          <w:rPr>
            <w:noProof/>
            <w:webHidden/>
          </w:rPr>
          <w:tab/>
        </w:r>
        <w:r>
          <w:rPr>
            <w:noProof/>
            <w:webHidden/>
          </w:rPr>
          <w:fldChar w:fldCharType="begin"/>
        </w:r>
        <w:r>
          <w:rPr>
            <w:noProof/>
            <w:webHidden/>
          </w:rPr>
          <w:instrText xml:space="preserve"> PAGEREF _Toc480547244 \h </w:instrText>
        </w:r>
        <w:r>
          <w:rPr>
            <w:noProof/>
            <w:webHidden/>
          </w:rPr>
        </w:r>
        <w:r>
          <w:rPr>
            <w:noProof/>
            <w:webHidden/>
          </w:rPr>
          <w:fldChar w:fldCharType="separate"/>
        </w:r>
        <w:r w:rsidR="00684C5F">
          <w:rPr>
            <w:noProof/>
            <w:webHidden/>
          </w:rPr>
          <w:t>32</w:t>
        </w:r>
        <w:r>
          <w:rPr>
            <w:noProof/>
            <w:webHidden/>
          </w:rPr>
          <w:fldChar w:fldCharType="end"/>
        </w:r>
      </w:hyperlink>
    </w:p>
    <w:p w14:paraId="7F707260" w14:textId="7B9A1099" w:rsidR="00CC0781" w:rsidRDefault="00CC0781">
      <w:pPr>
        <w:pStyle w:val="Obsah3"/>
        <w:rPr>
          <w:rFonts w:eastAsiaTheme="minorEastAsia"/>
          <w:noProof/>
          <w:lang w:eastAsia="sk-SK"/>
        </w:rPr>
      </w:pPr>
      <w:hyperlink w:anchor="_Toc480547245" w:history="1">
        <w:r w:rsidRPr="00606124">
          <w:rPr>
            <w:rStyle w:val="Hypertextovprepojenie"/>
            <w:rFonts w:ascii="Times New Roman" w:hAnsi="Times New Roman" w:cs="Times New Roman"/>
            <w:noProof/>
          </w:rPr>
          <w:t>2.5.6</w:t>
        </w:r>
        <w:r>
          <w:rPr>
            <w:rFonts w:eastAsiaTheme="minorEastAsia"/>
            <w:noProof/>
            <w:lang w:eastAsia="sk-SK"/>
          </w:rPr>
          <w:tab/>
        </w:r>
        <w:r w:rsidRPr="00606124">
          <w:rPr>
            <w:rStyle w:val="Hypertextovprepojenie"/>
            <w:rFonts w:ascii="Times New Roman" w:hAnsi="Times New Roman" w:cs="Times New Roman"/>
            <w:noProof/>
          </w:rPr>
          <w:t>Plánované opatrenia v sektore premena, prenos a distribúcia energie</w:t>
        </w:r>
        <w:r>
          <w:rPr>
            <w:noProof/>
            <w:webHidden/>
          </w:rPr>
          <w:tab/>
        </w:r>
        <w:r>
          <w:rPr>
            <w:noProof/>
            <w:webHidden/>
          </w:rPr>
          <w:fldChar w:fldCharType="begin"/>
        </w:r>
        <w:r>
          <w:rPr>
            <w:noProof/>
            <w:webHidden/>
          </w:rPr>
          <w:instrText xml:space="preserve"> PAGEREF _Toc480547245 \h </w:instrText>
        </w:r>
        <w:r>
          <w:rPr>
            <w:noProof/>
            <w:webHidden/>
          </w:rPr>
        </w:r>
        <w:r>
          <w:rPr>
            <w:noProof/>
            <w:webHidden/>
          </w:rPr>
          <w:fldChar w:fldCharType="separate"/>
        </w:r>
        <w:r w:rsidR="00684C5F">
          <w:rPr>
            <w:noProof/>
            <w:webHidden/>
          </w:rPr>
          <w:t>33</w:t>
        </w:r>
        <w:r>
          <w:rPr>
            <w:noProof/>
            <w:webHidden/>
          </w:rPr>
          <w:fldChar w:fldCharType="end"/>
        </w:r>
      </w:hyperlink>
    </w:p>
    <w:p w14:paraId="17E0BB9F" w14:textId="02DC9FD9" w:rsidR="00CC0781" w:rsidRDefault="00CC0781">
      <w:pPr>
        <w:pStyle w:val="Obsah3"/>
        <w:rPr>
          <w:rFonts w:eastAsiaTheme="minorEastAsia"/>
          <w:noProof/>
          <w:lang w:eastAsia="sk-SK"/>
        </w:rPr>
      </w:pPr>
      <w:hyperlink w:anchor="_Toc480547246" w:history="1">
        <w:r w:rsidRPr="00606124">
          <w:rPr>
            <w:rStyle w:val="Hypertextovprepojenie"/>
            <w:rFonts w:ascii="Times New Roman" w:hAnsi="Times New Roman" w:cs="Times New Roman"/>
            <w:noProof/>
          </w:rPr>
          <w:t>2.5.7</w:t>
        </w:r>
        <w:r>
          <w:rPr>
            <w:rFonts w:eastAsiaTheme="minorEastAsia"/>
            <w:noProof/>
            <w:lang w:eastAsia="sk-SK"/>
          </w:rPr>
          <w:tab/>
        </w:r>
        <w:r w:rsidRPr="00606124">
          <w:rPr>
            <w:rStyle w:val="Hypertextovprepojenie"/>
            <w:rFonts w:ascii="Times New Roman" w:hAnsi="Times New Roman" w:cs="Times New Roman"/>
            <w:noProof/>
          </w:rPr>
          <w:t>Sumárny návrh plánovaných opatrení</w:t>
        </w:r>
        <w:r>
          <w:rPr>
            <w:noProof/>
            <w:webHidden/>
          </w:rPr>
          <w:tab/>
        </w:r>
        <w:r>
          <w:rPr>
            <w:noProof/>
            <w:webHidden/>
          </w:rPr>
          <w:fldChar w:fldCharType="begin"/>
        </w:r>
        <w:r>
          <w:rPr>
            <w:noProof/>
            <w:webHidden/>
          </w:rPr>
          <w:instrText xml:space="preserve"> PAGEREF _Toc480547246 \h </w:instrText>
        </w:r>
        <w:r>
          <w:rPr>
            <w:noProof/>
            <w:webHidden/>
          </w:rPr>
        </w:r>
        <w:r>
          <w:rPr>
            <w:noProof/>
            <w:webHidden/>
          </w:rPr>
          <w:fldChar w:fldCharType="separate"/>
        </w:r>
        <w:r w:rsidR="00684C5F">
          <w:rPr>
            <w:noProof/>
            <w:webHidden/>
          </w:rPr>
          <w:t>33</w:t>
        </w:r>
        <w:r>
          <w:rPr>
            <w:noProof/>
            <w:webHidden/>
          </w:rPr>
          <w:fldChar w:fldCharType="end"/>
        </w:r>
      </w:hyperlink>
    </w:p>
    <w:p w14:paraId="238A8839" w14:textId="70978CB6" w:rsidR="00CC0781" w:rsidRDefault="00CC0781">
      <w:pPr>
        <w:pStyle w:val="Obsah1"/>
        <w:rPr>
          <w:rFonts w:eastAsiaTheme="minorEastAsia"/>
          <w:noProof/>
          <w:lang w:eastAsia="sk-SK"/>
        </w:rPr>
      </w:pPr>
      <w:hyperlink w:anchor="_Toc480547247" w:history="1">
        <w:r w:rsidRPr="00606124">
          <w:rPr>
            <w:rStyle w:val="Hypertextovprepojenie"/>
            <w:rFonts w:ascii="Times New Roman" w:hAnsi="Times New Roman" w:cs="Times New Roman"/>
            <w:b/>
            <w:noProof/>
          </w:rPr>
          <w:t>3.</w:t>
        </w:r>
        <w:r>
          <w:rPr>
            <w:rFonts w:eastAsiaTheme="minorEastAsia"/>
            <w:noProof/>
            <w:lang w:eastAsia="sk-SK"/>
          </w:rPr>
          <w:tab/>
        </w:r>
        <w:r w:rsidRPr="00606124">
          <w:rPr>
            <w:rStyle w:val="Hypertextovprepojenie"/>
            <w:rFonts w:ascii="Times New Roman" w:hAnsi="Times New Roman" w:cs="Times New Roman"/>
            <w:b/>
            <w:noProof/>
          </w:rPr>
          <w:t>Politické opatrenia na vykonávanie smernice o energetickej efektívnosti</w:t>
        </w:r>
        <w:r>
          <w:rPr>
            <w:noProof/>
            <w:webHidden/>
          </w:rPr>
          <w:tab/>
        </w:r>
        <w:r>
          <w:rPr>
            <w:noProof/>
            <w:webHidden/>
          </w:rPr>
          <w:fldChar w:fldCharType="begin"/>
        </w:r>
        <w:r>
          <w:rPr>
            <w:noProof/>
            <w:webHidden/>
          </w:rPr>
          <w:instrText xml:space="preserve"> PAGEREF _Toc480547247 \h </w:instrText>
        </w:r>
        <w:r>
          <w:rPr>
            <w:noProof/>
            <w:webHidden/>
          </w:rPr>
        </w:r>
        <w:r>
          <w:rPr>
            <w:noProof/>
            <w:webHidden/>
          </w:rPr>
          <w:fldChar w:fldCharType="separate"/>
        </w:r>
        <w:r w:rsidR="00684C5F">
          <w:rPr>
            <w:noProof/>
            <w:webHidden/>
          </w:rPr>
          <w:t>37</w:t>
        </w:r>
        <w:r>
          <w:rPr>
            <w:noProof/>
            <w:webHidden/>
          </w:rPr>
          <w:fldChar w:fldCharType="end"/>
        </w:r>
      </w:hyperlink>
    </w:p>
    <w:p w14:paraId="1498B4CC" w14:textId="2C83A30F" w:rsidR="00CC0781" w:rsidRDefault="00CC0781" w:rsidP="00CC0781">
      <w:pPr>
        <w:pStyle w:val="Obsah2"/>
        <w:rPr>
          <w:rFonts w:eastAsiaTheme="minorEastAsia"/>
          <w:noProof/>
          <w:lang w:eastAsia="sk-SK"/>
        </w:rPr>
      </w:pPr>
      <w:hyperlink w:anchor="_Toc480547248" w:history="1">
        <w:r w:rsidRPr="00606124">
          <w:rPr>
            <w:rStyle w:val="Hypertextovprepojenie"/>
            <w:rFonts w:ascii="Times New Roman" w:hAnsi="Times New Roman" w:cs="Times New Roman"/>
            <w:noProof/>
          </w:rPr>
          <w:t>3.1.</w:t>
        </w:r>
        <w:r>
          <w:rPr>
            <w:rFonts w:eastAsiaTheme="minorEastAsia"/>
            <w:noProof/>
            <w:lang w:eastAsia="sk-SK"/>
          </w:rPr>
          <w:tab/>
        </w:r>
        <w:r w:rsidRPr="00606124">
          <w:rPr>
            <w:rStyle w:val="Hypertextovprepojenie"/>
            <w:rFonts w:ascii="Times New Roman" w:hAnsi="Times New Roman" w:cs="Times New Roman"/>
            <w:noProof/>
          </w:rPr>
          <w:t>Horizontálne opatrenia</w:t>
        </w:r>
        <w:r>
          <w:rPr>
            <w:noProof/>
            <w:webHidden/>
          </w:rPr>
          <w:tab/>
        </w:r>
        <w:r>
          <w:rPr>
            <w:noProof/>
            <w:webHidden/>
          </w:rPr>
          <w:fldChar w:fldCharType="begin"/>
        </w:r>
        <w:r>
          <w:rPr>
            <w:noProof/>
            <w:webHidden/>
          </w:rPr>
          <w:instrText xml:space="preserve"> PAGEREF _Toc480547248 \h </w:instrText>
        </w:r>
        <w:r>
          <w:rPr>
            <w:noProof/>
            <w:webHidden/>
          </w:rPr>
        </w:r>
        <w:r>
          <w:rPr>
            <w:noProof/>
            <w:webHidden/>
          </w:rPr>
          <w:fldChar w:fldCharType="separate"/>
        </w:r>
        <w:r w:rsidR="00684C5F">
          <w:rPr>
            <w:noProof/>
            <w:webHidden/>
          </w:rPr>
          <w:t>37</w:t>
        </w:r>
        <w:r>
          <w:rPr>
            <w:noProof/>
            <w:webHidden/>
          </w:rPr>
          <w:fldChar w:fldCharType="end"/>
        </w:r>
      </w:hyperlink>
    </w:p>
    <w:p w14:paraId="415CB187" w14:textId="6CE22538" w:rsidR="00CC0781" w:rsidRDefault="00CC0781">
      <w:pPr>
        <w:pStyle w:val="Obsah3"/>
        <w:rPr>
          <w:rFonts w:eastAsiaTheme="minorEastAsia"/>
          <w:noProof/>
          <w:lang w:eastAsia="sk-SK"/>
        </w:rPr>
      </w:pPr>
      <w:hyperlink w:anchor="_Toc480547249" w:history="1">
        <w:r w:rsidRPr="00606124">
          <w:rPr>
            <w:rStyle w:val="Hypertextovprepojenie"/>
            <w:rFonts w:ascii="Times New Roman" w:hAnsi="Times New Roman" w:cs="Times New Roman"/>
            <w:noProof/>
          </w:rPr>
          <w:t>3.1.1.</w:t>
        </w:r>
        <w:r>
          <w:rPr>
            <w:rFonts w:eastAsiaTheme="minorEastAsia"/>
            <w:noProof/>
            <w:lang w:eastAsia="sk-SK"/>
          </w:rPr>
          <w:tab/>
        </w:r>
        <w:r w:rsidRPr="00606124">
          <w:rPr>
            <w:rStyle w:val="Hypertextovprepojenie"/>
            <w:rFonts w:ascii="Times New Roman" w:hAnsi="Times New Roman" w:cs="Times New Roman"/>
            <w:noProof/>
          </w:rPr>
          <w:t>Povinné schémy energetickej efektívnosti a alternatívne politické opatrenia (článok 7 SEE)</w:t>
        </w:r>
        <w:r>
          <w:rPr>
            <w:noProof/>
            <w:webHidden/>
          </w:rPr>
          <w:tab/>
        </w:r>
        <w:r>
          <w:rPr>
            <w:noProof/>
            <w:webHidden/>
          </w:rPr>
          <w:fldChar w:fldCharType="begin"/>
        </w:r>
        <w:r>
          <w:rPr>
            <w:noProof/>
            <w:webHidden/>
          </w:rPr>
          <w:instrText xml:space="preserve"> PAGEREF _Toc480547249 \h </w:instrText>
        </w:r>
        <w:r>
          <w:rPr>
            <w:noProof/>
            <w:webHidden/>
          </w:rPr>
        </w:r>
        <w:r>
          <w:rPr>
            <w:noProof/>
            <w:webHidden/>
          </w:rPr>
          <w:fldChar w:fldCharType="separate"/>
        </w:r>
        <w:r w:rsidR="00684C5F">
          <w:rPr>
            <w:noProof/>
            <w:webHidden/>
          </w:rPr>
          <w:t>37</w:t>
        </w:r>
        <w:r>
          <w:rPr>
            <w:noProof/>
            <w:webHidden/>
          </w:rPr>
          <w:fldChar w:fldCharType="end"/>
        </w:r>
      </w:hyperlink>
    </w:p>
    <w:p w14:paraId="1C136375" w14:textId="28D0B960" w:rsidR="00CC0781" w:rsidRDefault="00CC0781">
      <w:pPr>
        <w:pStyle w:val="Obsah4"/>
        <w:rPr>
          <w:rFonts w:eastAsiaTheme="minorEastAsia"/>
          <w:noProof/>
          <w:lang w:eastAsia="sk-SK"/>
        </w:rPr>
      </w:pPr>
      <w:hyperlink w:anchor="_Toc480547250" w:history="1">
        <w:r w:rsidRPr="00606124">
          <w:rPr>
            <w:rStyle w:val="Hypertextovprepojenie"/>
            <w:rFonts w:ascii="Times New Roman" w:eastAsia="Times New Roman" w:hAnsi="Times New Roman" w:cs="Times New Roman"/>
            <w:noProof/>
            <w:lang w:eastAsia="sk-SK"/>
          </w:rPr>
          <w:t>3.1.1.1.</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Celkové úspory energie počas obdobia povinnosti</w:t>
        </w:r>
        <w:r>
          <w:rPr>
            <w:noProof/>
            <w:webHidden/>
          </w:rPr>
          <w:tab/>
        </w:r>
        <w:r>
          <w:rPr>
            <w:noProof/>
            <w:webHidden/>
          </w:rPr>
          <w:fldChar w:fldCharType="begin"/>
        </w:r>
        <w:r>
          <w:rPr>
            <w:noProof/>
            <w:webHidden/>
          </w:rPr>
          <w:instrText xml:space="preserve"> PAGEREF _Toc480547250 \h </w:instrText>
        </w:r>
        <w:r>
          <w:rPr>
            <w:noProof/>
            <w:webHidden/>
          </w:rPr>
        </w:r>
        <w:r>
          <w:rPr>
            <w:noProof/>
            <w:webHidden/>
          </w:rPr>
          <w:fldChar w:fldCharType="separate"/>
        </w:r>
        <w:r w:rsidR="00684C5F">
          <w:rPr>
            <w:noProof/>
            <w:webHidden/>
          </w:rPr>
          <w:t>37</w:t>
        </w:r>
        <w:r>
          <w:rPr>
            <w:noProof/>
            <w:webHidden/>
          </w:rPr>
          <w:fldChar w:fldCharType="end"/>
        </w:r>
      </w:hyperlink>
    </w:p>
    <w:p w14:paraId="2EDB4A0F" w14:textId="26FE9299" w:rsidR="00CC0781" w:rsidRDefault="00CC0781">
      <w:pPr>
        <w:pStyle w:val="Obsah4"/>
        <w:rPr>
          <w:rFonts w:eastAsiaTheme="minorEastAsia"/>
          <w:noProof/>
          <w:lang w:eastAsia="sk-SK"/>
        </w:rPr>
      </w:pPr>
      <w:hyperlink w:anchor="_Toc480547251" w:history="1">
        <w:r w:rsidRPr="00606124">
          <w:rPr>
            <w:rStyle w:val="Hypertextovprepojenie"/>
            <w:rFonts w:ascii="Times New Roman" w:eastAsia="Times New Roman" w:hAnsi="Times New Roman" w:cs="Times New Roman"/>
            <w:noProof/>
            <w:lang w:eastAsia="sk-SK"/>
          </w:rPr>
          <w:t>3.1.1.2.</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Národná povinná schéma energetickej efektívnosti podľa článku 7 ods. 1</w:t>
        </w:r>
        <w:r>
          <w:rPr>
            <w:noProof/>
            <w:webHidden/>
          </w:rPr>
          <w:tab/>
        </w:r>
        <w:r>
          <w:rPr>
            <w:noProof/>
            <w:webHidden/>
          </w:rPr>
          <w:fldChar w:fldCharType="begin"/>
        </w:r>
        <w:r>
          <w:rPr>
            <w:noProof/>
            <w:webHidden/>
          </w:rPr>
          <w:instrText xml:space="preserve"> PAGEREF _Toc480547251 \h </w:instrText>
        </w:r>
        <w:r>
          <w:rPr>
            <w:noProof/>
            <w:webHidden/>
          </w:rPr>
        </w:r>
        <w:r>
          <w:rPr>
            <w:noProof/>
            <w:webHidden/>
          </w:rPr>
          <w:fldChar w:fldCharType="separate"/>
        </w:r>
        <w:r w:rsidR="00684C5F">
          <w:rPr>
            <w:noProof/>
            <w:webHidden/>
          </w:rPr>
          <w:t>38</w:t>
        </w:r>
        <w:r>
          <w:rPr>
            <w:noProof/>
            <w:webHidden/>
          </w:rPr>
          <w:fldChar w:fldCharType="end"/>
        </w:r>
      </w:hyperlink>
    </w:p>
    <w:p w14:paraId="2DB4F106" w14:textId="42E3DE55" w:rsidR="00CC0781" w:rsidRDefault="00CC0781">
      <w:pPr>
        <w:pStyle w:val="Obsah4"/>
        <w:rPr>
          <w:rFonts w:eastAsiaTheme="minorEastAsia"/>
          <w:noProof/>
          <w:lang w:eastAsia="sk-SK"/>
        </w:rPr>
      </w:pPr>
      <w:hyperlink w:anchor="_Toc480547252" w:history="1">
        <w:r w:rsidRPr="00606124">
          <w:rPr>
            <w:rStyle w:val="Hypertextovprepojenie"/>
            <w:rFonts w:ascii="Times New Roman" w:eastAsia="Times New Roman" w:hAnsi="Times New Roman" w:cs="Times New Roman"/>
            <w:noProof/>
            <w:lang w:eastAsia="sk-SK"/>
          </w:rPr>
          <w:t>3.1.1.3.</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Alternatívne politické opatrenia prijaté na účely uplatňovania čl. 7 ods. 9 a čl. 20 ods. 6</w:t>
        </w:r>
        <w:r>
          <w:rPr>
            <w:noProof/>
            <w:webHidden/>
          </w:rPr>
          <w:tab/>
        </w:r>
        <w:r>
          <w:rPr>
            <w:noProof/>
            <w:webHidden/>
          </w:rPr>
          <w:fldChar w:fldCharType="begin"/>
        </w:r>
        <w:r>
          <w:rPr>
            <w:noProof/>
            <w:webHidden/>
          </w:rPr>
          <w:instrText xml:space="preserve"> PAGEREF _Toc480547252 \h </w:instrText>
        </w:r>
        <w:r>
          <w:rPr>
            <w:noProof/>
            <w:webHidden/>
          </w:rPr>
        </w:r>
        <w:r>
          <w:rPr>
            <w:noProof/>
            <w:webHidden/>
          </w:rPr>
          <w:fldChar w:fldCharType="separate"/>
        </w:r>
        <w:r w:rsidR="00684C5F">
          <w:rPr>
            <w:noProof/>
            <w:webHidden/>
          </w:rPr>
          <w:t>38</w:t>
        </w:r>
        <w:r>
          <w:rPr>
            <w:noProof/>
            <w:webHidden/>
          </w:rPr>
          <w:fldChar w:fldCharType="end"/>
        </w:r>
      </w:hyperlink>
    </w:p>
    <w:p w14:paraId="118F4947" w14:textId="1F67E8F6" w:rsidR="00CC0781" w:rsidRDefault="00CC0781">
      <w:pPr>
        <w:pStyle w:val="Obsah4"/>
        <w:rPr>
          <w:rFonts w:eastAsiaTheme="minorEastAsia"/>
          <w:noProof/>
          <w:lang w:eastAsia="sk-SK"/>
        </w:rPr>
      </w:pPr>
      <w:hyperlink w:anchor="_Toc480547253" w:history="1">
        <w:r w:rsidRPr="00606124">
          <w:rPr>
            <w:rStyle w:val="Hypertextovprepojenie"/>
            <w:rFonts w:ascii="Times New Roman" w:eastAsia="Times New Roman" w:hAnsi="Times New Roman" w:cs="Times New Roman"/>
            <w:noProof/>
            <w:lang w:eastAsia="sk-SK"/>
          </w:rPr>
          <w:t>3.1.1.4.</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Zverejnené úspory energie dosiahnuté v dôsledku vykonávania povinnej schémy energetickej efektívnosti</w:t>
        </w:r>
        <w:r>
          <w:rPr>
            <w:noProof/>
            <w:webHidden/>
          </w:rPr>
          <w:tab/>
        </w:r>
        <w:r>
          <w:rPr>
            <w:noProof/>
            <w:webHidden/>
          </w:rPr>
          <w:fldChar w:fldCharType="begin"/>
        </w:r>
        <w:r>
          <w:rPr>
            <w:noProof/>
            <w:webHidden/>
          </w:rPr>
          <w:instrText xml:space="preserve"> PAGEREF _Toc480547253 \h </w:instrText>
        </w:r>
        <w:r>
          <w:rPr>
            <w:noProof/>
            <w:webHidden/>
          </w:rPr>
        </w:r>
        <w:r>
          <w:rPr>
            <w:noProof/>
            <w:webHidden/>
          </w:rPr>
          <w:fldChar w:fldCharType="separate"/>
        </w:r>
        <w:r w:rsidR="00684C5F">
          <w:rPr>
            <w:noProof/>
            <w:webHidden/>
          </w:rPr>
          <w:t>40</w:t>
        </w:r>
        <w:r>
          <w:rPr>
            <w:noProof/>
            <w:webHidden/>
          </w:rPr>
          <w:fldChar w:fldCharType="end"/>
        </w:r>
      </w:hyperlink>
    </w:p>
    <w:p w14:paraId="40FAD0F4" w14:textId="5017F4DF" w:rsidR="00CC0781" w:rsidRDefault="00CC0781">
      <w:pPr>
        <w:pStyle w:val="Obsah4"/>
        <w:rPr>
          <w:rFonts w:eastAsiaTheme="minorEastAsia"/>
          <w:noProof/>
          <w:lang w:eastAsia="sk-SK"/>
        </w:rPr>
      </w:pPr>
      <w:hyperlink w:anchor="_Toc480547254" w:history="1">
        <w:r w:rsidRPr="00606124">
          <w:rPr>
            <w:rStyle w:val="Hypertextovprepojenie"/>
            <w:rFonts w:ascii="Times New Roman" w:eastAsia="Times New Roman" w:hAnsi="Times New Roman" w:cs="Times New Roman"/>
            <w:noProof/>
            <w:lang w:eastAsia="sk-SK"/>
          </w:rPr>
          <w:t>3.1.1.5.</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Zverejnené úspory energie dosiahnuté v dôsledku vykonávania alternatívnych politických opatrení</w:t>
        </w:r>
        <w:r>
          <w:rPr>
            <w:noProof/>
            <w:webHidden/>
          </w:rPr>
          <w:tab/>
        </w:r>
        <w:r>
          <w:rPr>
            <w:noProof/>
            <w:webHidden/>
          </w:rPr>
          <w:fldChar w:fldCharType="begin"/>
        </w:r>
        <w:r>
          <w:rPr>
            <w:noProof/>
            <w:webHidden/>
          </w:rPr>
          <w:instrText xml:space="preserve"> PAGEREF _Toc480547254 \h </w:instrText>
        </w:r>
        <w:r>
          <w:rPr>
            <w:noProof/>
            <w:webHidden/>
          </w:rPr>
        </w:r>
        <w:r>
          <w:rPr>
            <w:noProof/>
            <w:webHidden/>
          </w:rPr>
          <w:fldChar w:fldCharType="separate"/>
        </w:r>
        <w:r w:rsidR="00684C5F">
          <w:rPr>
            <w:noProof/>
            <w:webHidden/>
          </w:rPr>
          <w:t>40</w:t>
        </w:r>
        <w:r>
          <w:rPr>
            <w:noProof/>
            <w:webHidden/>
          </w:rPr>
          <w:fldChar w:fldCharType="end"/>
        </w:r>
      </w:hyperlink>
    </w:p>
    <w:p w14:paraId="712F0844" w14:textId="76EFC5E6" w:rsidR="00CC0781" w:rsidRDefault="00CC0781">
      <w:pPr>
        <w:pStyle w:val="Obsah4"/>
        <w:rPr>
          <w:rFonts w:eastAsiaTheme="minorEastAsia"/>
          <w:noProof/>
          <w:lang w:eastAsia="sk-SK"/>
        </w:rPr>
      </w:pPr>
      <w:hyperlink w:anchor="_Toc480547255" w:history="1">
        <w:r w:rsidRPr="00606124">
          <w:rPr>
            <w:rStyle w:val="Hypertextovprepojenie"/>
            <w:rFonts w:ascii="Times New Roman" w:eastAsia="Times New Roman" w:hAnsi="Times New Roman" w:cs="Times New Roman"/>
            <w:noProof/>
            <w:lang w:eastAsia="sk-SK"/>
          </w:rPr>
          <w:t>3.1.1.6.</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Podrobnosti o vnútroštátnych koeficientoch zvolených podľa prílohy IV k SEE</w:t>
        </w:r>
        <w:r>
          <w:rPr>
            <w:noProof/>
            <w:webHidden/>
          </w:rPr>
          <w:tab/>
        </w:r>
        <w:r>
          <w:rPr>
            <w:noProof/>
            <w:webHidden/>
          </w:rPr>
          <w:fldChar w:fldCharType="begin"/>
        </w:r>
        <w:r>
          <w:rPr>
            <w:noProof/>
            <w:webHidden/>
          </w:rPr>
          <w:instrText xml:space="preserve"> PAGEREF _Toc480547255 \h </w:instrText>
        </w:r>
        <w:r>
          <w:rPr>
            <w:noProof/>
            <w:webHidden/>
          </w:rPr>
        </w:r>
        <w:r>
          <w:rPr>
            <w:noProof/>
            <w:webHidden/>
          </w:rPr>
          <w:fldChar w:fldCharType="separate"/>
        </w:r>
        <w:r w:rsidR="00684C5F">
          <w:rPr>
            <w:noProof/>
            <w:webHidden/>
          </w:rPr>
          <w:t>41</w:t>
        </w:r>
        <w:r>
          <w:rPr>
            <w:noProof/>
            <w:webHidden/>
          </w:rPr>
          <w:fldChar w:fldCharType="end"/>
        </w:r>
      </w:hyperlink>
    </w:p>
    <w:p w14:paraId="345CFA8F" w14:textId="67E4964F" w:rsidR="00CC0781" w:rsidRDefault="00CC0781">
      <w:pPr>
        <w:pStyle w:val="Obsah4"/>
        <w:rPr>
          <w:rFonts w:eastAsiaTheme="minorEastAsia"/>
          <w:noProof/>
          <w:lang w:eastAsia="sk-SK"/>
        </w:rPr>
      </w:pPr>
      <w:hyperlink w:anchor="_Toc480547256" w:history="1">
        <w:r w:rsidRPr="00606124">
          <w:rPr>
            <w:rStyle w:val="Hypertextovprepojenie"/>
            <w:rFonts w:ascii="Times New Roman" w:eastAsia="Times New Roman" w:hAnsi="Times New Roman" w:cs="Times New Roman"/>
            <w:noProof/>
            <w:lang w:eastAsia="sk-SK"/>
          </w:rPr>
          <w:t>3.1.1.7.</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Informácie o akýchkoľvek metódach, okrem metódy stanovenej v prílohe V časti 2  písm. e) k SEE, použitých na zohľadnenie životnosti úspor energie</w:t>
        </w:r>
        <w:r>
          <w:rPr>
            <w:noProof/>
            <w:webHidden/>
          </w:rPr>
          <w:tab/>
        </w:r>
        <w:r>
          <w:rPr>
            <w:noProof/>
            <w:webHidden/>
          </w:rPr>
          <w:fldChar w:fldCharType="begin"/>
        </w:r>
        <w:r>
          <w:rPr>
            <w:noProof/>
            <w:webHidden/>
          </w:rPr>
          <w:instrText xml:space="preserve"> PAGEREF _Toc480547256 \h </w:instrText>
        </w:r>
        <w:r>
          <w:rPr>
            <w:noProof/>
            <w:webHidden/>
          </w:rPr>
        </w:r>
        <w:r>
          <w:rPr>
            <w:noProof/>
            <w:webHidden/>
          </w:rPr>
          <w:fldChar w:fldCharType="separate"/>
        </w:r>
        <w:r w:rsidR="00684C5F">
          <w:rPr>
            <w:noProof/>
            <w:webHidden/>
          </w:rPr>
          <w:t>42</w:t>
        </w:r>
        <w:r>
          <w:rPr>
            <w:noProof/>
            <w:webHidden/>
          </w:rPr>
          <w:fldChar w:fldCharType="end"/>
        </w:r>
      </w:hyperlink>
    </w:p>
    <w:p w14:paraId="6E05227A" w14:textId="5F98F176" w:rsidR="00CC0781" w:rsidRDefault="00CC0781">
      <w:pPr>
        <w:pStyle w:val="Obsah3"/>
        <w:rPr>
          <w:rFonts w:eastAsiaTheme="minorEastAsia"/>
          <w:noProof/>
          <w:lang w:eastAsia="sk-SK"/>
        </w:rPr>
      </w:pPr>
      <w:hyperlink w:anchor="_Toc480547257" w:history="1">
        <w:r w:rsidRPr="00606124">
          <w:rPr>
            <w:rStyle w:val="Hypertextovprepojenie"/>
            <w:rFonts w:ascii="Times New Roman" w:hAnsi="Times New Roman" w:cs="Times New Roman"/>
            <w:noProof/>
          </w:rPr>
          <w:t>3.1.2.</w:t>
        </w:r>
        <w:r>
          <w:rPr>
            <w:rFonts w:eastAsiaTheme="minorEastAsia"/>
            <w:noProof/>
            <w:lang w:eastAsia="sk-SK"/>
          </w:rPr>
          <w:tab/>
        </w:r>
        <w:r w:rsidRPr="00606124">
          <w:rPr>
            <w:rStyle w:val="Hypertextovprepojenie"/>
            <w:rFonts w:ascii="Times New Roman" w:hAnsi="Times New Roman" w:cs="Times New Roman"/>
            <w:noProof/>
          </w:rPr>
          <w:t>Energetické audity a systémy energetického manažérstva (článok 8 SEE)</w:t>
        </w:r>
        <w:r>
          <w:rPr>
            <w:noProof/>
            <w:webHidden/>
          </w:rPr>
          <w:tab/>
        </w:r>
        <w:r>
          <w:rPr>
            <w:noProof/>
            <w:webHidden/>
          </w:rPr>
          <w:fldChar w:fldCharType="begin"/>
        </w:r>
        <w:r>
          <w:rPr>
            <w:noProof/>
            <w:webHidden/>
          </w:rPr>
          <w:instrText xml:space="preserve"> PAGEREF _Toc480547257 \h </w:instrText>
        </w:r>
        <w:r>
          <w:rPr>
            <w:noProof/>
            <w:webHidden/>
          </w:rPr>
        </w:r>
        <w:r>
          <w:rPr>
            <w:noProof/>
            <w:webHidden/>
          </w:rPr>
          <w:fldChar w:fldCharType="separate"/>
        </w:r>
        <w:r w:rsidR="00684C5F">
          <w:rPr>
            <w:noProof/>
            <w:webHidden/>
          </w:rPr>
          <w:t>42</w:t>
        </w:r>
        <w:r>
          <w:rPr>
            <w:noProof/>
            <w:webHidden/>
          </w:rPr>
          <w:fldChar w:fldCharType="end"/>
        </w:r>
      </w:hyperlink>
    </w:p>
    <w:p w14:paraId="56089D0D" w14:textId="4A0EFD46" w:rsidR="00CC0781" w:rsidRDefault="00CC0781">
      <w:pPr>
        <w:pStyle w:val="Obsah3"/>
        <w:rPr>
          <w:rFonts w:eastAsiaTheme="minorEastAsia"/>
          <w:noProof/>
          <w:lang w:eastAsia="sk-SK"/>
        </w:rPr>
      </w:pPr>
      <w:hyperlink w:anchor="_Toc480547258" w:history="1">
        <w:r w:rsidRPr="00606124">
          <w:rPr>
            <w:rStyle w:val="Hypertextovprepojenie"/>
            <w:rFonts w:ascii="Times New Roman" w:hAnsi="Times New Roman" w:cs="Times New Roman"/>
            <w:noProof/>
          </w:rPr>
          <w:t>3.1.3.</w:t>
        </w:r>
        <w:r>
          <w:rPr>
            <w:rFonts w:eastAsiaTheme="minorEastAsia"/>
            <w:noProof/>
            <w:lang w:eastAsia="sk-SK"/>
          </w:rPr>
          <w:tab/>
        </w:r>
        <w:r w:rsidRPr="00606124">
          <w:rPr>
            <w:rStyle w:val="Hypertextovprepojenie"/>
            <w:rFonts w:ascii="Times New Roman" w:hAnsi="Times New Roman" w:cs="Times New Roman"/>
            <w:noProof/>
          </w:rPr>
          <w:t>Meranie a vyúčtovanie (články 9 až 11 SEE)</w:t>
        </w:r>
        <w:r>
          <w:rPr>
            <w:noProof/>
            <w:webHidden/>
          </w:rPr>
          <w:tab/>
        </w:r>
        <w:r>
          <w:rPr>
            <w:noProof/>
            <w:webHidden/>
          </w:rPr>
          <w:fldChar w:fldCharType="begin"/>
        </w:r>
        <w:r>
          <w:rPr>
            <w:noProof/>
            <w:webHidden/>
          </w:rPr>
          <w:instrText xml:space="preserve"> PAGEREF _Toc480547258 \h </w:instrText>
        </w:r>
        <w:r>
          <w:rPr>
            <w:noProof/>
            <w:webHidden/>
          </w:rPr>
        </w:r>
        <w:r>
          <w:rPr>
            <w:noProof/>
            <w:webHidden/>
          </w:rPr>
          <w:fldChar w:fldCharType="separate"/>
        </w:r>
        <w:r w:rsidR="00684C5F">
          <w:rPr>
            <w:noProof/>
            <w:webHidden/>
          </w:rPr>
          <w:t>43</w:t>
        </w:r>
        <w:r>
          <w:rPr>
            <w:noProof/>
            <w:webHidden/>
          </w:rPr>
          <w:fldChar w:fldCharType="end"/>
        </w:r>
      </w:hyperlink>
    </w:p>
    <w:p w14:paraId="237DE9F2" w14:textId="621AD378" w:rsidR="00CC0781" w:rsidRDefault="00CC0781">
      <w:pPr>
        <w:pStyle w:val="Obsah3"/>
        <w:rPr>
          <w:rFonts w:eastAsiaTheme="minorEastAsia"/>
          <w:noProof/>
          <w:lang w:eastAsia="sk-SK"/>
        </w:rPr>
      </w:pPr>
      <w:hyperlink w:anchor="_Toc480547259" w:history="1">
        <w:r w:rsidRPr="00606124">
          <w:rPr>
            <w:rStyle w:val="Hypertextovprepojenie"/>
            <w:rFonts w:ascii="Times New Roman" w:hAnsi="Times New Roman" w:cs="Times New Roman"/>
            <w:noProof/>
          </w:rPr>
          <w:t>3.1.4.</w:t>
        </w:r>
        <w:r>
          <w:rPr>
            <w:rFonts w:eastAsiaTheme="minorEastAsia"/>
            <w:noProof/>
            <w:lang w:eastAsia="sk-SK"/>
          </w:rPr>
          <w:tab/>
        </w:r>
        <w:r w:rsidRPr="00606124">
          <w:rPr>
            <w:rStyle w:val="Hypertextovprepojenie"/>
            <w:rFonts w:ascii="Times New Roman" w:hAnsi="Times New Roman" w:cs="Times New Roman"/>
            <w:noProof/>
          </w:rPr>
          <w:t>Programy na informovanie a odborná príprava pre spotrebiteľov (články 12 a 17 SEE)</w:t>
        </w:r>
        <w:r>
          <w:rPr>
            <w:noProof/>
            <w:webHidden/>
          </w:rPr>
          <w:tab/>
        </w:r>
        <w:r>
          <w:rPr>
            <w:noProof/>
            <w:webHidden/>
          </w:rPr>
          <w:fldChar w:fldCharType="begin"/>
        </w:r>
        <w:r>
          <w:rPr>
            <w:noProof/>
            <w:webHidden/>
          </w:rPr>
          <w:instrText xml:space="preserve"> PAGEREF _Toc480547259 \h </w:instrText>
        </w:r>
        <w:r>
          <w:rPr>
            <w:noProof/>
            <w:webHidden/>
          </w:rPr>
        </w:r>
        <w:r>
          <w:rPr>
            <w:noProof/>
            <w:webHidden/>
          </w:rPr>
          <w:fldChar w:fldCharType="separate"/>
        </w:r>
        <w:r w:rsidR="00684C5F">
          <w:rPr>
            <w:noProof/>
            <w:webHidden/>
          </w:rPr>
          <w:t>43</w:t>
        </w:r>
        <w:r>
          <w:rPr>
            <w:noProof/>
            <w:webHidden/>
          </w:rPr>
          <w:fldChar w:fldCharType="end"/>
        </w:r>
      </w:hyperlink>
    </w:p>
    <w:p w14:paraId="3084A3CF" w14:textId="4FF8641E" w:rsidR="00CC0781" w:rsidRDefault="00CC0781">
      <w:pPr>
        <w:pStyle w:val="Obsah3"/>
        <w:rPr>
          <w:rFonts w:eastAsiaTheme="minorEastAsia"/>
          <w:noProof/>
          <w:lang w:eastAsia="sk-SK"/>
        </w:rPr>
      </w:pPr>
      <w:hyperlink w:anchor="_Toc480547260" w:history="1">
        <w:r w:rsidRPr="00606124">
          <w:rPr>
            <w:rStyle w:val="Hypertextovprepojenie"/>
            <w:rFonts w:ascii="Times New Roman" w:hAnsi="Times New Roman" w:cs="Times New Roman"/>
            <w:noProof/>
          </w:rPr>
          <w:t>3.1.5.</w:t>
        </w:r>
        <w:r>
          <w:rPr>
            <w:rFonts w:eastAsiaTheme="minorEastAsia"/>
            <w:noProof/>
            <w:lang w:eastAsia="sk-SK"/>
          </w:rPr>
          <w:tab/>
        </w:r>
        <w:r w:rsidRPr="00606124">
          <w:rPr>
            <w:rStyle w:val="Hypertextovprepojenie"/>
            <w:rFonts w:ascii="Times New Roman" w:hAnsi="Times New Roman" w:cs="Times New Roman"/>
            <w:noProof/>
          </w:rPr>
          <w:t>Dostupnosť systémov kvalifikácie, akreditačných a certifikačných systémov (článok 16 SEE)</w:t>
        </w:r>
        <w:r>
          <w:rPr>
            <w:noProof/>
            <w:webHidden/>
          </w:rPr>
          <w:tab/>
        </w:r>
        <w:r>
          <w:rPr>
            <w:noProof/>
            <w:webHidden/>
          </w:rPr>
          <w:fldChar w:fldCharType="begin"/>
        </w:r>
        <w:r>
          <w:rPr>
            <w:noProof/>
            <w:webHidden/>
          </w:rPr>
          <w:instrText xml:space="preserve"> PAGEREF _Toc480547260 \h </w:instrText>
        </w:r>
        <w:r>
          <w:rPr>
            <w:noProof/>
            <w:webHidden/>
          </w:rPr>
        </w:r>
        <w:r>
          <w:rPr>
            <w:noProof/>
            <w:webHidden/>
          </w:rPr>
          <w:fldChar w:fldCharType="separate"/>
        </w:r>
        <w:r w:rsidR="00684C5F">
          <w:rPr>
            <w:noProof/>
            <w:webHidden/>
          </w:rPr>
          <w:t>44</w:t>
        </w:r>
        <w:r>
          <w:rPr>
            <w:noProof/>
            <w:webHidden/>
          </w:rPr>
          <w:fldChar w:fldCharType="end"/>
        </w:r>
      </w:hyperlink>
    </w:p>
    <w:p w14:paraId="6B8D0D32" w14:textId="4CD36FA6" w:rsidR="00CC0781" w:rsidRDefault="00CC0781">
      <w:pPr>
        <w:pStyle w:val="Obsah3"/>
        <w:rPr>
          <w:rFonts w:eastAsiaTheme="minorEastAsia"/>
          <w:noProof/>
          <w:lang w:eastAsia="sk-SK"/>
        </w:rPr>
      </w:pPr>
      <w:hyperlink w:anchor="_Toc480547261" w:history="1">
        <w:r w:rsidRPr="00606124">
          <w:rPr>
            <w:rStyle w:val="Hypertextovprepojenie"/>
            <w:rFonts w:ascii="Times New Roman" w:hAnsi="Times New Roman" w:cs="Times New Roman"/>
            <w:noProof/>
          </w:rPr>
          <w:t>3.1.6.</w:t>
        </w:r>
        <w:r>
          <w:rPr>
            <w:rFonts w:eastAsiaTheme="minorEastAsia"/>
            <w:noProof/>
            <w:lang w:eastAsia="sk-SK"/>
          </w:rPr>
          <w:tab/>
        </w:r>
        <w:r w:rsidRPr="00606124">
          <w:rPr>
            <w:rStyle w:val="Hypertextovprepojenie"/>
            <w:rFonts w:ascii="Times New Roman" w:hAnsi="Times New Roman" w:cs="Times New Roman"/>
            <w:noProof/>
          </w:rPr>
          <w:t>Energetické služby (článok 18 SEE)</w:t>
        </w:r>
        <w:r>
          <w:rPr>
            <w:noProof/>
            <w:webHidden/>
          </w:rPr>
          <w:tab/>
        </w:r>
        <w:r>
          <w:rPr>
            <w:noProof/>
            <w:webHidden/>
          </w:rPr>
          <w:fldChar w:fldCharType="begin"/>
        </w:r>
        <w:r>
          <w:rPr>
            <w:noProof/>
            <w:webHidden/>
          </w:rPr>
          <w:instrText xml:space="preserve"> PAGEREF _Toc480547261 \h </w:instrText>
        </w:r>
        <w:r>
          <w:rPr>
            <w:noProof/>
            <w:webHidden/>
          </w:rPr>
        </w:r>
        <w:r>
          <w:rPr>
            <w:noProof/>
            <w:webHidden/>
          </w:rPr>
          <w:fldChar w:fldCharType="separate"/>
        </w:r>
        <w:r w:rsidR="00684C5F">
          <w:rPr>
            <w:noProof/>
            <w:webHidden/>
          </w:rPr>
          <w:t>45</w:t>
        </w:r>
        <w:r>
          <w:rPr>
            <w:noProof/>
            <w:webHidden/>
          </w:rPr>
          <w:fldChar w:fldCharType="end"/>
        </w:r>
      </w:hyperlink>
    </w:p>
    <w:p w14:paraId="1D401E91" w14:textId="4E18AD73" w:rsidR="00CC0781" w:rsidRDefault="00CC0781">
      <w:pPr>
        <w:pStyle w:val="Obsah4"/>
        <w:rPr>
          <w:rFonts w:eastAsiaTheme="minorEastAsia"/>
          <w:noProof/>
          <w:lang w:eastAsia="sk-SK"/>
        </w:rPr>
      </w:pPr>
      <w:hyperlink w:anchor="_Toc480547262" w:history="1">
        <w:r w:rsidRPr="00606124">
          <w:rPr>
            <w:rStyle w:val="Hypertextovprepojenie"/>
            <w:rFonts w:ascii="Times New Roman" w:eastAsia="Times New Roman" w:hAnsi="Times New Roman" w:cs="Times New Roman"/>
            <w:noProof/>
            <w:lang w:eastAsia="sk-SK"/>
          </w:rPr>
          <w:t>3.1.6.1.</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Informácie o prijatých opatreniach a opatreniach, ktoré sa plánujú prijať na podporovanie energetických služieb</w:t>
        </w:r>
        <w:r>
          <w:rPr>
            <w:noProof/>
            <w:webHidden/>
          </w:rPr>
          <w:tab/>
        </w:r>
        <w:r>
          <w:rPr>
            <w:noProof/>
            <w:webHidden/>
          </w:rPr>
          <w:fldChar w:fldCharType="begin"/>
        </w:r>
        <w:r>
          <w:rPr>
            <w:noProof/>
            <w:webHidden/>
          </w:rPr>
          <w:instrText xml:space="preserve"> PAGEREF _Toc480547262 \h </w:instrText>
        </w:r>
        <w:r>
          <w:rPr>
            <w:noProof/>
            <w:webHidden/>
          </w:rPr>
        </w:r>
        <w:r>
          <w:rPr>
            <w:noProof/>
            <w:webHidden/>
          </w:rPr>
          <w:fldChar w:fldCharType="separate"/>
        </w:r>
        <w:r w:rsidR="00684C5F">
          <w:rPr>
            <w:noProof/>
            <w:webHidden/>
          </w:rPr>
          <w:t>45</w:t>
        </w:r>
        <w:r>
          <w:rPr>
            <w:noProof/>
            <w:webHidden/>
          </w:rPr>
          <w:fldChar w:fldCharType="end"/>
        </w:r>
      </w:hyperlink>
    </w:p>
    <w:p w14:paraId="3FE16DA1" w14:textId="071562E9" w:rsidR="00CC0781" w:rsidRDefault="00CC0781">
      <w:pPr>
        <w:pStyle w:val="Obsah4"/>
        <w:rPr>
          <w:rFonts w:eastAsiaTheme="minorEastAsia"/>
          <w:noProof/>
          <w:lang w:eastAsia="sk-SK"/>
        </w:rPr>
      </w:pPr>
      <w:hyperlink w:anchor="_Toc480547263" w:history="1">
        <w:r w:rsidRPr="00606124">
          <w:rPr>
            <w:rStyle w:val="Hypertextovprepojenie"/>
            <w:rFonts w:ascii="Times New Roman" w:eastAsia="Times New Roman" w:hAnsi="Times New Roman" w:cs="Times New Roman"/>
            <w:noProof/>
            <w:lang w:eastAsia="sk-SK"/>
          </w:rPr>
          <w:t>3.1.6.2.</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Kvalitatívny prehľad vnútroštátneho trhu s energetickými službami</w:t>
        </w:r>
        <w:r>
          <w:rPr>
            <w:noProof/>
            <w:webHidden/>
          </w:rPr>
          <w:tab/>
        </w:r>
        <w:r>
          <w:rPr>
            <w:noProof/>
            <w:webHidden/>
          </w:rPr>
          <w:fldChar w:fldCharType="begin"/>
        </w:r>
        <w:r>
          <w:rPr>
            <w:noProof/>
            <w:webHidden/>
          </w:rPr>
          <w:instrText xml:space="preserve"> PAGEREF _Toc480547263 \h </w:instrText>
        </w:r>
        <w:r>
          <w:rPr>
            <w:noProof/>
            <w:webHidden/>
          </w:rPr>
        </w:r>
        <w:r>
          <w:rPr>
            <w:noProof/>
            <w:webHidden/>
          </w:rPr>
          <w:fldChar w:fldCharType="separate"/>
        </w:r>
        <w:r w:rsidR="00684C5F">
          <w:rPr>
            <w:noProof/>
            <w:webHidden/>
          </w:rPr>
          <w:t>47</w:t>
        </w:r>
        <w:r>
          <w:rPr>
            <w:noProof/>
            <w:webHidden/>
          </w:rPr>
          <w:fldChar w:fldCharType="end"/>
        </w:r>
      </w:hyperlink>
    </w:p>
    <w:p w14:paraId="463781DE" w14:textId="06BBCEFE" w:rsidR="00CC0781" w:rsidRDefault="00CC0781">
      <w:pPr>
        <w:pStyle w:val="Obsah3"/>
        <w:rPr>
          <w:rFonts w:eastAsiaTheme="minorEastAsia"/>
          <w:noProof/>
          <w:lang w:eastAsia="sk-SK"/>
        </w:rPr>
      </w:pPr>
      <w:hyperlink w:anchor="_Toc480547264" w:history="1">
        <w:r w:rsidRPr="00606124">
          <w:rPr>
            <w:rStyle w:val="Hypertextovprepojenie"/>
            <w:rFonts w:ascii="Times New Roman" w:hAnsi="Times New Roman" w:cs="Times New Roman"/>
            <w:noProof/>
          </w:rPr>
          <w:t>3.1.7.</w:t>
        </w:r>
        <w:r>
          <w:rPr>
            <w:rFonts w:eastAsiaTheme="minorEastAsia"/>
            <w:noProof/>
            <w:lang w:eastAsia="sk-SK"/>
          </w:rPr>
          <w:tab/>
        </w:r>
        <w:r w:rsidRPr="00606124">
          <w:rPr>
            <w:rStyle w:val="Hypertextovprepojenie"/>
            <w:rFonts w:ascii="Times New Roman" w:hAnsi="Times New Roman" w:cs="Times New Roman"/>
            <w:noProof/>
          </w:rPr>
          <w:t>Ďalšie opatrenia horizontálneho charakteru (články 19 a 20 SEE)</w:t>
        </w:r>
        <w:r>
          <w:rPr>
            <w:noProof/>
            <w:webHidden/>
          </w:rPr>
          <w:tab/>
        </w:r>
        <w:r>
          <w:rPr>
            <w:noProof/>
            <w:webHidden/>
          </w:rPr>
          <w:fldChar w:fldCharType="begin"/>
        </w:r>
        <w:r>
          <w:rPr>
            <w:noProof/>
            <w:webHidden/>
          </w:rPr>
          <w:instrText xml:space="preserve"> PAGEREF _Toc480547264 \h </w:instrText>
        </w:r>
        <w:r>
          <w:rPr>
            <w:noProof/>
            <w:webHidden/>
          </w:rPr>
        </w:r>
        <w:r>
          <w:rPr>
            <w:noProof/>
            <w:webHidden/>
          </w:rPr>
          <w:fldChar w:fldCharType="separate"/>
        </w:r>
        <w:r w:rsidR="00684C5F">
          <w:rPr>
            <w:noProof/>
            <w:webHidden/>
          </w:rPr>
          <w:t>47</w:t>
        </w:r>
        <w:r>
          <w:rPr>
            <w:noProof/>
            <w:webHidden/>
          </w:rPr>
          <w:fldChar w:fldCharType="end"/>
        </w:r>
      </w:hyperlink>
    </w:p>
    <w:p w14:paraId="5A7E0D52" w14:textId="2AB4EE4A" w:rsidR="00CC0781" w:rsidRDefault="00CC0781">
      <w:pPr>
        <w:pStyle w:val="Obsah4"/>
        <w:rPr>
          <w:rFonts w:eastAsiaTheme="minorEastAsia"/>
          <w:noProof/>
          <w:lang w:eastAsia="sk-SK"/>
        </w:rPr>
      </w:pPr>
      <w:hyperlink w:anchor="_Toc480547265" w:history="1">
        <w:r w:rsidRPr="00606124">
          <w:rPr>
            <w:rStyle w:val="Hypertextovprepojenie"/>
            <w:rFonts w:ascii="Times New Roman" w:eastAsia="Times New Roman" w:hAnsi="Times New Roman" w:cs="Times New Roman"/>
            <w:noProof/>
            <w:lang w:eastAsia="sk-SK"/>
          </w:rPr>
          <w:t>3.1.7.1.</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Opatrenia v oblasti energetickej efektívnosti podniknuté v záujme vykonávania článku 19 SEE.</w:t>
        </w:r>
        <w:r>
          <w:rPr>
            <w:noProof/>
            <w:webHidden/>
          </w:rPr>
          <w:tab/>
        </w:r>
        <w:r>
          <w:rPr>
            <w:noProof/>
            <w:webHidden/>
          </w:rPr>
          <w:fldChar w:fldCharType="begin"/>
        </w:r>
        <w:r>
          <w:rPr>
            <w:noProof/>
            <w:webHidden/>
          </w:rPr>
          <w:instrText xml:space="preserve"> PAGEREF _Toc480547265 \h </w:instrText>
        </w:r>
        <w:r>
          <w:rPr>
            <w:noProof/>
            <w:webHidden/>
          </w:rPr>
        </w:r>
        <w:r>
          <w:rPr>
            <w:noProof/>
            <w:webHidden/>
          </w:rPr>
          <w:fldChar w:fldCharType="separate"/>
        </w:r>
        <w:r w:rsidR="00684C5F">
          <w:rPr>
            <w:noProof/>
            <w:webHidden/>
          </w:rPr>
          <w:t>47</w:t>
        </w:r>
        <w:r>
          <w:rPr>
            <w:noProof/>
            <w:webHidden/>
          </w:rPr>
          <w:fldChar w:fldCharType="end"/>
        </w:r>
      </w:hyperlink>
    </w:p>
    <w:p w14:paraId="30D1DD4E" w14:textId="2E061B78" w:rsidR="00CC0781" w:rsidRDefault="00CC0781">
      <w:pPr>
        <w:pStyle w:val="Obsah4"/>
        <w:rPr>
          <w:rFonts w:eastAsiaTheme="minorEastAsia"/>
          <w:noProof/>
          <w:lang w:eastAsia="sk-SK"/>
        </w:rPr>
      </w:pPr>
      <w:hyperlink w:anchor="_Toc480547266" w:history="1">
        <w:r w:rsidRPr="00606124">
          <w:rPr>
            <w:rStyle w:val="Hypertextovprepojenie"/>
            <w:rFonts w:ascii="Times New Roman" w:eastAsia="Times New Roman" w:hAnsi="Times New Roman" w:cs="Times New Roman"/>
            <w:noProof/>
            <w:lang w:eastAsia="sk-SK"/>
          </w:rPr>
          <w:t>3.1.7.2.</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Informácie o národnom fonde energetickej efektívnosti</w:t>
        </w:r>
        <w:r>
          <w:rPr>
            <w:noProof/>
            <w:webHidden/>
          </w:rPr>
          <w:tab/>
        </w:r>
        <w:r>
          <w:rPr>
            <w:noProof/>
            <w:webHidden/>
          </w:rPr>
          <w:fldChar w:fldCharType="begin"/>
        </w:r>
        <w:r>
          <w:rPr>
            <w:noProof/>
            <w:webHidden/>
          </w:rPr>
          <w:instrText xml:space="preserve"> PAGEREF _Toc480547266 \h </w:instrText>
        </w:r>
        <w:r>
          <w:rPr>
            <w:noProof/>
            <w:webHidden/>
          </w:rPr>
        </w:r>
        <w:r>
          <w:rPr>
            <w:noProof/>
            <w:webHidden/>
          </w:rPr>
          <w:fldChar w:fldCharType="separate"/>
        </w:r>
        <w:r w:rsidR="00684C5F">
          <w:rPr>
            <w:noProof/>
            <w:webHidden/>
          </w:rPr>
          <w:t>47</w:t>
        </w:r>
        <w:r>
          <w:rPr>
            <w:noProof/>
            <w:webHidden/>
          </w:rPr>
          <w:fldChar w:fldCharType="end"/>
        </w:r>
      </w:hyperlink>
    </w:p>
    <w:p w14:paraId="7E23BCFE" w14:textId="4DB840E6" w:rsidR="00CC0781" w:rsidRDefault="00CC0781">
      <w:pPr>
        <w:pStyle w:val="Obsah4"/>
        <w:rPr>
          <w:rFonts w:eastAsiaTheme="minorEastAsia"/>
          <w:noProof/>
          <w:lang w:eastAsia="sk-SK"/>
        </w:rPr>
      </w:pPr>
      <w:hyperlink w:anchor="_Toc480547267" w:history="1">
        <w:r w:rsidRPr="00606124">
          <w:rPr>
            <w:rStyle w:val="Hypertextovprepojenie"/>
            <w:rFonts w:ascii="Times New Roman" w:eastAsia="Times New Roman" w:hAnsi="Times New Roman" w:cs="Times New Roman"/>
            <w:noProof/>
            <w:lang w:eastAsia="sk-SK"/>
          </w:rPr>
          <w:t>3.1.7.3.</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Ostatné horizontálne opatrenia</w:t>
        </w:r>
        <w:r>
          <w:rPr>
            <w:noProof/>
            <w:webHidden/>
          </w:rPr>
          <w:tab/>
        </w:r>
        <w:r>
          <w:rPr>
            <w:noProof/>
            <w:webHidden/>
          </w:rPr>
          <w:fldChar w:fldCharType="begin"/>
        </w:r>
        <w:r>
          <w:rPr>
            <w:noProof/>
            <w:webHidden/>
          </w:rPr>
          <w:instrText xml:space="preserve"> PAGEREF _Toc480547267 \h </w:instrText>
        </w:r>
        <w:r>
          <w:rPr>
            <w:noProof/>
            <w:webHidden/>
          </w:rPr>
        </w:r>
        <w:r>
          <w:rPr>
            <w:noProof/>
            <w:webHidden/>
          </w:rPr>
          <w:fldChar w:fldCharType="separate"/>
        </w:r>
        <w:r w:rsidR="00684C5F">
          <w:rPr>
            <w:noProof/>
            <w:webHidden/>
          </w:rPr>
          <w:t>48</w:t>
        </w:r>
        <w:r>
          <w:rPr>
            <w:noProof/>
            <w:webHidden/>
          </w:rPr>
          <w:fldChar w:fldCharType="end"/>
        </w:r>
      </w:hyperlink>
    </w:p>
    <w:p w14:paraId="3C165D4D" w14:textId="4FB2508D" w:rsidR="00CC0781" w:rsidRDefault="00CC0781" w:rsidP="00CC0781">
      <w:pPr>
        <w:pStyle w:val="Obsah2"/>
        <w:rPr>
          <w:rFonts w:eastAsiaTheme="minorEastAsia"/>
          <w:noProof/>
          <w:lang w:eastAsia="sk-SK"/>
        </w:rPr>
      </w:pPr>
      <w:hyperlink w:anchor="_Toc480547268" w:history="1">
        <w:r w:rsidRPr="00606124">
          <w:rPr>
            <w:rStyle w:val="Hypertextovprepojenie"/>
            <w:rFonts w:ascii="Times New Roman" w:hAnsi="Times New Roman" w:cs="Times New Roman"/>
            <w:noProof/>
          </w:rPr>
          <w:t>3.2.</w:t>
        </w:r>
        <w:r>
          <w:rPr>
            <w:rFonts w:eastAsiaTheme="minorEastAsia"/>
            <w:noProof/>
            <w:lang w:eastAsia="sk-SK"/>
          </w:rPr>
          <w:tab/>
        </w:r>
        <w:r w:rsidRPr="00606124">
          <w:rPr>
            <w:rStyle w:val="Hypertextovprepojenie"/>
            <w:rFonts w:ascii="Times New Roman" w:hAnsi="Times New Roman" w:cs="Times New Roman"/>
            <w:noProof/>
          </w:rPr>
          <w:t>Energetická efektívnosť budov</w:t>
        </w:r>
        <w:r>
          <w:rPr>
            <w:noProof/>
            <w:webHidden/>
          </w:rPr>
          <w:tab/>
        </w:r>
        <w:r>
          <w:rPr>
            <w:noProof/>
            <w:webHidden/>
          </w:rPr>
          <w:fldChar w:fldCharType="begin"/>
        </w:r>
        <w:r>
          <w:rPr>
            <w:noProof/>
            <w:webHidden/>
          </w:rPr>
          <w:instrText xml:space="preserve"> PAGEREF _Toc480547268 \h </w:instrText>
        </w:r>
        <w:r>
          <w:rPr>
            <w:noProof/>
            <w:webHidden/>
          </w:rPr>
        </w:r>
        <w:r>
          <w:rPr>
            <w:noProof/>
            <w:webHidden/>
          </w:rPr>
          <w:fldChar w:fldCharType="separate"/>
        </w:r>
        <w:r w:rsidR="00684C5F">
          <w:rPr>
            <w:noProof/>
            <w:webHidden/>
          </w:rPr>
          <w:t>48</w:t>
        </w:r>
        <w:r>
          <w:rPr>
            <w:noProof/>
            <w:webHidden/>
          </w:rPr>
          <w:fldChar w:fldCharType="end"/>
        </w:r>
      </w:hyperlink>
    </w:p>
    <w:p w14:paraId="410624B8" w14:textId="69DCB4EE" w:rsidR="00CC0781" w:rsidRDefault="00CC0781">
      <w:pPr>
        <w:pStyle w:val="Obsah3"/>
        <w:rPr>
          <w:rFonts w:eastAsiaTheme="minorEastAsia"/>
          <w:noProof/>
          <w:lang w:eastAsia="sk-SK"/>
        </w:rPr>
      </w:pPr>
      <w:hyperlink w:anchor="_Toc480547269" w:history="1">
        <w:r w:rsidRPr="00606124">
          <w:rPr>
            <w:rStyle w:val="Hypertextovprepojenie"/>
            <w:rFonts w:ascii="Times New Roman" w:hAnsi="Times New Roman" w:cs="Times New Roman"/>
            <w:noProof/>
          </w:rPr>
          <w:t>3.2.1.</w:t>
        </w:r>
        <w:r>
          <w:rPr>
            <w:rFonts w:eastAsiaTheme="minorEastAsia"/>
            <w:noProof/>
            <w:lang w:eastAsia="sk-SK"/>
          </w:rPr>
          <w:tab/>
        </w:r>
        <w:r w:rsidRPr="00606124">
          <w:rPr>
            <w:rStyle w:val="Hypertextovprepojenie"/>
            <w:rFonts w:ascii="Times New Roman" w:hAnsi="Times New Roman" w:cs="Times New Roman"/>
            <w:noProof/>
          </w:rPr>
          <w:t>Stratégia obnovy budov (článok 4 SEE)</w:t>
        </w:r>
        <w:r>
          <w:rPr>
            <w:noProof/>
            <w:webHidden/>
          </w:rPr>
          <w:tab/>
        </w:r>
        <w:r>
          <w:rPr>
            <w:noProof/>
            <w:webHidden/>
          </w:rPr>
          <w:fldChar w:fldCharType="begin"/>
        </w:r>
        <w:r>
          <w:rPr>
            <w:noProof/>
            <w:webHidden/>
          </w:rPr>
          <w:instrText xml:space="preserve"> PAGEREF _Toc480547269 \h </w:instrText>
        </w:r>
        <w:r>
          <w:rPr>
            <w:noProof/>
            <w:webHidden/>
          </w:rPr>
        </w:r>
        <w:r>
          <w:rPr>
            <w:noProof/>
            <w:webHidden/>
          </w:rPr>
          <w:fldChar w:fldCharType="separate"/>
        </w:r>
        <w:r w:rsidR="00684C5F">
          <w:rPr>
            <w:noProof/>
            <w:webHidden/>
          </w:rPr>
          <w:t>48</w:t>
        </w:r>
        <w:r>
          <w:rPr>
            <w:noProof/>
            <w:webHidden/>
          </w:rPr>
          <w:fldChar w:fldCharType="end"/>
        </w:r>
      </w:hyperlink>
    </w:p>
    <w:p w14:paraId="23BB8734" w14:textId="0E82B559" w:rsidR="00CC0781" w:rsidRDefault="00CC0781">
      <w:pPr>
        <w:pStyle w:val="Obsah3"/>
        <w:rPr>
          <w:rFonts w:eastAsiaTheme="minorEastAsia"/>
          <w:noProof/>
          <w:lang w:eastAsia="sk-SK"/>
        </w:rPr>
      </w:pPr>
      <w:hyperlink w:anchor="_Toc480547270" w:history="1">
        <w:r w:rsidRPr="00606124">
          <w:rPr>
            <w:rStyle w:val="Hypertextovprepojenie"/>
            <w:rFonts w:ascii="Times New Roman" w:hAnsi="Times New Roman" w:cs="Times New Roman"/>
            <w:noProof/>
          </w:rPr>
          <w:t>3.2.2.</w:t>
        </w:r>
        <w:r>
          <w:rPr>
            <w:rFonts w:eastAsiaTheme="minorEastAsia"/>
            <w:noProof/>
            <w:lang w:eastAsia="sk-SK"/>
          </w:rPr>
          <w:tab/>
        </w:r>
        <w:r w:rsidRPr="00606124">
          <w:rPr>
            <w:rStyle w:val="Hypertextovprepojenie"/>
            <w:rFonts w:ascii="Times New Roman" w:hAnsi="Times New Roman" w:cs="Times New Roman"/>
            <w:noProof/>
          </w:rPr>
          <w:t>Ďalšia energetická efektívnosť v oblasti budov</w:t>
        </w:r>
        <w:r>
          <w:rPr>
            <w:noProof/>
            <w:webHidden/>
          </w:rPr>
          <w:tab/>
        </w:r>
        <w:r>
          <w:rPr>
            <w:noProof/>
            <w:webHidden/>
          </w:rPr>
          <w:fldChar w:fldCharType="begin"/>
        </w:r>
        <w:r>
          <w:rPr>
            <w:noProof/>
            <w:webHidden/>
          </w:rPr>
          <w:instrText xml:space="preserve"> PAGEREF _Toc480547270 \h </w:instrText>
        </w:r>
        <w:r>
          <w:rPr>
            <w:noProof/>
            <w:webHidden/>
          </w:rPr>
        </w:r>
        <w:r>
          <w:rPr>
            <w:noProof/>
            <w:webHidden/>
          </w:rPr>
          <w:fldChar w:fldCharType="separate"/>
        </w:r>
        <w:r w:rsidR="00684C5F">
          <w:rPr>
            <w:noProof/>
            <w:webHidden/>
          </w:rPr>
          <w:t>48</w:t>
        </w:r>
        <w:r>
          <w:rPr>
            <w:noProof/>
            <w:webHidden/>
          </w:rPr>
          <w:fldChar w:fldCharType="end"/>
        </w:r>
      </w:hyperlink>
    </w:p>
    <w:p w14:paraId="6C3E9FFE" w14:textId="434615B2" w:rsidR="00CC0781" w:rsidRDefault="00CC0781" w:rsidP="00CC0781">
      <w:pPr>
        <w:pStyle w:val="Obsah2"/>
        <w:rPr>
          <w:rFonts w:eastAsiaTheme="minorEastAsia"/>
          <w:noProof/>
          <w:lang w:eastAsia="sk-SK"/>
        </w:rPr>
      </w:pPr>
      <w:hyperlink w:anchor="_Toc480547271" w:history="1">
        <w:r w:rsidRPr="00606124">
          <w:rPr>
            <w:rStyle w:val="Hypertextovprepojenie"/>
            <w:rFonts w:ascii="Times New Roman" w:hAnsi="Times New Roman" w:cs="Times New Roman"/>
            <w:noProof/>
          </w:rPr>
          <w:t>3.3.</w:t>
        </w:r>
        <w:r>
          <w:rPr>
            <w:rFonts w:eastAsiaTheme="minorEastAsia"/>
            <w:noProof/>
            <w:lang w:eastAsia="sk-SK"/>
          </w:rPr>
          <w:tab/>
        </w:r>
        <w:r w:rsidRPr="00606124">
          <w:rPr>
            <w:rStyle w:val="Hypertextovprepojenie"/>
            <w:rFonts w:ascii="Times New Roman" w:hAnsi="Times New Roman" w:cs="Times New Roman"/>
            <w:noProof/>
          </w:rPr>
          <w:t>Energetická efektívnosť vo verejných subjektoch</w:t>
        </w:r>
        <w:r>
          <w:rPr>
            <w:noProof/>
            <w:webHidden/>
          </w:rPr>
          <w:tab/>
        </w:r>
        <w:r>
          <w:rPr>
            <w:noProof/>
            <w:webHidden/>
          </w:rPr>
          <w:fldChar w:fldCharType="begin"/>
        </w:r>
        <w:r>
          <w:rPr>
            <w:noProof/>
            <w:webHidden/>
          </w:rPr>
          <w:instrText xml:space="preserve"> PAGEREF _Toc480547271 \h </w:instrText>
        </w:r>
        <w:r>
          <w:rPr>
            <w:noProof/>
            <w:webHidden/>
          </w:rPr>
        </w:r>
        <w:r>
          <w:rPr>
            <w:noProof/>
            <w:webHidden/>
          </w:rPr>
          <w:fldChar w:fldCharType="separate"/>
        </w:r>
        <w:r w:rsidR="00684C5F">
          <w:rPr>
            <w:noProof/>
            <w:webHidden/>
          </w:rPr>
          <w:t>49</w:t>
        </w:r>
        <w:r>
          <w:rPr>
            <w:noProof/>
            <w:webHidden/>
          </w:rPr>
          <w:fldChar w:fldCharType="end"/>
        </w:r>
      </w:hyperlink>
    </w:p>
    <w:p w14:paraId="398CC5C4" w14:textId="0F9420CD" w:rsidR="00CC0781" w:rsidRDefault="00CC0781">
      <w:pPr>
        <w:pStyle w:val="Obsah3"/>
        <w:rPr>
          <w:rFonts w:eastAsiaTheme="minorEastAsia"/>
          <w:noProof/>
          <w:lang w:eastAsia="sk-SK"/>
        </w:rPr>
      </w:pPr>
      <w:hyperlink w:anchor="_Toc480547272" w:history="1">
        <w:r w:rsidRPr="00606124">
          <w:rPr>
            <w:rStyle w:val="Hypertextovprepojenie"/>
            <w:rFonts w:ascii="Times New Roman" w:hAnsi="Times New Roman" w:cs="Times New Roman"/>
            <w:noProof/>
          </w:rPr>
          <w:t>3.3.1.</w:t>
        </w:r>
        <w:r>
          <w:rPr>
            <w:rFonts w:eastAsiaTheme="minorEastAsia"/>
            <w:noProof/>
            <w:lang w:eastAsia="sk-SK"/>
          </w:rPr>
          <w:tab/>
        </w:r>
        <w:r w:rsidRPr="00606124">
          <w:rPr>
            <w:rStyle w:val="Hypertextovprepojenie"/>
            <w:rFonts w:ascii="Times New Roman" w:hAnsi="Times New Roman" w:cs="Times New Roman"/>
            <w:noProof/>
          </w:rPr>
          <w:t>Budovy ústredných orgánov štátnej správy (článok 5 SEE)</w:t>
        </w:r>
        <w:r>
          <w:rPr>
            <w:noProof/>
            <w:webHidden/>
          </w:rPr>
          <w:tab/>
        </w:r>
        <w:r>
          <w:rPr>
            <w:noProof/>
            <w:webHidden/>
          </w:rPr>
          <w:fldChar w:fldCharType="begin"/>
        </w:r>
        <w:r>
          <w:rPr>
            <w:noProof/>
            <w:webHidden/>
          </w:rPr>
          <w:instrText xml:space="preserve"> PAGEREF _Toc480547272 \h </w:instrText>
        </w:r>
        <w:r>
          <w:rPr>
            <w:noProof/>
            <w:webHidden/>
          </w:rPr>
        </w:r>
        <w:r>
          <w:rPr>
            <w:noProof/>
            <w:webHidden/>
          </w:rPr>
          <w:fldChar w:fldCharType="separate"/>
        </w:r>
        <w:r w:rsidR="00684C5F">
          <w:rPr>
            <w:noProof/>
            <w:webHidden/>
          </w:rPr>
          <w:t>49</w:t>
        </w:r>
        <w:r>
          <w:rPr>
            <w:noProof/>
            <w:webHidden/>
          </w:rPr>
          <w:fldChar w:fldCharType="end"/>
        </w:r>
      </w:hyperlink>
    </w:p>
    <w:p w14:paraId="688BB8A8" w14:textId="60D7D131" w:rsidR="00CC0781" w:rsidRDefault="00CC0781">
      <w:pPr>
        <w:pStyle w:val="Obsah3"/>
        <w:rPr>
          <w:rFonts w:eastAsiaTheme="minorEastAsia"/>
          <w:noProof/>
          <w:lang w:eastAsia="sk-SK"/>
        </w:rPr>
      </w:pPr>
      <w:hyperlink w:anchor="_Toc480547273" w:history="1">
        <w:r w:rsidRPr="00606124">
          <w:rPr>
            <w:rStyle w:val="Hypertextovprepojenie"/>
            <w:rFonts w:ascii="Times New Roman" w:hAnsi="Times New Roman" w:cs="Times New Roman"/>
            <w:noProof/>
          </w:rPr>
          <w:t>3.3.2.</w:t>
        </w:r>
        <w:r>
          <w:rPr>
            <w:rFonts w:eastAsiaTheme="minorEastAsia"/>
            <w:noProof/>
            <w:lang w:eastAsia="sk-SK"/>
          </w:rPr>
          <w:tab/>
        </w:r>
        <w:r w:rsidRPr="00606124">
          <w:rPr>
            <w:rStyle w:val="Hypertextovprepojenie"/>
            <w:rFonts w:ascii="Times New Roman" w:hAnsi="Times New Roman" w:cs="Times New Roman"/>
            <w:noProof/>
          </w:rPr>
          <w:t>Budovy ostatných verejných subjektov (článok 5 SEE)</w:t>
        </w:r>
        <w:r>
          <w:rPr>
            <w:noProof/>
            <w:webHidden/>
          </w:rPr>
          <w:tab/>
        </w:r>
        <w:r>
          <w:rPr>
            <w:noProof/>
            <w:webHidden/>
          </w:rPr>
          <w:fldChar w:fldCharType="begin"/>
        </w:r>
        <w:r>
          <w:rPr>
            <w:noProof/>
            <w:webHidden/>
          </w:rPr>
          <w:instrText xml:space="preserve"> PAGEREF _Toc480547273 \h </w:instrText>
        </w:r>
        <w:r>
          <w:rPr>
            <w:noProof/>
            <w:webHidden/>
          </w:rPr>
        </w:r>
        <w:r>
          <w:rPr>
            <w:noProof/>
            <w:webHidden/>
          </w:rPr>
          <w:fldChar w:fldCharType="separate"/>
        </w:r>
        <w:r w:rsidR="00684C5F">
          <w:rPr>
            <w:noProof/>
            <w:webHidden/>
          </w:rPr>
          <w:t>50</w:t>
        </w:r>
        <w:r>
          <w:rPr>
            <w:noProof/>
            <w:webHidden/>
          </w:rPr>
          <w:fldChar w:fldCharType="end"/>
        </w:r>
      </w:hyperlink>
    </w:p>
    <w:p w14:paraId="5337F7AC" w14:textId="412D6C78" w:rsidR="00CC0781" w:rsidRDefault="00CC0781">
      <w:pPr>
        <w:pStyle w:val="Obsah4"/>
        <w:rPr>
          <w:rFonts w:eastAsiaTheme="minorEastAsia"/>
          <w:noProof/>
          <w:lang w:eastAsia="sk-SK"/>
        </w:rPr>
      </w:pPr>
      <w:hyperlink w:anchor="_Toc480547274" w:history="1">
        <w:r w:rsidRPr="00606124">
          <w:rPr>
            <w:rStyle w:val="Hypertextovprepojenie"/>
            <w:rFonts w:ascii="Times New Roman" w:eastAsia="Times New Roman" w:hAnsi="Times New Roman" w:cs="Times New Roman"/>
            <w:noProof/>
            <w:lang w:eastAsia="sk-SK"/>
          </w:rPr>
          <w:t>3.3.2.1.</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Verejné objekty a subjekty - informácie o prijatých opatreniach na prijatie plánov energetickej efektívnosti</w:t>
        </w:r>
        <w:r>
          <w:rPr>
            <w:noProof/>
            <w:webHidden/>
          </w:rPr>
          <w:tab/>
        </w:r>
        <w:r>
          <w:rPr>
            <w:noProof/>
            <w:webHidden/>
          </w:rPr>
          <w:fldChar w:fldCharType="begin"/>
        </w:r>
        <w:r>
          <w:rPr>
            <w:noProof/>
            <w:webHidden/>
          </w:rPr>
          <w:instrText xml:space="preserve"> PAGEREF _Toc480547274 \h </w:instrText>
        </w:r>
        <w:r>
          <w:rPr>
            <w:noProof/>
            <w:webHidden/>
          </w:rPr>
        </w:r>
        <w:r>
          <w:rPr>
            <w:noProof/>
            <w:webHidden/>
          </w:rPr>
          <w:fldChar w:fldCharType="separate"/>
        </w:r>
        <w:r w:rsidR="00684C5F">
          <w:rPr>
            <w:noProof/>
            <w:webHidden/>
          </w:rPr>
          <w:t>50</w:t>
        </w:r>
        <w:r>
          <w:rPr>
            <w:noProof/>
            <w:webHidden/>
          </w:rPr>
          <w:fldChar w:fldCharType="end"/>
        </w:r>
      </w:hyperlink>
    </w:p>
    <w:p w14:paraId="252557E1" w14:textId="54C18510" w:rsidR="00CC0781" w:rsidRDefault="00CC0781">
      <w:pPr>
        <w:pStyle w:val="Obsah4"/>
        <w:rPr>
          <w:rFonts w:eastAsiaTheme="minorEastAsia"/>
          <w:noProof/>
          <w:lang w:eastAsia="sk-SK"/>
        </w:rPr>
      </w:pPr>
      <w:hyperlink w:anchor="_Toc480547275" w:history="1">
        <w:r w:rsidRPr="00606124">
          <w:rPr>
            <w:rStyle w:val="Hypertextovprepojenie"/>
            <w:rFonts w:ascii="Times New Roman" w:eastAsia="Times New Roman" w:hAnsi="Times New Roman" w:cs="Times New Roman"/>
            <w:noProof/>
            <w:lang w:eastAsia="sk-SK"/>
          </w:rPr>
          <w:t>3.3.2.2.</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Zoznam verejných subjektov, ktoré vypracovali akčný plán energetickej efektívnosti</w:t>
        </w:r>
        <w:r>
          <w:rPr>
            <w:noProof/>
            <w:webHidden/>
          </w:rPr>
          <w:tab/>
        </w:r>
        <w:r>
          <w:rPr>
            <w:noProof/>
            <w:webHidden/>
          </w:rPr>
          <w:fldChar w:fldCharType="begin"/>
        </w:r>
        <w:r>
          <w:rPr>
            <w:noProof/>
            <w:webHidden/>
          </w:rPr>
          <w:instrText xml:space="preserve"> PAGEREF _Toc480547275 \h </w:instrText>
        </w:r>
        <w:r>
          <w:rPr>
            <w:noProof/>
            <w:webHidden/>
          </w:rPr>
        </w:r>
        <w:r>
          <w:rPr>
            <w:noProof/>
            <w:webHidden/>
          </w:rPr>
          <w:fldChar w:fldCharType="separate"/>
        </w:r>
        <w:r w:rsidR="00684C5F">
          <w:rPr>
            <w:noProof/>
            <w:webHidden/>
          </w:rPr>
          <w:t>50</w:t>
        </w:r>
        <w:r>
          <w:rPr>
            <w:noProof/>
            <w:webHidden/>
          </w:rPr>
          <w:fldChar w:fldCharType="end"/>
        </w:r>
      </w:hyperlink>
    </w:p>
    <w:p w14:paraId="24A916C6" w14:textId="57EFF691" w:rsidR="00CC0781" w:rsidRDefault="00CC0781">
      <w:pPr>
        <w:pStyle w:val="Obsah3"/>
        <w:rPr>
          <w:rFonts w:eastAsiaTheme="minorEastAsia"/>
          <w:noProof/>
          <w:lang w:eastAsia="sk-SK"/>
        </w:rPr>
      </w:pPr>
      <w:hyperlink w:anchor="_Toc480547276" w:history="1">
        <w:r w:rsidRPr="00606124">
          <w:rPr>
            <w:rStyle w:val="Hypertextovprepojenie"/>
            <w:rFonts w:ascii="Times New Roman" w:hAnsi="Times New Roman" w:cs="Times New Roman"/>
            <w:noProof/>
          </w:rPr>
          <w:t>3.3.3.</w:t>
        </w:r>
        <w:r>
          <w:rPr>
            <w:rFonts w:eastAsiaTheme="minorEastAsia"/>
            <w:noProof/>
            <w:lang w:eastAsia="sk-SK"/>
          </w:rPr>
          <w:tab/>
        </w:r>
        <w:r w:rsidRPr="00606124">
          <w:rPr>
            <w:rStyle w:val="Hypertextovprepojenie"/>
            <w:rFonts w:ascii="Times New Roman" w:hAnsi="Times New Roman" w:cs="Times New Roman"/>
            <w:noProof/>
          </w:rPr>
          <w:t>Obstarávanie verejnými subjektmi (článok 6 SEE)</w:t>
        </w:r>
        <w:r>
          <w:rPr>
            <w:noProof/>
            <w:webHidden/>
          </w:rPr>
          <w:tab/>
        </w:r>
        <w:r>
          <w:rPr>
            <w:noProof/>
            <w:webHidden/>
          </w:rPr>
          <w:fldChar w:fldCharType="begin"/>
        </w:r>
        <w:r>
          <w:rPr>
            <w:noProof/>
            <w:webHidden/>
          </w:rPr>
          <w:instrText xml:space="preserve"> PAGEREF _Toc480547276 \h </w:instrText>
        </w:r>
        <w:r>
          <w:rPr>
            <w:noProof/>
            <w:webHidden/>
          </w:rPr>
        </w:r>
        <w:r>
          <w:rPr>
            <w:noProof/>
            <w:webHidden/>
          </w:rPr>
          <w:fldChar w:fldCharType="separate"/>
        </w:r>
        <w:r w:rsidR="00684C5F">
          <w:rPr>
            <w:noProof/>
            <w:webHidden/>
          </w:rPr>
          <w:t>50</w:t>
        </w:r>
        <w:r>
          <w:rPr>
            <w:noProof/>
            <w:webHidden/>
          </w:rPr>
          <w:fldChar w:fldCharType="end"/>
        </w:r>
      </w:hyperlink>
    </w:p>
    <w:p w14:paraId="05DB8113" w14:textId="558F108E" w:rsidR="00CC0781" w:rsidRDefault="00CC0781" w:rsidP="00CC0781">
      <w:pPr>
        <w:pStyle w:val="Obsah2"/>
        <w:rPr>
          <w:rFonts w:eastAsiaTheme="minorEastAsia"/>
          <w:noProof/>
          <w:lang w:eastAsia="sk-SK"/>
        </w:rPr>
      </w:pPr>
      <w:hyperlink w:anchor="_Toc480547277" w:history="1">
        <w:r w:rsidRPr="00606124">
          <w:rPr>
            <w:rStyle w:val="Hypertextovprepojenie"/>
            <w:rFonts w:ascii="Times New Roman" w:hAnsi="Times New Roman" w:cs="Times New Roman"/>
            <w:noProof/>
          </w:rPr>
          <w:t>3.4.</w:t>
        </w:r>
        <w:r>
          <w:rPr>
            <w:rFonts w:eastAsiaTheme="minorEastAsia"/>
            <w:noProof/>
            <w:lang w:eastAsia="sk-SK"/>
          </w:rPr>
          <w:tab/>
        </w:r>
        <w:r w:rsidRPr="00606124">
          <w:rPr>
            <w:rStyle w:val="Hypertextovprepojenie"/>
            <w:rFonts w:ascii="Times New Roman" w:hAnsi="Times New Roman" w:cs="Times New Roman"/>
            <w:noProof/>
          </w:rPr>
          <w:t>Ďalšie opatrenia zamerané na efektívnosť konečného využitia energie v priemysle a doprave</w:t>
        </w:r>
        <w:r>
          <w:rPr>
            <w:noProof/>
            <w:webHidden/>
          </w:rPr>
          <w:tab/>
        </w:r>
        <w:r>
          <w:rPr>
            <w:noProof/>
            <w:webHidden/>
          </w:rPr>
          <w:fldChar w:fldCharType="begin"/>
        </w:r>
        <w:r>
          <w:rPr>
            <w:noProof/>
            <w:webHidden/>
          </w:rPr>
          <w:instrText xml:space="preserve"> PAGEREF _Toc480547277 \h </w:instrText>
        </w:r>
        <w:r>
          <w:rPr>
            <w:noProof/>
            <w:webHidden/>
          </w:rPr>
        </w:r>
        <w:r>
          <w:rPr>
            <w:noProof/>
            <w:webHidden/>
          </w:rPr>
          <w:fldChar w:fldCharType="separate"/>
        </w:r>
        <w:r w:rsidR="00684C5F">
          <w:rPr>
            <w:noProof/>
            <w:webHidden/>
          </w:rPr>
          <w:t>51</w:t>
        </w:r>
        <w:r>
          <w:rPr>
            <w:noProof/>
            <w:webHidden/>
          </w:rPr>
          <w:fldChar w:fldCharType="end"/>
        </w:r>
      </w:hyperlink>
    </w:p>
    <w:p w14:paraId="50F372E5" w14:textId="47BFC3E7" w:rsidR="00CC0781" w:rsidRDefault="00CC0781">
      <w:pPr>
        <w:pStyle w:val="Obsah3"/>
        <w:rPr>
          <w:rFonts w:eastAsiaTheme="minorEastAsia"/>
          <w:noProof/>
          <w:lang w:eastAsia="sk-SK"/>
        </w:rPr>
      </w:pPr>
      <w:hyperlink w:anchor="_Toc480547278" w:history="1">
        <w:r w:rsidRPr="00606124">
          <w:rPr>
            <w:rStyle w:val="Hypertextovprepojenie"/>
            <w:rFonts w:ascii="Times New Roman" w:eastAsia="Times New Roman" w:hAnsi="Times New Roman" w:cs="Times New Roman"/>
            <w:noProof/>
            <w:lang w:eastAsia="sk-SK"/>
          </w:rPr>
          <w:t>3.4.1.</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Podrobnosti o významných opatreniach na zvýšenie energetickej efektívnosti v priemysle</w:t>
        </w:r>
        <w:r>
          <w:rPr>
            <w:noProof/>
            <w:webHidden/>
          </w:rPr>
          <w:tab/>
        </w:r>
        <w:r>
          <w:rPr>
            <w:noProof/>
            <w:webHidden/>
          </w:rPr>
          <w:fldChar w:fldCharType="begin"/>
        </w:r>
        <w:r>
          <w:rPr>
            <w:noProof/>
            <w:webHidden/>
          </w:rPr>
          <w:instrText xml:space="preserve"> PAGEREF _Toc480547278 \h </w:instrText>
        </w:r>
        <w:r>
          <w:rPr>
            <w:noProof/>
            <w:webHidden/>
          </w:rPr>
        </w:r>
        <w:r>
          <w:rPr>
            <w:noProof/>
            <w:webHidden/>
          </w:rPr>
          <w:fldChar w:fldCharType="separate"/>
        </w:r>
        <w:r w:rsidR="00684C5F">
          <w:rPr>
            <w:noProof/>
            <w:webHidden/>
          </w:rPr>
          <w:t>51</w:t>
        </w:r>
        <w:r>
          <w:rPr>
            <w:noProof/>
            <w:webHidden/>
          </w:rPr>
          <w:fldChar w:fldCharType="end"/>
        </w:r>
      </w:hyperlink>
    </w:p>
    <w:p w14:paraId="268B8F7D" w14:textId="6B854690" w:rsidR="00CC0781" w:rsidRDefault="00CC0781">
      <w:pPr>
        <w:pStyle w:val="Obsah3"/>
        <w:rPr>
          <w:rFonts w:eastAsiaTheme="minorEastAsia"/>
          <w:noProof/>
          <w:lang w:eastAsia="sk-SK"/>
        </w:rPr>
      </w:pPr>
      <w:hyperlink w:anchor="_Toc480547279" w:history="1">
        <w:r w:rsidRPr="00606124">
          <w:rPr>
            <w:rStyle w:val="Hypertextovprepojenie"/>
            <w:rFonts w:ascii="Times New Roman" w:eastAsia="Times New Roman" w:hAnsi="Times New Roman" w:cs="Times New Roman"/>
            <w:noProof/>
            <w:lang w:eastAsia="sk-SK"/>
          </w:rPr>
          <w:t>3.4.2.</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Podrobnosti o významných opatreniach na zvýšenie energetickej efektívnosti v osobnej a nákladnej doprave</w:t>
        </w:r>
        <w:r>
          <w:rPr>
            <w:noProof/>
            <w:webHidden/>
          </w:rPr>
          <w:tab/>
        </w:r>
        <w:r>
          <w:rPr>
            <w:noProof/>
            <w:webHidden/>
          </w:rPr>
          <w:fldChar w:fldCharType="begin"/>
        </w:r>
        <w:r>
          <w:rPr>
            <w:noProof/>
            <w:webHidden/>
          </w:rPr>
          <w:instrText xml:space="preserve"> PAGEREF _Toc480547279 \h </w:instrText>
        </w:r>
        <w:r>
          <w:rPr>
            <w:noProof/>
            <w:webHidden/>
          </w:rPr>
        </w:r>
        <w:r>
          <w:rPr>
            <w:noProof/>
            <w:webHidden/>
          </w:rPr>
          <w:fldChar w:fldCharType="separate"/>
        </w:r>
        <w:r w:rsidR="00684C5F">
          <w:rPr>
            <w:noProof/>
            <w:webHidden/>
          </w:rPr>
          <w:t>51</w:t>
        </w:r>
        <w:r>
          <w:rPr>
            <w:noProof/>
            <w:webHidden/>
          </w:rPr>
          <w:fldChar w:fldCharType="end"/>
        </w:r>
      </w:hyperlink>
    </w:p>
    <w:p w14:paraId="530C6F26" w14:textId="1EF54200" w:rsidR="00CC0781" w:rsidRDefault="00CC0781">
      <w:pPr>
        <w:pStyle w:val="Obsah3"/>
        <w:rPr>
          <w:rFonts w:eastAsiaTheme="minorEastAsia"/>
          <w:noProof/>
          <w:lang w:eastAsia="sk-SK"/>
        </w:rPr>
      </w:pPr>
      <w:hyperlink w:anchor="_Toc480547280" w:history="1">
        <w:r w:rsidRPr="00606124">
          <w:rPr>
            <w:rStyle w:val="Hypertextovprepojenie"/>
            <w:rFonts w:ascii="Times New Roman" w:eastAsia="Times New Roman" w:hAnsi="Times New Roman" w:cs="Times New Roman"/>
            <w:noProof/>
            <w:lang w:eastAsia="sk-SK"/>
          </w:rPr>
          <w:t>3.4.3.</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Podrobnosti o významných opatreniach zameraných na energetickej efektívnosti konečného využitia energie v priemysle</w:t>
        </w:r>
        <w:r>
          <w:rPr>
            <w:noProof/>
            <w:webHidden/>
          </w:rPr>
          <w:tab/>
        </w:r>
        <w:r>
          <w:rPr>
            <w:noProof/>
            <w:webHidden/>
          </w:rPr>
          <w:fldChar w:fldCharType="begin"/>
        </w:r>
        <w:r>
          <w:rPr>
            <w:noProof/>
            <w:webHidden/>
          </w:rPr>
          <w:instrText xml:space="preserve"> PAGEREF _Toc480547280 \h </w:instrText>
        </w:r>
        <w:r>
          <w:rPr>
            <w:noProof/>
            <w:webHidden/>
          </w:rPr>
        </w:r>
        <w:r>
          <w:rPr>
            <w:noProof/>
            <w:webHidden/>
          </w:rPr>
          <w:fldChar w:fldCharType="separate"/>
        </w:r>
        <w:r w:rsidR="00684C5F">
          <w:rPr>
            <w:noProof/>
            <w:webHidden/>
          </w:rPr>
          <w:t>51</w:t>
        </w:r>
        <w:r>
          <w:rPr>
            <w:noProof/>
            <w:webHidden/>
          </w:rPr>
          <w:fldChar w:fldCharType="end"/>
        </w:r>
      </w:hyperlink>
    </w:p>
    <w:p w14:paraId="1F10DC40" w14:textId="73368959" w:rsidR="00CC0781" w:rsidRDefault="00CC0781" w:rsidP="00CC0781">
      <w:pPr>
        <w:pStyle w:val="Obsah2"/>
        <w:rPr>
          <w:rFonts w:eastAsiaTheme="minorEastAsia"/>
          <w:noProof/>
          <w:lang w:eastAsia="sk-SK"/>
        </w:rPr>
      </w:pPr>
      <w:hyperlink w:anchor="_Toc480547281" w:history="1">
        <w:r w:rsidRPr="00606124">
          <w:rPr>
            <w:rStyle w:val="Hypertextovprepojenie"/>
            <w:rFonts w:ascii="Times New Roman" w:hAnsi="Times New Roman" w:cs="Times New Roman"/>
            <w:noProof/>
          </w:rPr>
          <w:t>3.5.</w:t>
        </w:r>
        <w:r>
          <w:rPr>
            <w:rFonts w:eastAsiaTheme="minorEastAsia"/>
            <w:noProof/>
            <w:lang w:eastAsia="sk-SK"/>
          </w:rPr>
          <w:tab/>
        </w:r>
        <w:r w:rsidRPr="00606124">
          <w:rPr>
            <w:rStyle w:val="Hypertextovprepojenie"/>
            <w:rFonts w:ascii="Times New Roman" w:hAnsi="Times New Roman" w:cs="Times New Roman"/>
            <w:noProof/>
          </w:rPr>
          <w:t>Podpora efektívneho vykurovania a chladenia</w:t>
        </w:r>
        <w:r>
          <w:rPr>
            <w:noProof/>
            <w:webHidden/>
          </w:rPr>
          <w:tab/>
        </w:r>
        <w:r>
          <w:rPr>
            <w:noProof/>
            <w:webHidden/>
          </w:rPr>
          <w:fldChar w:fldCharType="begin"/>
        </w:r>
        <w:r>
          <w:rPr>
            <w:noProof/>
            <w:webHidden/>
          </w:rPr>
          <w:instrText xml:space="preserve"> PAGEREF _Toc480547281 \h </w:instrText>
        </w:r>
        <w:r>
          <w:rPr>
            <w:noProof/>
            <w:webHidden/>
          </w:rPr>
        </w:r>
        <w:r>
          <w:rPr>
            <w:noProof/>
            <w:webHidden/>
          </w:rPr>
          <w:fldChar w:fldCharType="separate"/>
        </w:r>
        <w:r w:rsidR="00684C5F">
          <w:rPr>
            <w:noProof/>
            <w:webHidden/>
          </w:rPr>
          <w:t>52</w:t>
        </w:r>
        <w:r>
          <w:rPr>
            <w:noProof/>
            <w:webHidden/>
          </w:rPr>
          <w:fldChar w:fldCharType="end"/>
        </w:r>
      </w:hyperlink>
    </w:p>
    <w:p w14:paraId="64DE35C0" w14:textId="48F7D059" w:rsidR="00CC0781" w:rsidRDefault="00CC0781">
      <w:pPr>
        <w:pStyle w:val="Obsah3"/>
        <w:rPr>
          <w:rFonts w:eastAsiaTheme="minorEastAsia"/>
          <w:noProof/>
          <w:lang w:eastAsia="sk-SK"/>
        </w:rPr>
      </w:pPr>
      <w:hyperlink w:anchor="_Toc480547282" w:history="1">
        <w:r w:rsidRPr="00606124">
          <w:rPr>
            <w:rStyle w:val="Hypertextovprepojenie"/>
            <w:rFonts w:ascii="Times New Roman" w:hAnsi="Times New Roman" w:cs="Times New Roman"/>
            <w:noProof/>
          </w:rPr>
          <w:t>3.5.1.</w:t>
        </w:r>
        <w:r>
          <w:rPr>
            <w:rFonts w:eastAsiaTheme="minorEastAsia"/>
            <w:noProof/>
            <w:lang w:eastAsia="sk-SK"/>
          </w:rPr>
          <w:tab/>
        </w:r>
        <w:r w:rsidRPr="00606124">
          <w:rPr>
            <w:rStyle w:val="Hypertextovprepojenie"/>
            <w:rFonts w:ascii="Times New Roman" w:hAnsi="Times New Roman" w:cs="Times New Roman"/>
            <w:noProof/>
          </w:rPr>
          <w:t>Komplexné posúdenie (článok 14 SEE)</w:t>
        </w:r>
        <w:r>
          <w:rPr>
            <w:noProof/>
            <w:webHidden/>
          </w:rPr>
          <w:tab/>
        </w:r>
        <w:r>
          <w:rPr>
            <w:noProof/>
            <w:webHidden/>
          </w:rPr>
          <w:fldChar w:fldCharType="begin"/>
        </w:r>
        <w:r>
          <w:rPr>
            <w:noProof/>
            <w:webHidden/>
          </w:rPr>
          <w:instrText xml:space="preserve"> PAGEREF _Toc480547282 \h </w:instrText>
        </w:r>
        <w:r>
          <w:rPr>
            <w:noProof/>
            <w:webHidden/>
          </w:rPr>
        </w:r>
        <w:r>
          <w:rPr>
            <w:noProof/>
            <w:webHidden/>
          </w:rPr>
          <w:fldChar w:fldCharType="separate"/>
        </w:r>
        <w:r w:rsidR="00684C5F">
          <w:rPr>
            <w:noProof/>
            <w:webHidden/>
          </w:rPr>
          <w:t>52</w:t>
        </w:r>
        <w:r>
          <w:rPr>
            <w:noProof/>
            <w:webHidden/>
          </w:rPr>
          <w:fldChar w:fldCharType="end"/>
        </w:r>
      </w:hyperlink>
    </w:p>
    <w:p w14:paraId="3BC0F0ED" w14:textId="4751B8B7" w:rsidR="00CC0781" w:rsidRDefault="00CC0781">
      <w:pPr>
        <w:pStyle w:val="Obsah4"/>
        <w:rPr>
          <w:rFonts w:eastAsiaTheme="minorEastAsia"/>
          <w:noProof/>
          <w:lang w:eastAsia="sk-SK"/>
        </w:rPr>
      </w:pPr>
      <w:hyperlink w:anchor="_Toc480547283" w:history="1">
        <w:r w:rsidRPr="00606124">
          <w:rPr>
            <w:rStyle w:val="Hypertextovprepojenie"/>
            <w:rFonts w:ascii="Times New Roman" w:eastAsia="Times New Roman" w:hAnsi="Times New Roman" w:cs="Times New Roman"/>
            <w:noProof/>
            <w:lang w:eastAsia="sk-SK"/>
          </w:rPr>
          <w:t>3.5.1.1.</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Posúdenie pokroku dosiahnutého vo vykonávaní komplexného posúdenia potenciálu vysokoúčinnej KVET a efektívneho CZTaCH</w:t>
        </w:r>
        <w:r>
          <w:rPr>
            <w:noProof/>
            <w:webHidden/>
          </w:rPr>
          <w:tab/>
        </w:r>
        <w:r>
          <w:rPr>
            <w:noProof/>
            <w:webHidden/>
          </w:rPr>
          <w:fldChar w:fldCharType="begin"/>
        </w:r>
        <w:r>
          <w:rPr>
            <w:noProof/>
            <w:webHidden/>
          </w:rPr>
          <w:instrText xml:space="preserve"> PAGEREF _Toc480547283 \h </w:instrText>
        </w:r>
        <w:r>
          <w:rPr>
            <w:noProof/>
            <w:webHidden/>
          </w:rPr>
        </w:r>
        <w:r>
          <w:rPr>
            <w:noProof/>
            <w:webHidden/>
          </w:rPr>
          <w:fldChar w:fldCharType="separate"/>
        </w:r>
        <w:r w:rsidR="00684C5F">
          <w:rPr>
            <w:noProof/>
            <w:webHidden/>
          </w:rPr>
          <w:t>52</w:t>
        </w:r>
        <w:r>
          <w:rPr>
            <w:noProof/>
            <w:webHidden/>
          </w:rPr>
          <w:fldChar w:fldCharType="end"/>
        </w:r>
      </w:hyperlink>
    </w:p>
    <w:p w14:paraId="73E77655" w14:textId="0EA46706" w:rsidR="00CC0781" w:rsidRDefault="00CC0781">
      <w:pPr>
        <w:pStyle w:val="Obsah4"/>
        <w:rPr>
          <w:rFonts w:eastAsiaTheme="minorEastAsia"/>
          <w:noProof/>
          <w:lang w:eastAsia="sk-SK"/>
        </w:rPr>
      </w:pPr>
      <w:hyperlink w:anchor="_Toc480547284" w:history="1">
        <w:r w:rsidRPr="00606124">
          <w:rPr>
            <w:rStyle w:val="Hypertextovprepojenie"/>
            <w:rFonts w:ascii="Times New Roman" w:eastAsia="Times New Roman" w:hAnsi="Times New Roman" w:cs="Times New Roman"/>
            <w:noProof/>
            <w:lang w:eastAsia="sk-SK"/>
          </w:rPr>
          <w:t>3.5.1.2.</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Opis postupu a metodiky, ktoré ste použili pri vykonaní analýzy nákladov a prínosov s cieľom splniť kritéria prílohy IX k SEE</w:t>
        </w:r>
        <w:r>
          <w:rPr>
            <w:noProof/>
            <w:webHidden/>
          </w:rPr>
          <w:tab/>
        </w:r>
        <w:r>
          <w:rPr>
            <w:noProof/>
            <w:webHidden/>
          </w:rPr>
          <w:fldChar w:fldCharType="begin"/>
        </w:r>
        <w:r>
          <w:rPr>
            <w:noProof/>
            <w:webHidden/>
          </w:rPr>
          <w:instrText xml:space="preserve"> PAGEREF _Toc480547284 \h </w:instrText>
        </w:r>
        <w:r>
          <w:rPr>
            <w:noProof/>
            <w:webHidden/>
          </w:rPr>
        </w:r>
        <w:r>
          <w:rPr>
            <w:noProof/>
            <w:webHidden/>
          </w:rPr>
          <w:fldChar w:fldCharType="separate"/>
        </w:r>
        <w:r w:rsidR="00684C5F">
          <w:rPr>
            <w:noProof/>
            <w:webHidden/>
          </w:rPr>
          <w:t>53</w:t>
        </w:r>
        <w:r>
          <w:rPr>
            <w:noProof/>
            <w:webHidden/>
          </w:rPr>
          <w:fldChar w:fldCharType="end"/>
        </w:r>
      </w:hyperlink>
    </w:p>
    <w:p w14:paraId="11B38A9A" w14:textId="2F6A6A7C" w:rsidR="00CC0781" w:rsidRDefault="00CC0781">
      <w:pPr>
        <w:pStyle w:val="Obsah3"/>
        <w:rPr>
          <w:rFonts w:eastAsiaTheme="minorEastAsia"/>
          <w:noProof/>
          <w:lang w:eastAsia="sk-SK"/>
        </w:rPr>
      </w:pPr>
      <w:hyperlink w:anchor="_Toc480547285" w:history="1">
        <w:r w:rsidRPr="00606124">
          <w:rPr>
            <w:rStyle w:val="Hypertextovprepojenie"/>
            <w:rFonts w:ascii="Times New Roman" w:hAnsi="Times New Roman" w:cs="Times New Roman"/>
            <w:noProof/>
          </w:rPr>
          <w:t>3.5.2.</w:t>
        </w:r>
        <w:r>
          <w:rPr>
            <w:rFonts w:eastAsiaTheme="minorEastAsia"/>
            <w:noProof/>
            <w:lang w:eastAsia="sk-SK"/>
          </w:rPr>
          <w:tab/>
        </w:r>
        <w:r w:rsidRPr="00606124">
          <w:rPr>
            <w:rStyle w:val="Hypertextovprepojenie"/>
            <w:rFonts w:ascii="Times New Roman" w:hAnsi="Times New Roman" w:cs="Times New Roman"/>
            <w:noProof/>
          </w:rPr>
          <w:t>Ďalšie opatrenia na efektívne vykurovanie a chladenie (článok 14 SEE)</w:t>
        </w:r>
        <w:r>
          <w:rPr>
            <w:noProof/>
            <w:webHidden/>
          </w:rPr>
          <w:tab/>
        </w:r>
        <w:r>
          <w:rPr>
            <w:noProof/>
            <w:webHidden/>
          </w:rPr>
          <w:fldChar w:fldCharType="begin"/>
        </w:r>
        <w:r>
          <w:rPr>
            <w:noProof/>
            <w:webHidden/>
          </w:rPr>
          <w:instrText xml:space="preserve"> PAGEREF _Toc480547285 \h </w:instrText>
        </w:r>
        <w:r>
          <w:rPr>
            <w:noProof/>
            <w:webHidden/>
          </w:rPr>
        </w:r>
        <w:r>
          <w:rPr>
            <w:noProof/>
            <w:webHidden/>
          </w:rPr>
          <w:fldChar w:fldCharType="separate"/>
        </w:r>
        <w:r w:rsidR="00684C5F">
          <w:rPr>
            <w:noProof/>
            <w:webHidden/>
          </w:rPr>
          <w:t>54</w:t>
        </w:r>
        <w:r>
          <w:rPr>
            <w:noProof/>
            <w:webHidden/>
          </w:rPr>
          <w:fldChar w:fldCharType="end"/>
        </w:r>
      </w:hyperlink>
    </w:p>
    <w:p w14:paraId="2FD8E2D4" w14:textId="7E5301F0" w:rsidR="00CC0781" w:rsidRDefault="00CC0781" w:rsidP="00CC0781">
      <w:pPr>
        <w:pStyle w:val="Obsah2"/>
        <w:rPr>
          <w:rFonts w:eastAsiaTheme="minorEastAsia"/>
          <w:noProof/>
          <w:lang w:eastAsia="sk-SK"/>
        </w:rPr>
      </w:pPr>
      <w:hyperlink w:anchor="_Toc480547286" w:history="1">
        <w:r w:rsidRPr="00606124">
          <w:rPr>
            <w:rStyle w:val="Hypertextovprepojenie"/>
            <w:rFonts w:ascii="Times New Roman" w:hAnsi="Times New Roman" w:cs="Times New Roman"/>
            <w:noProof/>
          </w:rPr>
          <w:t>3.6.</w:t>
        </w:r>
        <w:r>
          <w:rPr>
            <w:rFonts w:eastAsiaTheme="minorEastAsia"/>
            <w:noProof/>
            <w:lang w:eastAsia="sk-SK"/>
          </w:rPr>
          <w:tab/>
        </w:r>
        <w:r w:rsidRPr="00606124">
          <w:rPr>
            <w:rStyle w:val="Hypertextovprepojenie"/>
            <w:rFonts w:ascii="Times New Roman" w:hAnsi="Times New Roman" w:cs="Times New Roman"/>
            <w:noProof/>
          </w:rPr>
          <w:t>Premena, prenos a distribúcia energie a reakcia strany spotreby</w:t>
        </w:r>
        <w:r>
          <w:rPr>
            <w:noProof/>
            <w:webHidden/>
          </w:rPr>
          <w:tab/>
        </w:r>
        <w:r>
          <w:rPr>
            <w:noProof/>
            <w:webHidden/>
          </w:rPr>
          <w:fldChar w:fldCharType="begin"/>
        </w:r>
        <w:r>
          <w:rPr>
            <w:noProof/>
            <w:webHidden/>
          </w:rPr>
          <w:instrText xml:space="preserve"> PAGEREF _Toc480547286 \h </w:instrText>
        </w:r>
        <w:r>
          <w:rPr>
            <w:noProof/>
            <w:webHidden/>
          </w:rPr>
        </w:r>
        <w:r>
          <w:rPr>
            <w:noProof/>
            <w:webHidden/>
          </w:rPr>
          <w:fldChar w:fldCharType="separate"/>
        </w:r>
        <w:r w:rsidR="00684C5F">
          <w:rPr>
            <w:noProof/>
            <w:webHidden/>
          </w:rPr>
          <w:t>55</w:t>
        </w:r>
        <w:r>
          <w:rPr>
            <w:noProof/>
            <w:webHidden/>
          </w:rPr>
          <w:fldChar w:fldCharType="end"/>
        </w:r>
      </w:hyperlink>
    </w:p>
    <w:p w14:paraId="2E82B14A" w14:textId="76F3EC96" w:rsidR="00CC0781" w:rsidRDefault="00CC0781">
      <w:pPr>
        <w:pStyle w:val="Obsah3"/>
        <w:rPr>
          <w:rFonts w:eastAsiaTheme="minorEastAsia"/>
          <w:noProof/>
          <w:lang w:eastAsia="sk-SK"/>
        </w:rPr>
      </w:pPr>
      <w:hyperlink w:anchor="_Toc480547287" w:history="1">
        <w:r w:rsidRPr="00606124">
          <w:rPr>
            <w:rStyle w:val="Hypertextovprepojenie"/>
            <w:rFonts w:ascii="Times New Roman" w:hAnsi="Times New Roman" w:cs="Times New Roman"/>
            <w:noProof/>
          </w:rPr>
          <w:t>3.6.1.</w:t>
        </w:r>
        <w:r>
          <w:rPr>
            <w:rFonts w:eastAsiaTheme="minorEastAsia"/>
            <w:noProof/>
            <w:lang w:eastAsia="sk-SK"/>
          </w:rPr>
          <w:tab/>
        </w:r>
        <w:r w:rsidRPr="00606124">
          <w:rPr>
            <w:rStyle w:val="Hypertextovprepojenie"/>
            <w:rFonts w:ascii="Times New Roman" w:hAnsi="Times New Roman" w:cs="Times New Roman"/>
            <w:noProof/>
          </w:rPr>
          <w:t>Kritéria energetickej efektívnosti pri sieťových tarifách a sieťovej regulácii (článok 15 SEE)</w:t>
        </w:r>
        <w:r>
          <w:rPr>
            <w:noProof/>
            <w:webHidden/>
          </w:rPr>
          <w:tab/>
        </w:r>
        <w:r>
          <w:rPr>
            <w:noProof/>
            <w:webHidden/>
          </w:rPr>
          <w:fldChar w:fldCharType="begin"/>
        </w:r>
        <w:r>
          <w:rPr>
            <w:noProof/>
            <w:webHidden/>
          </w:rPr>
          <w:instrText xml:space="preserve"> PAGEREF _Toc480547287 \h </w:instrText>
        </w:r>
        <w:r>
          <w:rPr>
            <w:noProof/>
            <w:webHidden/>
          </w:rPr>
        </w:r>
        <w:r>
          <w:rPr>
            <w:noProof/>
            <w:webHidden/>
          </w:rPr>
          <w:fldChar w:fldCharType="separate"/>
        </w:r>
        <w:r w:rsidR="00684C5F">
          <w:rPr>
            <w:noProof/>
            <w:webHidden/>
          </w:rPr>
          <w:t>58</w:t>
        </w:r>
        <w:r>
          <w:rPr>
            <w:noProof/>
            <w:webHidden/>
          </w:rPr>
          <w:fldChar w:fldCharType="end"/>
        </w:r>
      </w:hyperlink>
    </w:p>
    <w:p w14:paraId="66D8284A" w14:textId="485D4E34" w:rsidR="00CC0781" w:rsidRDefault="00CC0781">
      <w:pPr>
        <w:pStyle w:val="Obsah4"/>
        <w:rPr>
          <w:rFonts w:eastAsiaTheme="minorEastAsia"/>
          <w:noProof/>
          <w:lang w:eastAsia="sk-SK"/>
        </w:rPr>
      </w:pPr>
      <w:hyperlink w:anchor="_Toc480547288" w:history="1">
        <w:r w:rsidRPr="00606124">
          <w:rPr>
            <w:rStyle w:val="Hypertextovprepojenie"/>
            <w:rFonts w:ascii="Times New Roman" w:eastAsia="Times New Roman" w:hAnsi="Times New Roman" w:cs="Times New Roman"/>
            <w:noProof/>
            <w:lang w:eastAsia="sk-SK"/>
          </w:rPr>
          <w:t>3.6.1.1.</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Opis plánovaných alebo prijatých opatrení na zabezpečenie toho, aby sa odstránili stimuly v tarifách, ktoré poškodzujú celkovú efektívnosť výroby, prenosu, distribúcie a dodávky elektriny (článok 15 ods. 4 SEE)</w:t>
        </w:r>
        <w:r>
          <w:rPr>
            <w:noProof/>
            <w:webHidden/>
          </w:rPr>
          <w:tab/>
        </w:r>
        <w:r>
          <w:rPr>
            <w:noProof/>
            <w:webHidden/>
          </w:rPr>
          <w:fldChar w:fldCharType="begin"/>
        </w:r>
        <w:r>
          <w:rPr>
            <w:noProof/>
            <w:webHidden/>
          </w:rPr>
          <w:instrText xml:space="preserve"> PAGEREF _Toc480547288 \h </w:instrText>
        </w:r>
        <w:r>
          <w:rPr>
            <w:noProof/>
            <w:webHidden/>
          </w:rPr>
        </w:r>
        <w:r>
          <w:rPr>
            <w:noProof/>
            <w:webHidden/>
          </w:rPr>
          <w:fldChar w:fldCharType="separate"/>
        </w:r>
        <w:r w:rsidR="00684C5F">
          <w:rPr>
            <w:noProof/>
            <w:webHidden/>
          </w:rPr>
          <w:t>58</w:t>
        </w:r>
        <w:r>
          <w:rPr>
            <w:noProof/>
            <w:webHidden/>
          </w:rPr>
          <w:fldChar w:fldCharType="end"/>
        </w:r>
      </w:hyperlink>
    </w:p>
    <w:p w14:paraId="0D8E98DF" w14:textId="683D4514" w:rsidR="00CC0781" w:rsidRDefault="00CC0781">
      <w:pPr>
        <w:pStyle w:val="Obsah4"/>
        <w:rPr>
          <w:rFonts w:eastAsiaTheme="minorEastAsia"/>
          <w:noProof/>
          <w:lang w:eastAsia="sk-SK"/>
        </w:rPr>
      </w:pPr>
      <w:hyperlink w:anchor="_Toc480547289" w:history="1">
        <w:r w:rsidRPr="00606124">
          <w:rPr>
            <w:rStyle w:val="Hypertextovprepojenie"/>
            <w:rFonts w:ascii="Times New Roman" w:eastAsia="Times New Roman" w:hAnsi="Times New Roman" w:cs="Times New Roman"/>
            <w:noProof/>
            <w:lang w:eastAsia="sk-SK"/>
          </w:rPr>
          <w:t>3.6.1.2.</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Opis plánovaných alebo prijatých opatrení na stimuláciu prevádzkovateľov sústav zvyšovať efektívnosť pri navrhovaní a prevádzke infraštruktúry (článok 15 ods. 4 SEE)</w:t>
        </w:r>
        <w:r>
          <w:rPr>
            <w:noProof/>
            <w:webHidden/>
          </w:rPr>
          <w:tab/>
        </w:r>
        <w:r>
          <w:rPr>
            <w:noProof/>
            <w:webHidden/>
          </w:rPr>
          <w:fldChar w:fldCharType="begin"/>
        </w:r>
        <w:r>
          <w:rPr>
            <w:noProof/>
            <w:webHidden/>
          </w:rPr>
          <w:instrText xml:space="preserve"> PAGEREF _Toc480547289 \h </w:instrText>
        </w:r>
        <w:r>
          <w:rPr>
            <w:noProof/>
            <w:webHidden/>
          </w:rPr>
        </w:r>
        <w:r>
          <w:rPr>
            <w:noProof/>
            <w:webHidden/>
          </w:rPr>
          <w:fldChar w:fldCharType="separate"/>
        </w:r>
        <w:r w:rsidR="00684C5F">
          <w:rPr>
            <w:noProof/>
            <w:webHidden/>
          </w:rPr>
          <w:t>58</w:t>
        </w:r>
        <w:r>
          <w:rPr>
            <w:noProof/>
            <w:webHidden/>
          </w:rPr>
          <w:fldChar w:fldCharType="end"/>
        </w:r>
      </w:hyperlink>
    </w:p>
    <w:p w14:paraId="328B4B66" w14:textId="5A653059" w:rsidR="00CC0781" w:rsidRDefault="00CC0781">
      <w:pPr>
        <w:pStyle w:val="Obsah4"/>
        <w:rPr>
          <w:rFonts w:eastAsiaTheme="minorEastAsia"/>
          <w:noProof/>
          <w:lang w:eastAsia="sk-SK"/>
        </w:rPr>
      </w:pPr>
      <w:hyperlink w:anchor="_Toc480547290" w:history="1">
        <w:r w:rsidRPr="00606124">
          <w:rPr>
            <w:rStyle w:val="Hypertextovprepojenie"/>
            <w:rFonts w:ascii="Times New Roman" w:eastAsia="Times New Roman" w:hAnsi="Times New Roman" w:cs="Times New Roman"/>
            <w:noProof/>
            <w:lang w:eastAsia="sk-SK"/>
          </w:rPr>
          <w:t>3.6.1.3.</w:t>
        </w:r>
        <w:r>
          <w:rPr>
            <w:rFonts w:eastAsiaTheme="minorEastAsia"/>
            <w:noProof/>
            <w:lang w:eastAsia="sk-SK"/>
          </w:rPr>
          <w:tab/>
        </w:r>
        <w:r w:rsidRPr="00606124">
          <w:rPr>
            <w:rStyle w:val="Hypertextovprepojenie"/>
            <w:rFonts w:ascii="Times New Roman" w:eastAsia="Times New Roman" w:hAnsi="Times New Roman" w:cs="Times New Roman"/>
            <w:noProof/>
            <w:lang w:eastAsia="sk-SK"/>
          </w:rPr>
          <w:t>Opis plánovaných alebo prijatých opatrení na zabezpečenie toho, aby sa prostredníctvom taríf dodávateľom umožnilo zlepšiť účasť odberateľov na efektívnosti systému vrátane reakcie strany spotreby (článok 15 ods.4 SEE)</w:t>
        </w:r>
        <w:r>
          <w:rPr>
            <w:noProof/>
            <w:webHidden/>
          </w:rPr>
          <w:tab/>
        </w:r>
        <w:r>
          <w:rPr>
            <w:noProof/>
            <w:webHidden/>
          </w:rPr>
          <w:fldChar w:fldCharType="begin"/>
        </w:r>
        <w:r>
          <w:rPr>
            <w:noProof/>
            <w:webHidden/>
          </w:rPr>
          <w:instrText xml:space="preserve"> PAGEREF _Toc480547290 \h </w:instrText>
        </w:r>
        <w:r>
          <w:rPr>
            <w:noProof/>
            <w:webHidden/>
          </w:rPr>
        </w:r>
        <w:r>
          <w:rPr>
            <w:noProof/>
            <w:webHidden/>
          </w:rPr>
          <w:fldChar w:fldCharType="separate"/>
        </w:r>
        <w:r w:rsidR="00684C5F">
          <w:rPr>
            <w:noProof/>
            <w:webHidden/>
          </w:rPr>
          <w:t>59</w:t>
        </w:r>
        <w:r>
          <w:rPr>
            <w:noProof/>
            <w:webHidden/>
          </w:rPr>
          <w:fldChar w:fldCharType="end"/>
        </w:r>
      </w:hyperlink>
    </w:p>
    <w:p w14:paraId="24D85E39" w14:textId="57038DDA" w:rsidR="00CC0781" w:rsidRDefault="00CC0781">
      <w:pPr>
        <w:pStyle w:val="Obsah3"/>
        <w:rPr>
          <w:rFonts w:eastAsiaTheme="minorEastAsia"/>
          <w:noProof/>
          <w:lang w:eastAsia="sk-SK"/>
        </w:rPr>
      </w:pPr>
      <w:hyperlink w:anchor="_Toc480547291" w:history="1">
        <w:r w:rsidRPr="00606124">
          <w:rPr>
            <w:rStyle w:val="Hypertextovprepojenie"/>
            <w:rFonts w:ascii="Times New Roman" w:hAnsi="Times New Roman" w:cs="Times New Roman"/>
            <w:noProof/>
          </w:rPr>
          <w:t>3.6.2.</w:t>
        </w:r>
        <w:r>
          <w:rPr>
            <w:rFonts w:eastAsiaTheme="minorEastAsia"/>
            <w:noProof/>
            <w:lang w:eastAsia="sk-SK"/>
          </w:rPr>
          <w:tab/>
        </w:r>
        <w:r w:rsidRPr="00606124">
          <w:rPr>
            <w:rStyle w:val="Hypertextovprepojenie"/>
            <w:rFonts w:ascii="Times New Roman" w:hAnsi="Times New Roman" w:cs="Times New Roman"/>
            <w:noProof/>
          </w:rPr>
          <w:t>Uľahčenie a podpora reakcie strany spotreby (článok 15 SEE)</w:t>
        </w:r>
        <w:r>
          <w:rPr>
            <w:noProof/>
            <w:webHidden/>
          </w:rPr>
          <w:tab/>
        </w:r>
        <w:r>
          <w:rPr>
            <w:noProof/>
            <w:webHidden/>
          </w:rPr>
          <w:fldChar w:fldCharType="begin"/>
        </w:r>
        <w:r>
          <w:rPr>
            <w:noProof/>
            <w:webHidden/>
          </w:rPr>
          <w:instrText xml:space="preserve"> PAGEREF _Toc480547291 \h </w:instrText>
        </w:r>
        <w:r>
          <w:rPr>
            <w:noProof/>
            <w:webHidden/>
          </w:rPr>
        </w:r>
        <w:r>
          <w:rPr>
            <w:noProof/>
            <w:webHidden/>
          </w:rPr>
          <w:fldChar w:fldCharType="separate"/>
        </w:r>
        <w:r w:rsidR="00684C5F">
          <w:rPr>
            <w:noProof/>
            <w:webHidden/>
          </w:rPr>
          <w:t>59</w:t>
        </w:r>
        <w:r>
          <w:rPr>
            <w:noProof/>
            <w:webHidden/>
          </w:rPr>
          <w:fldChar w:fldCharType="end"/>
        </w:r>
      </w:hyperlink>
    </w:p>
    <w:p w14:paraId="1BA38634" w14:textId="5F9CF7EC" w:rsidR="00CC0781" w:rsidRDefault="00CC0781">
      <w:pPr>
        <w:pStyle w:val="Obsah3"/>
        <w:rPr>
          <w:rFonts w:eastAsiaTheme="minorEastAsia"/>
          <w:noProof/>
          <w:lang w:eastAsia="sk-SK"/>
        </w:rPr>
      </w:pPr>
      <w:hyperlink w:anchor="_Toc480547292" w:history="1">
        <w:r w:rsidRPr="00606124">
          <w:rPr>
            <w:rStyle w:val="Hypertextovprepojenie"/>
            <w:rFonts w:ascii="Times New Roman" w:hAnsi="Times New Roman" w:cs="Times New Roman"/>
            <w:noProof/>
          </w:rPr>
          <w:t>3.6.3.</w:t>
        </w:r>
        <w:r>
          <w:rPr>
            <w:rFonts w:eastAsiaTheme="minorEastAsia"/>
            <w:noProof/>
            <w:lang w:eastAsia="sk-SK"/>
          </w:rPr>
          <w:tab/>
        </w:r>
        <w:r w:rsidRPr="00606124">
          <w:rPr>
            <w:rStyle w:val="Hypertextovprepojenie"/>
            <w:rFonts w:ascii="Times New Roman" w:hAnsi="Times New Roman" w:cs="Times New Roman"/>
            <w:noProof/>
          </w:rPr>
          <w:t>Energetická efektívnosť pri vytváraní a regulácií sietí (článok 15 SEE)</w:t>
        </w:r>
        <w:r>
          <w:rPr>
            <w:noProof/>
            <w:webHidden/>
          </w:rPr>
          <w:tab/>
        </w:r>
        <w:r>
          <w:rPr>
            <w:noProof/>
            <w:webHidden/>
          </w:rPr>
          <w:fldChar w:fldCharType="begin"/>
        </w:r>
        <w:r>
          <w:rPr>
            <w:noProof/>
            <w:webHidden/>
          </w:rPr>
          <w:instrText xml:space="preserve"> PAGEREF _Toc480547292 \h </w:instrText>
        </w:r>
        <w:r>
          <w:rPr>
            <w:noProof/>
            <w:webHidden/>
          </w:rPr>
        </w:r>
        <w:r>
          <w:rPr>
            <w:noProof/>
            <w:webHidden/>
          </w:rPr>
          <w:fldChar w:fldCharType="separate"/>
        </w:r>
        <w:r w:rsidR="00684C5F">
          <w:rPr>
            <w:noProof/>
            <w:webHidden/>
          </w:rPr>
          <w:t>59</w:t>
        </w:r>
        <w:r>
          <w:rPr>
            <w:noProof/>
            <w:webHidden/>
          </w:rPr>
          <w:fldChar w:fldCharType="end"/>
        </w:r>
      </w:hyperlink>
    </w:p>
    <w:p w14:paraId="6B603608" w14:textId="65F30ED3" w:rsidR="00CC0781" w:rsidRDefault="00CC0781">
      <w:pPr>
        <w:pStyle w:val="Obsah1"/>
        <w:rPr>
          <w:rFonts w:eastAsiaTheme="minorEastAsia"/>
          <w:noProof/>
          <w:lang w:eastAsia="sk-SK"/>
        </w:rPr>
      </w:pPr>
      <w:hyperlink w:anchor="_Toc480547293" w:history="1">
        <w:r w:rsidRPr="00606124">
          <w:rPr>
            <w:rStyle w:val="Hypertextovprepojenie"/>
            <w:rFonts w:ascii="Times New Roman" w:hAnsi="Times New Roman" w:cs="Times New Roman"/>
            <w:b/>
            <w:noProof/>
          </w:rPr>
          <w:t>Záver a odporúčania</w:t>
        </w:r>
        <w:r>
          <w:rPr>
            <w:noProof/>
            <w:webHidden/>
          </w:rPr>
          <w:tab/>
        </w:r>
        <w:r>
          <w:rPr>
            <w:noProof/>
            <w:webHidden/>
          </w:rPr>
          <w:fldChar w:fldCharType="begin"/>
        </w:r>
        <w:r>
          <w:rPr>
            <w:noProof/>
            <w:webHidden/>
          </w:rPr>
          <w:instrText xml:space="preserve"> PAGEREF _Toc480547293 \h </w:instrText>
        </w:r>
        <w:r>
          <w:rPr>
            <w:noProof/>
            <w:webHidden/>
          </w:rPr>
        </w:r>
        <w:r>
          <w:rPr>
            <w:noProof/>
            <w:webHidden/>
          </w:rPr>
          <w:fldChar w:fldCharType="separate"/>
        </w:r>
        <w:r w:rsidR="00684C5F">
          <w:rPr>
            <w:noProof/>
            <w:webHidden/>
          </w:rPr>
          <w:t>60</w:t>
        </w:r>
        <w:r>
          <w:rPr>
            <w:noProof/>
            <w:webHidden/>
          </w:rPr>
          <w:fldChar w:fldCharType="end"/>
        </w:r>
      </w:hyperlink>
    </w:p>
    <w:p w14:paraId="5B13990D" w14:textId="5786A484" w:rsidR="0093368F" w:rsidRDefault="00B639A9" w:rsidP="0067687B">
      <w:pPr>
        <w:rPr>
          <w:rFonts w:ascii="Times New Roman" w:hAnsi="Times New Roman" w:cs="Times New Roman"/>
        </w:rPr>
      </w:pPr>
      <w:r w:rsidRPr="000578FE">
        <w:rPr>
          <w:rFonts w:ascii="Times New Roman" w:hAnsi="Times New Roman" w:cs="Times New Roman"/>
        </w:rPr>
        <w:fldChar w:fldCharType="end"/>
      </w:r>
    </w:p>
    <w:p w14:paraId="67EAAD09" w14:textId="77777777" w:rsidR="00115A69" w:rsidRDefault="00115A69">
      <w:pPr>
        <w:rPr>
          <w:rFonts w:ascii="Times New Roman" w:hAnsi="Times New Roman" w:cs="Times New Roman"/>
          <w:b/>
          <w:sz w:val="24"/>
          <w:szCs w:val="24"/>
        </w:rPr>
      </w:pPr>
      <w:r>
        <w:rPr>
          <w:rFonts w:ascii="Times New Roman" w:hAnsi="Times New Roman" w:cs="Times New Roman"/>
          <w:b/>
          <w:sz w:val="24"/>
          <w:szCs w:val="24"/>
        </w:rPr>
        <w:br w:type="page"/>
      </w:r>
    </w:p>
    <w:p w14:paraId="45449619" w14:textId="0E5181BB" w:rsidR="0067687B" w:rsidRPr="007577DE" w:rsidRDefault="00987231" w:rsidP="0067687B">
      <w:pPr>
        <w:rPr>
          <w:rFonts w:ascii="Times New Roman" w:hAnsi="Times New Roman" w:cs="Times New Roman"/>
          <w:b/>
          <w:sz w:val="24"/>
          <w:szCs w:val="24"/>
        </w:rPr>
      </w:pPr>
      <w:r w:rsidRPr="007577DE">
        <w:rPr>
          <w:rFonts w:ascii="Times New Roman" w:hAnsi="Times New Roman" w:cs="Times New Roman"/>
          <w:b/>
          <w:sz w:val="24"/>
          <w:szCs w:val="24"/>
        </w:rPr>
        <w:lastRenderedPageBreak/>
        <w:t xml:space="preserve">Zoznam </w:t>
      </w:r>
      <w:r w:rsidR="002E09E2">
        <w:rPr>
          <w:rFonts w:ascii="Times New Roman" w:hAnsi="Times New Roman" w:cs="Times New Roman"/>
          <w:b/>
          <w:sz w:val="24"/>
          <w:szCs w:val="24"/>
        </w:rPr>
        <w:t>pr</w:t>
      </w:r>
      <w:r w:rsidRPr="007577DE">
        <w:rPr>
          <w:rFonts w:ascii="Times New Roman" w:hAnsi="Times New Roman" w:cs="Times New Roman"/>
          <w:b/>
          <w:sz w:val="24"/>
          <w:szCs w:val="24"/>
        </w:rPr>
        <w:t>íloh</w:t>
      </w:r>
    </w:p>
    <w:p w14:paraId="25BE21A6" w14:textId="5D411DB6" w:rsidR="00AD7E8F" w:rsidRPr="007577DE" w:rsidRDefault="00AD7E8F">
      <w:pPr>
        <w:rPr>
          <w:rFonts w:ascii="Times New Roman" w:hAnsi="Times New Roman" w:cs="Times New Roman"/>
        </w:rPr>
      </w:pPr>
      <w:r w:rsidRPr="007577DE">
        <w:rPr>
          <w:rFonts w:ascii="Times New Roman" w:hAnsi="Times New Roman" w:cs="Times New Roman"/>
        </w:rPr>
        <w:t xml:space="preserve">Príloha č. 1: Vyhodnotenie plnenia opatrení za roky 2014-2016 </w:t>
      </w:r>
    </w:p>
    <w:p w14:paraId="4D089B44" w14:textId="4F2B042C" w:rsidR="00AD7E8F" w:rsidRPr="007577DE" w:rsidRDefault="00921F40">
      <w:pPr>
        <w:rPr>
          <w:rFonts w:ascii="Times New Roman" w:hAnsi="Times New Roman" w:cs="Times New Roman"/>
        </w:rPr>
      </w:pPr>
      <w:r w:rsidRPr="007577DE">
        <w:rPr>
          <w:rFonts w:ascii="Times New Roman" w:hAnsi="Times New Roman" w:cs="Times New Roman"/>
        </w:rPr>
        <w:t>Príloha</w:t>
      </w:r>
      <w:r w:rsidR="00AD7E8F" w:rsidRPr="007577DE">
        <w:rPr>
          <w:rFonts w:ascii="Times New Roman" w:hAnsi="Times New Roman" w:cs="Times New Roman"/>
        </w:rPr>
        <w:t xml:space="preserve"> č. 2: Plán</w:t>
      </w:r>
      <w:r w:rsidR="002E09E2" w:rsidRPr="007577DE">
        <w:rPr>
          <w:rFonts w:ascii="Times New Roman" w:hAnsi="Times New Roman" w:cs="Times New Roman"/>
        </w:rPr>
        <w:t>ované</w:t>
      </w:r>
      <w:r w:rsidR="00AD7E8F" w:rsidRPr="007577DE">
        <w:rPr>
          <w:rFonts w:ascii="Times New Roman" w:hAnsi="Times New Roman" w:cs="Times New Roman"/>
        </w:rPr>
        <w:t xml:space="preserve"> opatren</w:t>
      </w:r>
      <w:r w:rsidR="002E09E2" w:rsidRPr="007577DE">
        <w:rPr>
          <w:rFonts w:ascii="Times New Roman" w:hAnsi="Times New Roman" w:cs="Times New Roman"/>
        </w:rPr>
        <w:t>ia</w:t>
      </w:r>
      <w:r w:rsidR="00AD7E8F" w:rsidRPr="007577DE">
        <w:rPr>
          <w:rFonts w:ascii="Times New Roman" w:hAnsi="Times New Roman" w:cs="Times New Roman"/>
        </w:rPr>
        <w:t xml:space="preserve"> na roky 2017-2019 s výhľadom do roku 2020 </w:t>
      </w:r>
    </w:p>
    <w:p w14:paraId="749F86AD" w14:textId="4DC145AA" w:rsidR="00316509" w:rsidRPr="007577DE" w:rsidRDefault="00316509">
      <w:pPr>
        <w:rPr>
          <w:rFonts w:ascii="Times New Roman" w:hAnsi="Times New Roman" w:cs="Times New Roman"/>
        </w:rPr>
      </w:pPr>
      <w:r w:rsidRPr="007577DE">
        <w:rPr>
          <w:rFonts w:ascii="Times New Roman" w:hAnsi="Times New Roman" w:cs="Times New Roman"/>
        </w:rPr>
        <w:t>Príloha č. 3: Prehľad horizontálnych opatrení v rokoch 2014-2016</w:t>
      </w:r>
    </w:p>
    <w:p w14:paraId="23EFAA47" w14:textId="4CDFCB8A" w:rsidR="00C5546D" w:rsidRPr="007577DE" w:rsidRDefault="00AD7E8F">
      <w:pPr>
        <w:rPr>
          <w:rFonts w:ascii="Times New Roman" w:hAnsi="Times New Roman" w:cs="Times New Roman"/>
        </w:rPr>
      </w:pPr>
      <w:r w:rsidRPr="007577DE">
        <w:rPr>
          <w:rFonts w:ascii="Times New Roman" w:hAnsi="Times New Roman" w:cs="Times New Roman"/>
        </w:rPr>
        <w:t xml:space="preserve">Príloha č. </w:t>
      </w:r>
      <w:r w:rsidR="00316509" w:rsidRPr="007577DE">
        <w:rPr>
          <w:rFonts w:ascii="Times New Roman" w:hAnsi="Times New Roman" w:cs="Times New Roman"/>
        </w:rPr>
        <w:t>4</w:t>
      </w:r>
      <w:r w:rsidRPr="007577DE">
        <w:rPr>
          <w:rFonts w:ascii="Times New Roman" w:hAnsi="Times New Roman" w:cs="Times New Roman"/>
        </w:rPr>
        <w:t xml:space="preserve">: </w:t>
      </w:r>
      <w:r w:rsidR="00B60651" w:rsidRPr="00E97D86">
        <w:rPr>
          <w:rFonts w:ascii="Times New Roman" w:hAnsi="Times New Roman" w:cs="Times New Roman"/>
        </w:rPr>
        <w:t xml:space="preserve">Ročná správa o pokroku pri </w:t>
      </w:r>
      <w:r w:rsidR="001D06C9">
        <w:rPr>
          <w:rFonts w:ascii="Times New Roman" w:hAnsi="Times New Roman" w:cs="Times New Roman"/>
        </w:rPr>
        <w:t>dosahovaní</w:t>
      </w:r>
      <w:r w:rsidR="001D06C9" w:rsidRPr="00E97D86">
        <w:rPr>
          <w:rFonts w:ascii="Times New Roman" w:hAnsi="Times New Roman" w:cs="Times New Roman"/>
        </w:rPr>
        <w:t xml:space="preserve"> </w:t>
      </w:r>
      <w:r w:rsidR="00B60651" w:rsidRPr="00E97D86">
        <w:rPr>
          <w:rFonts w:ascii="Times New Roman" w:hAnsi="Times New Roman" w:cs="Times New Roman"/>
        </w:rPr>
        <w:t>národných cieľov energetickej efektívnosti za rok 2016</w:t>
      </w:r>
    </w:p>
    <w:p w14:paraId="08AA91CE" w14:textId="5BB67B79" w:rsidR="00987231" w:rsidRPr="009F2998" w:rsidRDefault="00DD2C1A" w:rsidP="008C48EE">
      <w:pPr>
        <w:rPr>
          <w:rFonts w:ascii="Times New Roman" w:hAnsi="Times New Roman" w:cs="Times New Roman"/>
          <w:b/>
        </w:rPr>
      </w:pPr>
      <w:r w:rsidRPr="007577DE">
        <w:rPr>
          <w:rFonts w:ascii="Times New Roman" w:hAnsi="Times New Roman" w:cs="Times New Roman"/>
        </w:rPr>
        <w:t>Príloha č. 5</w:t>
      </w:r>
      <w:r w:rsidR="007F7379" w:rsidRPr="007577DE">
        <w:rPr>
          <w:rFonts w:ascii="Times New Roman" w:hAnsi="Times New Roman" w:cs="Times New Roman"/>
        </w:rPr>
        <w:t xml:space="preserve">: </w:t>
      </w:r>
      <w:r w:rsidR="00B60651" w:rsidRPr="00713304">
        <w:rPr>
          <w:rFonts w:ascii="Times New Roman" w:hAnsi="Times New Roman" w:cs="Times New Roman"/>
        </w:rPr>
        <w:t>Metodické tabuľky výpočtu úspor energie pre jednotlivé opatrenia</w:t>
      </w:r>
      <w:r w:rsidR="00B60651">
        <w:rPr>
          <w:rFonts w:ascii="Times New Roman" w:hAnsi="Times New Roman" w:cs="Times New Roman"/>
        </w:rPr>
        <w:t xml:space="preserve"> </w:t>
      </w:r>
      <w:r w:rsidR="00987231" w:rsidRPr="009F2998">
        <w:rPr>
          <w:rFonts w:ascii="Times New Roman" w:hAnsi="Times New Roman" w:cs="Times New Roman"/>
          <w:b/>
        </w:rPr>
        <w:br w:type="page"/>
      </w:r>
    </w:p>
    <w:p w14:paraId="2C321853" w14:textId="38515AD0" w:rsidR="00525DB4" w:rsidRPr="000578FE" w:rsidRDefault="00525DB4" w:rsidP="00525DB4">
      <w:pPr>
        <w:pStyle w:val="Nadpis2"/>
        <w:numPr>
          <w:ilvl w:val="0"/>
          <w:numId w:val="0"/>
        </w:numPr>
        <w:rPr>
          <w:rFonts w:ascii="Times New Roman" w:hAnsi="Times New Roman" w:cs="Times New Roman"/>
          <w:color w:val="auto"/>
          <w:sz w:val="24"/>
          <w:szCs w:val="24"/>
        </w:rPr>
      </w:pPr>
      <w:bookmarkStart w:id="0" w:name="_Toc392220423"/>
      <w:bookmarkStart w:id="1" w:name="_Toc475963801"/>
      <w:bookmarkStart w:id="2" w:name="_Toc480547213"/>
      <w:r w:rsidRPr="000578FE">
        <w:rPr>
          <w:rFonts w:ascii="Times New Roman" w:hAnsi="Times New Roman" w:cs="Times New Roman"/>
          <w:color w:val="auto"/>
          <w:sz w:val="24"/>
          <w:szCs w:val="24"/>
        </w:rPr>
        <w:lastRenderedPageBreak/>
        <w:t>Použité skratky</w:t>
      </w:r>
      <w:bookmarkEnd w:id="0"/>
      <w:bookmarkEnd w:id="1"/>
      <w:bookmarkEnd w:id="2"/>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6"/>
        <w:gridCol w:w="7466"/>
      </w:tblGrid>
      <w:tr w:rsidR="00525DB4" w:rsidRPr="009F2998" w14:paraId="507158DC" w14:textId="77777777" w:rsidTr="008C47DF">
        <w:trPr>
          <w:trHeight w:val="482"/>
        </w:trPr>
        <w:tc>
          <w:tcPr>
            <w:tcW w:w="885" w:type="pct"/>
          </w:tcPr>
          <w:p w14:paraId="18DBF8B4" w14:textId="77777777" w:rsidR="00525DB4" w:rsidRPr="009F2998" w:rsidRDefault="00525DB4" w:rsidP="00742DEE">
            <w:pPr>
              <w:rPr>
                <w:rFonts w:ascii="Times New Roman" w:hAnsi="Times New Roman" w:cs="Times New Roman"/>
              </w:rPr>
            </w:pPr>
            <w:r w:rsidRPr="009F2998">
              <w:rPr>
                <w:rFonts w:ascii="Times New Roman" w:hAnsi="Times New Roman" w:cs="Times New Roman"/>
              </w:rPr>
              <w:t>3AP</w:t>
            </w:r>
          </w:p>
        </w:tc>
        <w:tc>
          <w:tcPr>
            <w:tcW w:w="4115" w:type="pct"/>
          </w:tcPr>
          <w:p w14:paraId="49E0CEFB" w14:textId="77777777" w:rsidR="00525DB4" w:rsidRPr="009F2998" w:rsidRDefault="00525DB4" w:rsidP="00742DEE">
            <w:pPr>
              <w:rPr>
                <w:rFonts w:ascii="Times New Roman" w:hAnsi="Times New Roman" w:cs="Times New Roman"/>
              </w:rPr>
            </w:pPr>
            <w:r w:rsidRPr="009F2998">
              <w:rPr>
                <w:rFonts w:ascii="Times New Roman" w:hAnsi="Times New Roman" w:cs="Times New Roman"/>
              </w:rPr>
              <w:t>Tretí akčný plán – „Akčný plán energetickej efektívnosti na roky 2014-2016 s výhľadom do roku 2020“</w:t>
            </w:r>
          </w:p>
        </w:tc>
      </w:tr>
      <w:tr w:rsidR="00525DB4" w:rsidRPr="009F2998" w14:paraId="399BECC1" w14:textId="77777777" w:rsidTr="008C47DF">
        <w:trPr>
          <w:trHeight w:val="482"/>
        </w:trPr>
        <w:tc>
          <w:tcPr>
            <w:tcW w:w="885" w:type="pct"/>
          </w:tcPr>
          <w:p w14:paraId="276ADC6B" w14:textId="77777777" w:rsidR="00525DB4" w:rsidRPr="009F2998" w:rsidRDefault="00525DB4" w:rsidP="00742DEE">
            <w:pPr>
              <w:rPr>
                <w:rFonts w:ascii="Times New Roman" w:hAnsi="Times New Roman" w:cs="Times New Roman"/>
              </w:rPr>
            </w:pPr>
            <w:r w:rsidRPr="009F2998">
              <w:rPr>
                <w:rFonts w:ascii="Times New Roman" w:hAnsi="Times New Roman" w:cs="Times New Roman"/>
              </w:rPr>
              <w:t>4AP</w:t>
            </w:r>
          </w:p>
        </w:tc>
        <w:tc>
          <w:tcPr>
            <w:tcW w:w="4115" w:type="pct"/>
          </w:tcPr>
          <w:p w14:paraId="4996CF4F" w14:textId="77777777" w:rsidR="00525DB4" w:rsidRPr="009F2998" w:rsidRDefault="00525DB4" w:rsidP="00742DEE">
            <w:pPr>
              <w:rPr>
                <w:rFonts w:ascii="Times New Roman" w:hAnsi="Times New Roman" w:cs="Times New Roman"/>
              </w:rPr>
            </w:pPr>
            <w:r w:rsidRPr="009F2998">
              <w:rPr>
                <w:rFonts w:ascii="Times New Roman" w:hAnsi="Times New Roman" w:cs="Times New Roman"/>
              </w:rPr>
              <w:t>Štvrtý akčný plán – „Akčný plán energetickej efektívnosti na roky 2017-2019 s výhľadom do roku 2020“</w:t>
            </w:r>
          </w:p>
        </w:tc>
      </w:tr>
      <w:tr w:rsidR="00525DB4" w:rsidRPr="009F2998" w14:paraId="5865063C" w14:textId="77777777" w:rsidTr="008C47DF">
        <w:trPr>
          <w:trHeight w:val="482"/>
        </w:trPr>
        <w:tc>
          <w:tcPr>
            <w:tcW w:w="885" w:type="pct"/>
          </w:tcPr>
          <w:p w14:paraId="2DD686E6" w14:textId="77777777" w:rsidR="00525DB4" w:rsidRPr="009F2998" w:rsidRDefault="00525DB4" w:rsidP="00742DEE">
            <w:pPr>
              <w:rPr>
                <w:rFonts w:ascii="Times New Roman" w:hAnsi="Times New Roman" w:cs="Times New Roman"/>
              </w:rPr>
            </w:pPr>
            <w:r w:rsidRPr="009F2998">
              <w:rPr>
                <w:rFonts w:ascii="Times New Roman" w:hAnsi="Times New Roman" w:cs="Times New Roman"/>
              </w:rPr>
              <w:t>CZT</w:t>
            </w:r>
          </w:p>
        </w:tc>
        <w:tc>
          <w:tcPr>
            <w:tcW w:w="4115" w:type="pct"/>
          </w:tcPr>
          <w:p w14:paraId="1A01F6C8" w14:textId="77777777" w:rsidR="00525DB4" w:rsidRPr="009F2998" w:rsidRDefault="00525DB4" w:rsidP="00742DEE">
            <w:pPr>
              <w:rPr>
                <w:rFonts w:ascii="Times New Roman" w:hAnsi="Times New Roman" w:cs="Times New Roman"/>
              </w:rPr>
            </w:pPr>
            <w:r w:rsidRPr="009F2998">
              <w:rPr>
                <w:rFonts w:ascii="Times New Roman" w:hAnsi="Times New Roman" w:cs="Times New Roman"/>
              </w:rPr>
              <w:t>Centralizované zásobovanie teplom</w:t>
            </w:r>
          </w:p>
        </w:tc>
      </w:tr>
      <w:tr w:rsidR="00256E3A" w:rsidRPr="009F2998" w14:paraId="3CB1422B" w14:textId="77777777" w:rsidTr="008C47DF">
        <w:trPr>
          <w:trHeight w:val="482"/>
        </w:trPr>
        <w:tc>
          <w:tcPr>
            <w:tcW w:w="885" w:type="pct"/>
          </w:tcPr>
          <w:p w14:paraId="393BB395" w14:textId="48F30357" w:rsidR="00256E3A" w:rsidRPr="009F2998" w:rsidRDefault="00256E3A" w:rsidP="00742DEE">
            <w:pPr>
              <w:rPr>
                <w:rFonts w:ascii="Times New Roman" w:hAnsi="Times New Roman" w:cs="Times New Roman"/>
              </w:rPr>
            </w:pPr>
            <w:r>
              <w:rPr>
                <w:rFonts w:ascii="Times New Roman" w:hAnsi="Times New Roman" w:cs="Times New Roman"/>
              </w:rPr>
              <w:t>CZTaCH</w:t>
            </w:r>
          </w:p>
        </w:tc>
        <w:tc>
          <w:tcPr>
            <w:tcW w:w="4115" w:type="pct"/>
          </w:tcPr>
          <w:p w14:paraId="4265210A" w14:textId="39B2BA8A" w:rsidR="00256E3A" w:rsidRPr="009F2998" w:rsidRDefault="00256E3A" w:rsidP="00742DEE">
            <w:pPr>
              <w:rPr>
                <w:rFonts w:ascii="Times New Roman" w:hAnsi="Times New Roman" w:cs="Times New Roman"/>
              </w:rPr>
            </w:pPr>
            <w:r w:rsidRPr="009F2998">
              <w:rPr>
                <w:rFonts w:ascii="Times New Roman" w:hAnsi="Times New Roman" w:cs="Times New Roman"/>
              </w:rPr>
              <w:t>Centralizované zásobovanie teplom</w:t>
            </w:r>
            <w:r>
              <w:rPr>
                <w:rFonts w:ascii="Times New Roman" w:hAnsi="Times New Roman" w:cs="Times New Roman"/>
              </w:rPr>
              <w:t xml:space="preserve"> a chladom</w:t>
            </w:r>
          </w:p>
        </w:tc>
      </w:tr>
      <w:tr w:rsidR="00525DB4" w:rsidRPr="009F2998" w14:paraId="4696B3B8" w14:textId="77777777" w:rsidTr="008C47DF">
        <w:trPr>
          <w:trHeight w:val="482"/>
        </w:trPr>
        <w:tc>
          <w:tcPr>
            <w:tcW w:w="885" w:type="pct"/>
          </w:tcPr>
          <w:p w14:paraId="36AD12C0" w14:textId="77777777" w:rsidR="00525DB4" w:rsidRPr="009F2998" w:rsidRDefault="00525DB4" w:rsidP="00742DEE">
            <w:pPr>
              <w:rPr>
                <w:rFonts w:ascii="Times New Roman" w:hAnsi="Times New Roman" w:cs="Times New Roman"/>
              </w:rPr>
            </w:pPr>
            <w:r w:rsidRPr="009F2998">
              <w:rPr>
                <w:rFonts w:ascii="Times New Roman" w:hAnsi="Times New Roman" w:cs="Times New Roman"/>
              </w:rPr>
              <w:t>EBRD</w:t>
            </w:r>
          </w:p>
        </w:tc>
        <w:tc>
          <w:tcPr>
            <w:tcW w:w="4115" w:type="pct"/>
          </w:tcPr>
          <w:p w14:paraId="28B51942" w14:textId="77777777" w:rsidR="00525DB4" w:rsidRPr="009F2998" w:rsidRDefault="00525DB4" w:rsidP="00742DEE">
            <w:pPr>
              <w:rPr>
                <w:rFonts w:ascii="Times New Roman" w:hAnsi="Times New Roman" w:cs="Times New Roman"/>
              </w:rPr>
            </w:pPr>
            <w:r w:rsidRPr="009F2998">
              <w:rPr>
                <w:rFonts w:ascii="Times New Roman" w:hAnsi="Times New Roman" w:cs="Times New Roman"/>
              </w:rPr>
              <w:t>Európska banka pre obnovu a rozvoj</w:t>
            </w:r>
          </w:p>
        </w:tc>
      </w:tr>
      <w:tr w:rsidR="00525DB4" w:rsidRPr="009F2998" w14:paraId="415F9D89" w14:textId="77777777" w:rsidTr="008C47DF">
        <w:trPr>
          <w:trHeight w:val="482"/>
        </w:trPr>
        <w:tc>
          <w:tcPr>
            <w:tcW w:w="885" w:type="pct"/>
          </w:tcPr>
          <w:p w14:paraId="1E798345" w14:textId="77777777" w:rsidR="00525DB4" w:rsidRPr="009F2998" w:rsidRDefault="00525DB4" w:rsidP="00742DEE">
            <w:pPr>
              <w:rPr>
                <w:rFonts w:ascii="Times New Roman" w:hAnsi="Times New Roman" w:cs="Times New Roman"/>
              </w:rPr>
            </w:pPr>
            <w:r w:rsidRPr="009F2998">
              <w:rPr>
                <w:rFonts w:ascii="Times New Roman" w:hAnsi="Times New Roman" w:cs="Times New Roman"/>
              </w:rPr>
              <w:t>ECB</w:t>
            </w:r>
          </w:p>
        </w:tc>
        <w:tc>
          <w:tcPr>
            <w:tcW w:w="4115" w:type="pct"/>
          </w:tcPr>
          <w:p w14:paraId="36ADB759" w14:textId="77777777" w:rsidR="00525DB4" w:rsidRPr="009F2998" w:rsidRDefault="00525DB4" w:rsidP="00742DEE">
            <w:pPr>
              <w:rPr>
                <w:rFonts w:ascii="Times New Roman" w:hAnsi="Times New Roman" w:cs="Times New Roman"/>
              </w:rPr>
            </w:pPr>
            <w:r w:rsidRPr="009F2998">
              <w:rPr>
                <w:rFonts w:ascii="Times New Roman" w:hAnsi="Times New Roman" w:cs="Times New Roman"/>
              </w:rPr>
              <w:t>Energetický certifikát budovy</w:t>
            </w:r>
          </w:p>
        </w:tc>
      </w:tr>
      <w:tr w:rsidR="00525DB4" w:rsidRPr="009F2998" w14:paraId="27C8EE8F" w14:textId="77777777" w:rsidTr="008C47DF">
        <w:trPr>
          <w:trHeight w:val="482"/>
        </w:trPr>
        <w:tc>
          <w:tcPr>
            <w:tcW w:w="885" w:type="pct"/>
          </w:tcPr>
          <w:p w14:paraId="0C2B6032" w14:textId="77777777" w:rsidR="00525DB4" w:rsidRPr="009F2998" w:rsidRDefault="00525DB4" w:rsidP="00742DEE">
            <w:pPr>
              <w:rPr>
                <w:rFonts w:ascii="Times New Roman" w:hAnsi="Times New Roman" w:cs="Times New Roman"/>
              </w:rPr>
            </w:pPr>
            <w:r w:rsidRPr="009F2998">
              <w:rPr>
                <w:rFonts w:ascii="Times New Roman" w:hAnsi="Times New Roman" w:cs="Times New Roman"/>
              </w:rPr>
              <w:t>EHB</w:t>
            </w:r>
          </w:p>
        </w:tc>
        <w:tc>
          <w:tcPr>
            <w:tcW w:w="4115" w:type="pct"/>
          </w:tcPr>
          <w:p w14:paraId="77162651" w14:textId="77777777" w:rsidR="00525DB4" w:rsidRPr="009F2998" w:rsidRDefault="00525DB4" w:rsidP="00742DEE">
            <w:pPr>
              <w:rPr>
                <w:rFonts w:ascii="Times New Roman" w:hAnsi="Times New Roman" w:cs="Times New Roman"/>
              </w:rPr>
            </w:pPr>
            <w:r w:rsidRPr="009F2998">
              <w:rPr>
                <w:rFonts w:ascii="Times New Roman" w:hAnsi="Times New Roman" w:cs="Times New Roman"/>
              </w:rPr>
              <w:t>Energetická hospodárnosť budov</w:t>
            </w:r>
          </w:p>
        </w:tc>
      </w:tr>
      <w:tr w:rsidR="00525DB4" w:rsidRPr="009F2998" w14:paraId="22E6B737" w14:textId="77777777" w:rsidTr="008C47DF">
        <w:trPr>
          <w:trHeight w:val="482"/>
        </w:trPr>
        <w:tc>
          <w:tcPr>
            <w:tcW w:w="885" w:type="pct"/>
          </w:tcPr>
          <w:p w14:paraId="6274A49C" w14:textId="77777777" w:rsidR="00525DB4" w:rsidRPr="009F2998" w:rsidRDefault="00525DB4" w:rsidP="00742DEE">
            <w:pPr>
              <w:rPr>
                <w:rFonts w:ascii="Times New Roman" w:hAnsi="Times New Roman" w:cs="Times New Roman"/>
              </w:rPr>
            </w:pPr>
            <w:r w:rsidRPr="009F2998">
              <w:rPr>
                <w:rFonts w:ascii="Times New Roman" w:hAnsi="Times New Roman" w:cs="Times New Roman"/>
              </w:rPr>
              <w:t>EK</w:t>
            </w:r>
          </w:p>
        </w:tc>
        <w:tc>
          <w:tcPr>
            <w:tcW w:w="4115" w:type="pct"/>
          </w:tcPr>
          <w:p w14:paraId="2FDBEB82" w14:textId="77777777" w:rsidR="00525DB4" w:rsidRPr="009F2998" w:rsidRDefault="00525DB4" w:rsidP="00742DEE">
            <w:pPr>
              <w:rPr>
                <w:rFonts w:ascii="Times New Roman" w:hAnsi="Times New Roman" w:cs="Times New Roman"/>
              </w:rPr>
            </w:pPr>
            <w:r w:rsidRPr="009F2998">
              <w:rPr>
                <w:rFonts w:ascii="Times New Roman" w:hAnsi="Times New Roman" w:cs="Times New Roman"/>
              </w:rPr>
              <w:t>Európska komisia</w:t>
            </w:r>
          </w:p>
        </w:tc>
      </w:tr>
      <w:tr w:rsidR="00525DB4" w:rsidRPr="009F2998" w14:paraId="01E43074" w14:textId="77777777" w:rsidTr="008C47DF">
        <w:trPr>
          <w:trHeight w:val="482"/>
        </w:trPr>
        <w:tc>
          <w:tcPr>
            <w:tcW w:w="885" w:type="pct"/>
          </w:tcPr>
          <w:p w14:paraId="080F7C6B" w14:textId="77777777" w:rsidR="00525DB4" w:rsidRPr="009F2998" w:rsidRDefault="00525DB4" w:rsidP="00742DEE">
            <w:pPr>
              <w:rPr>
                <w:rFonts w:ascii="Times New Roman" w:hAnsi="Times New Roman" w:cs="Times New Roman"/>
              </w:rPr>
            </w:pPr>
            <w:r w:rsidRPr="009F2998">
              <w:rPr>
                <w:rFonts w:ascii="Times New Roman" w:hAnsi="Times New Roman" w:cs="Times New Roman"/>
              </w:rPr>
              <w:t>EMAS</w:t>
            </w:r>
          </w:p>
        </w:tc>
        <w:tc>
          <w:tcPr>
            <w:tcW w:w="4115" w:type="pct"/>
          </w:tcPr>
          <w:p w14:paraId="5524DAA1" w14:textId="77777777" w:rsidR="00525DB4" w:rsidRPr="009F2998" w:rsidRDefault="00525DB4" w:rsidP="00742DEE">
            <w:pPr>
              <w:rPr>
                <w:rFonts w:ascii="Times New Roman" w:hAnsi="Times New Roman" w:cs="Times New Roman"/>
              </w:rPr>
            </w:pPr>
            <w:r w:rsidRPr="009F2998">
              <w:rPr>
                <w:rFonts w:ascii="Times New Roman" w:hAnsi="Times New Roman" w:cs="Times New Roman"/>
              </w:rPr>
              <w:t>Systém environmentálneho manažérstva a auditu</w:t>
            </w:r>
          </w:p>
        </w:tc>
      </w:tr>
      <w:tr w:rsidR="00525DB4" w:rsidRPr="009F2998" w14:paraId="50E50B65" w14:textId="77777777" w:rsidTr="008C47DF">
        <w:trPr>
          <w:trHeight w:val="482"/>
        </w:trPr>
        <w:tc>
          <w:tcPr>
            <w:tcW w:w="885" w:type="pct"/>
          </w:tcPr>
          <w:p w14:paraId="2A237D14"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EPC</w:t>
            </w:r>
          </w:p>
        </w:tc>
        <w:tc>
          <w:tcPr>
            <w:tcW w:w="4115" w:type="pct"/>
          </w:tcPr>
          <w:p w14:paraId="2E821ED1"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 xml:space="preserve">Energy Performance Contracting </w:t>
            </w:r>
          </w:p>
        </w:tc>
      </w:tr>
      <w:tr w:rsidR="00525DB4" w:rsidRPr="009F2998" w14:paraId="1CBD1332" w14:textId="77777777" w:rsidTr="008C47DF">
        <w:trPr>
          <w:trHeight w:val="482"/>
        </w:trPr>
        <w:tc>
          <w:tcPr>
            <w:tcW w:w="885" w:type="pct"/>
          </w:tcPr>
          <w:p w14:paraId="7DF308DD"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ERDF</w:t>
            </w:r>
          </w:p>
        </w:tc>
        <w:tc>
          <w:tcPr>
            <w:tcW w:w="4115" w:type="pct"/>
          </w:tcPr>
          <w:p w14:paraId="6FA80B0E"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Európsky fond regionálneho rozvoja</w:t>
            </w:r>
          </w:p>
        </w:tc>
      </w:tr>
      <w:tr w:rsidR="00525DB4" w:rsidRPr="009F2998" w14:paraId="2BD7A126" w14:textId="77777777" w:rsidTr="008C47DF">
        <w:trPr>
          <w:trHeight w:val="482"/>
        </w:trPr>
        <w:tc>
          <w:tcPr>
            <w:tcW w:w="885" w:type="pct"/>
          </w:tcPr>
          <w:p w14:paraId="1C96296D"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EŠIF</w:t>
            </w:r>
          </w:p>
        </w:tc>
        <w:tc>
          <w:tcPr>
            <w:tcW w:w="4115" w:type="pct"/>
          </w:tcPr>
          <w:p w14:paraId="47C00048"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Európske štrukturálne a investičné fondy (2014-2020)</w:t>
            </w:r>
          </w:p>
        </w:tc>
      </w:tr>
      <w:tr w:rsidR="00BE1FDE" w:rsidRPr="009F2998" w14:paraId="27883001" w14:textId="77777777" w:rsidTr="008C47DF">
        <w:trPr>
          <w:trHeight w:val="482"/>
        </w:trPr>
        <w:tc>
          <w:tcPr>
            <w:tcW w:w="885" w:type="pct"/>
          </w:tcPr>
          <w:p w14:paraId="075E0912" w14:textId="5F23D687" w:rsidR="00BE1FDE" w:rsidRPr="009F2998" w:rsidRDefault="00BE1FDE" w:rsidP="00870DC9">
            <w:pPr>
              <w:rPr>
                <w:rFonts w:ascii="Times New Roman" w:hAnsi="Times New Roman" w:cs="Times New Roman"/>
              </w:rPr>
            </w:pPr>
            <w:r>
              <w:rPr>
                <w:rFonts w:ascii="Times New Roman" w:hAnsi="Times New Roman" w:cs="Times New Roman"/>
              </w:rPr>
              <w:t>IAD</w:t>
            </w:r>
          </w:p>
        </w:tc>
        <w:tc>
          <w:tcPr>
            <w:tcW w:w="4115" w:type="pct"/>
          </w:tcPr>
          <w:p w14:paraId="3D8EBA27" w14:textId="02B6370A" w:rsidR="00BE1FDE" w:rsidRPr="009F2998" w:rsidRDefault="00BE1FDE" w:rsidP="00870DC9">
            <w:pPr>
              <w:rPr>
                <w:rFonts w:ascii="Times New Roman" w:hAnsi="Times New Roman" w:cs="Times New Roman"/>
              </w:rPr>
            </w:pPr>
            <w:r>
              <w:rPr>
                <w:rFonts w:ascii="Times New Roman" w:hAnsi="Times New Roman" w:cs="Times New Roman"/>
              </w:rPr>
              <w:t>Individuálna automobilová doprava</w:t>
            </w:r>
          </w:p>
        </w:tc>
      </w:tr>
      <w:tr w:rsidR="00525DB4" w:rsidRPr="009F2998" w14:paraId="28148A10" w14:textId="77777777" w:rsidTr="008C47DF">
        <w:trPr>
          <w:trHeight w:val="482"/>
        </w:trPr>
        <w:tc>
          <w:tcPr>
            <w:tcW w:w="885" w:type="pct"/>
          </w:tcPr>
          <w:p w14:paraId="19DCD303"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IROP</w:t>
            </w:r>
          </w:p>
        </w:tc>
        <w:tc>
          <w:tcPr>
            <w:tcW w:w="4115" w:type="pct"/>
          </w:tcPr>
          <w:p w14:paraId="4797DD60"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Integrovaný regionálny operačný program (2014-2020)</w:t>
            </w:r>
          </w:p>
        </w:tc>
      </w:tr>
      <w:tr w:rsidR="00525DB4" w:rsidRPr="009F2998" w14:paraId="3029FBF0" w14:textId="77777777" w:rsidTr="008C47DF">
        <w:trPr>
          <w:trHeight w:val="482"/>
        </w:trPr>
        <w:tc>
          <w:tcPr>
            <w:tcW w:w="885" w:type="pct"/>
          </w:tcPr>
          <w:p w14:paraId="370147A7"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KB</w:t>
            </w:r>
          </w:p>
        </w:tc>
        <w:tc>
          <w:tcPr>
            <w:tcW w:w="4115" w:type="pct"/>
          </w:tcPr>
          <w:p w14:paraId="4726A237"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Komerčné banky</w:t>
            </w:r>
          </w:p>
        </w:tc>
      </w:tr>
      <w:tr w:rsidR="00525DB4" w:rsidRPr="009F2998" w14:paraId="713F5013" w14:textId="77777777" w:rsidTr="008C47DF">
        <w:trPr>
          <w:trHeight w:val="482"/>
        </w:trPr>
        <w:tc>
          <w:tcPr>
            <w:tcW w:w="885" w:type="pct"/>
          </w:tcPr>
          <w:p w14:paraId="55B2E580"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KES</w:t>
            </w:r>
          </w:p>
        </w:tc>
        <w:tc>
          <w:tcPr>
            <w:tcW w:w="4115" w:type="pct"/>
          </w:tcPr>
          <w:p w14:paraId="4B1B4BFF"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Konečná energetická spotreba</w:t>
            </w:r>
          </w:p>
        </w:tc>
      </w:tr>
      <w:tr w:rsidR="00256E3A" w:rsidRPr="009F2998" w14:paraId="0111CC1A" w14:textId="77777777" w:rsidTr="008C47DF">
        <w:trPr>
          <w:trHeight w:val="482"/>
        </w:trPr>
        <w:tc>
          <w:tcPr>
            <w:tcW w:w="885" w:type="pct"/>
          </w:tcPr>
          <w:p w14:paraId="3285B938" w14:textId="4073668C" w:rsidR="00256E3A" w:rsidRPr="009F2998" w:rsidRDefault="00256E3A" w:rsidP="005F7B58">
            <w:pPr>
              <w:rPr>
                <w:rFonts w:ascii="Times New Roman" w:hAnsi="Times New Roman" w:cs="Times New Roman"/>
              </w:rPr>
            </w:pPr>
            <w:r>
              <w:rPr>
                <w:rFonts w:ascii="Times New Roman" w:hAnsi="Times New Roman" w:cs="Times New Roman"/>
              </w:rPr>
              <w:t>KVET</w:t>
            </w:r>
          </w:p>
        </w:tc>
        <w:tc>
          <w:tcPr>
            <w:tcW w:w="4115" w:type="pct"/>
          </w:tcPr>
          <w:p w14:paraId="4F1F5BCE" w14:textId="33ACDC68" w:rsidR="00256E3A" w:rsidRPr="009F2998" w:rsidRDefault="00256E3A" w:rsidP="005F7B58">
            <w:pPr>
              <w:rPr>
                <w:rFonts w:ascii="Times New Roman" w:hAnsi="Times New Roman" w:cs="Times New Roman"/>
              </w:rPr>
            </w:pPr>
            <w:r>
              <w:rPr>
                <w:rFonts w:ascii="Times New Roman" w:hAnsi="Times New Roman" w:cs="Times New Roman"/>
              </w:rPr>
              <w:t>Kombinovaná výroba elektriny a tepla</w:t>
            </w:r>
          </w:p>
        </w:tc>
      </w:tr>
      <w:tr w:rsidR="00525DB4" w:rsidRPr="009F2998" w14:paraId="56775A58" w14:textId="77777777" w:rsidTr="008C47DF">
        <w:trPr>
          <w:trHeight w:val="482"/>
        </w:trPr>
        <w:tc>
          <w:tcPr>
            <w:tcW w:w="885" w:type="pct"/>
          </w:tcPr>
          <w:p w14:paraId="24EFCBF6"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OP VaV</w:t>
            </w:r>
          </w:p>
        </w:tc>
        <w:tc>
          <w:tcPr>
            <w:tcW w:w="4115" w:type="pct"/>
          </w:tcPr>
          <w:p w14:paraId="1E7054F1"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Operačný program Veda a výskum (2007-2013)</w:t>
            </w:r>
          </w:p>
        </w:tc>
      </w:tr>
      <w:tr w:rsidR="00525DB4" w:rsidRPr="009F2998" w14:paraId="13DE9B23" w14:textId="77777777" w:rsidTr="008C47DF">
        <w:trPr>
          <w:trHeight w:val="482"/>
        </w:trPr>
        <w:tc>
          <w:tcPr>
            <w:tcW w:w="885" w:type="pct"/>
          </w:tcPr>
          <w:p w14:paraId="3BD1D609"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OP KaHR</w:t>
            </w:r>
          </w:p>
        </w:tc>
        <w:tc>
          <w:tcPr>
            <w:tcW w:w="4115" w:type="pct"/>
          </w:tcPr>
          <w:p w14:paraId="7C0CD89B"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Operačný program Konkurencieschopnosť a hospodársky rast (2007-2013)</w:t>
            </w:r>
          </w:p>
        </w:tc>
      </w:tr>
      <w:tr w:rsidR="00525DB4" w:rsidRPr="009F2998" w14:paraId="643ABAC9" w14:textId="77777777" w:rsidTr="008C47DF">
        <w:trPr>
          <w:trHeight w:val="482"/>
        </w:trPr>
        <w:tc>
          <w:tcPr>
            <w:tcW w:w="885" w:type="pct"/>
          </w:tcPr>
          <w:p w14:paraId="5DF245AF"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OP KŽP</w:t>
            </w:r>
          </w:p>
        </w:tc>
        <w:tc>
          <w:tcPr>
            <w:tcW w:w="4115" w:type="pct"/>
          </w:tcPr>
          <w:p w14:paraId="32683EB7"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Operačný program Kvalita životného prostredia (2014-2020)</w:t>
            </w:r>
          </w:p>
        </w:tc>
      </w:tr>
      <w:tr w:rsidR="00525DB4" w:rsidRPr="009F2998" w14:paraId="76C7F9C0" w14:textId="77777777" w:rsidTr="008C47DF">
        <w:trPr>
          <w:trHeight w:val="482"/>
        </w:trPr>
        <w:tc>
          <w:tcPr>
            <w:tcW w:w="885" w:type="pct"/>
          </w:tcPr>
          <w:p w14:paraId="3C1C95B9"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OZE</w:t>
            </w:r>
          </w:p>
        </w:tc>
        <w:tc>
          <w:tcPr>
            <w:tcW w:w="4115" w:type="pct"/>
          </w:tcPr>
          <w:p w14:paraId="2FA8B8D8"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Obnoviteľné zdroje energie</w:t>
            </w:r>
          </w:p>
        </w:tc>
      </w:tr>
      <w:tr w:rsidR="00525DB4" w:rsidRPr="009F2998" w14:paraId="3938D80F" w14:textId="77777777" w:rsidTr="008C47DF">
        <w:trPr>
          <w:trHeight w:val="482"/>
        </w:trPr>
        <w:tc>
          <w:tcPr>
            <w:tcW w:w="885" w:type="pct"/>
          </w:tcPr>
          <w:p w14:paraId="70C53F4C"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PES</w:t>
            </w:r>
          </w:p>
        </w:tc>
        <w:tc>
          <w:tcPr>
            <w:tcW w:w="4115" w:type="pct"/>
          </w:tcPr>
          <w:p w14:paraId="5A1A2CE3"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Primárna energetická spotreba</w:t>
            </w:r>
          </w:p>
        </w:tc>
      </w:tr>
      <w:tr w:rsidR="00525DB4" w:rsidRPr="009F2998" w14:paraId="122F090B" w14:textId="77777777" w:rsidTr="008C47DF">
        <w:trPr>
          <w:trHeight w:val="482"/>
        </w:trPr>
        <w:tc>
          <w:tcPr>
            <w:tcW w:w="885" w:type="pct"/>
          </w:tcPr>
          <w:p w14:paraId="54C577E3"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PHM</w:t>
            </w:r>
          </w:p>
        </w:tc>
        <w:tc>
          <w:tcPr>
            <w:tcW w:w="4115" w:type="pct"/>
          </w:tcPr>
          <w:p w14:paraId="36952166"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Pohonné hmoty</w:t>
            </w:r>
          </w:p>
        </w:tc>
      </w:tr>
      <w:tr w:rsidR="00525DB4" w:rsidRPr="009F2998" w14:paraId="19D7353B" w14:textId="77777777" w:rsidTr="008C47DF">
        <w:trPr>
          <w:trHeight w:val="482"/>
        </w:trPr>
        <w:tc>
          <w:tcPr>
            <w:tcW w:w="885" w:type="pct"/>
          </w:tcPr>
          <w:p w14:paraId="317AAD4F"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ROP</w:t>
            </w:r>
          </w:p>
        </w:tc>
        <w:tc>
          <w:tcPr>
            <w:tcW w:w="4115" w:type="pct"/>
          </w:tcPr>
          <w:p w14:paraId="4A578006"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Regionálny operačný program (2007-2013)</w:t>
            </w:r>
          </w:p>
        </w:tc>
      </w:tr>
      <w:tr w:rsidR="00870DC9" w:rsidRPr="009F2998" w14:paraId="34D95759" w14:textId="77777777" w:rsidTr="008C47DF">
        <w:trPr>
          <w:trHeight w:val="482"/>
        </w:trPr>
        <w:tc>
          <w:tcPr>
            <w:tcW w:w="885" w:type="pct"/>
          </w:tcPr>
          <w:p w14:paraId="4F0A6DBF" w14:textId="37A4E9B8" w:rsidR="00870DC9" w:rsidRPr="009F2998" w:rsidRDefault="00870DC9" w:rsidP="005F7B58">
            <w:pPr>
              <w:rPr>
                <w:rFonts w:ascii="Times New Roman" w:hAnsi="Times New Roman" w:cs="Times New Roman"/>
              </w:rPr>
            </w:pPr>
            <w:r>
              <w:rPr>
                <w:rFonts w:ascii="Times New Roman" w:hAnsi="Times New Roman" w:cs="Times New Roman"/>
              </w:rPr>
              <w:t>SEE</w:t>
            </w:r>
          </w:p>
        </w:tc>
        <w:tc>
          <w:tcPr>
            <w:tcW w:w="4115" w:type="pct"/>
          </w:tcPr>
          <w:p w14:paraId="5E210C15" w14:textId="67D2B3DF" w:rsidR="00870DC9" w:rsidRPr="009F2998" w:rsidRDefault="00870DC9" w:rsidP="005F7B58">
            <w:pPr>
              <w:rPr>
                <w:rFonts w:ascii="Times New Roman" w:hAnsi="Times New Roman" w:cs="Times New Roman"/>
              </w:rPr>
            </w:pPr>
            <w:r>
              <w:rPr>
                <w:rFonts w:ascii="Times New Roman" w:hAnsi="Times New Roman" w:cs="Times New Roman"/>
              </w:rPr>
              <w:t xml:space="preserve">Smernica 2012/27/EÚ o energetickej efektívnosti </w:t>
            </w:r>
          </w:p>
        </w:tc>
      </w:tr>
      <w:tr w:rsidR="00525DB4" w:rsidRPr="009F2998" w14:paraId="26974694" w14:textId="77777777" w:rsidTr="008C47DF">
        <w:trPr>
          <w:trHeight w:val="482"/>
        </w:trPr>
        <w:tc>
          <w:tcPr>
            <w:tcW w:w="885" w:type="pct"/>
          </w:tcPr>
          <w:p w14:paraId="7021E41C"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ŠF</w:t>
            </w:r>
          </w:p>
        </w:tc>
        <w:tc>
          <w:tcPr>
            <w:tcW w:w="4115" w:type="pct"/>
          </w:tcPr>
          <w:p w14:paraId="5F38F18B"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Štrukturálne fondy (2007-2013)</w:t>
            </w:r>
          </w:p>
        </w:tc>
      </w:tr>
      <w:tr w:rsidR="00525DB4" w:rsidRPr="009F2998" w14:paraId="1C1592B3" w14:textId="77777777" w:rsidTr="008C47DF">
        <w:trPr>
          <w:trHeight w:val="482"/>
        </w:trPr>
        <w:tc>
          <w:tcPr>
            <w:tcW w:w="885" w:type="pct"/>
          </w:tcPr>
          <w:p w14:paraId="147B5085"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ŠFRB</w:t>
            </w:r>
          </w:p>
        </w:tc>
        <w:tc>
          <w:tcPr>
            <w:tcW w:w="4115" w:type="pct"/>
          </w:tcPr>
          <w:p w14:paraId="59CCACFF" w14:textId="77777777" w:rsidR="00525DB4" w:rsidRPr="009F2998" w:rsidRDefault="00525DB4" w:rsidP="005F7B58">
            <w:pPr>
              <w:rPr>
                <w:rFonts w:ascii="Times New Roman" w:hAnsi="Times New Roman" w:cs="Times New Roman"/>
              </w:rPr>
            </w:pPr>
            <w:r w:rsidRPr="009F2998">
              <w:rPr>
                <w:rFonts w:ascii="Times New Roman" w:hAnsi="Times New Roman" w:cs="Times New Roman"/>
              </w:rPr>
              <w:t>Štátny fond rozvoja bývania</w:t>
            </w:r>
          </w:p>
        </w:tc>
      </w:tr>
      <w:tr w:rsidR="00525DB4" w:rsidRPr="009F2998" w14:paraId="459E296A" w14:textId="77777777" w:rsidTr="008C47DF">
        <w:trPr>
          <w:trHeight w:val="482"/>
        </w:trPr>
        <w:tc>
          <w:tcPr>
            <w:tcW w:w="885" w:type="pct"/>
          </w:tcPr>
          <w:p w14:paraId="1BD6FEEE" w14:textId="77777777" w:rsidR="00525DB4" w:rsidRPr="009F2998" w:rsidRDefault="00525DB4" w:rsidP="00742DEE">
            <w:pPr>
              <w:rPr>
                <w:rFonts w:ascii="Times New Roman" w:hAnsi="Times New Roman" w:cs="Times New Roman"/>
              </w:rPr>
            </w:pPr>
            <w:r w:rsidRPr="009F2998">
              <w:rPr>
                <w:rFonts w:ascii="Times New Roman" w:hAnsi="Times New Roman" w:cs="Times New Roman"/>
              </w:rPr>
              <w:t>ÚOŠS</w:t>
            </w:r>
          </w:p>
        </w:tc>
        <w:tc>
          <w:tcPr>
            <w:tcW w:w="4115" w:type="pct"/>
          </w:tcPr>
          <w:p w14:paraId="21FEC37C" w14:textId="77777777" w:rsidR="00525DB4" w:rsidRPr="009F2998" w:rsidRDefault="00525DB4" w:rsidP="00742DEE">
            <w:pPr>
              <w:rPr>
                <w:rFonts w:ascii="Times New Roman" w:hAnsi="Times New Roman" w:cs="Times New Roman"/>
              </w:rPr>
            </w:pPr>
            <w:r w:rsidRPr="009F2998">
              <w:rPr>
                <w:rFonts w:ascii="Times New Roman" w:hAnsi="Times New Roman" w:cs="Times New Roman"/>
              </w:rPr>
              <w:t>Ústredné orgány štátnej správy</w:t>
            </w:r>
          </w:p>
        </w:tc>
      </w:tr>
    </w:tbl>
    <w:p w14:paraId="0BE4FAD9" w14:textId="6DDC9A48" w:rsidR="001D5205" w:rsidRPr="000578FE" w:rsidRDefault="009E267F" w:rsidP="00521990">
      <w:pPr>
        <w:pStyle w:val="Nadpis1"/>
        <w:numPr>
          <w:ilvl w:val="0"/>
          <w:numId w:val="0"/>
        </w:numPr>
        <w:ind w:left="432"/>
        <w:rPr>
          <w:rFonts w:ascii="Times New Roman" w:hAnsi="Times New Roman" w:cs="Times New Roman"/>
          <w:color w:val="auto"/>
        </w:rPr>
      </w:pPr>
      <w:bookmarkStart w:id="3" w:name="_Toc480547214"/>
      <w:r w:rsidRPr="000578FE">
        <w:rPr>
          <w:rFonts w:ascii="Times New Roman" w:hAnsi="Times New Roman" w:cs="Times New Roman"/>
          <w:color w:val="auto"/>
        </w:rPr>
        <w:lastRenderedPageBreak/>
        <w:t>Úvod</w:t>
      </w:r>
      <w:bookmarkEnd w:id="3"/>
    </w:p>
    <w:p w14:paraId="2D5AAF5D" w14:textId="77777777" w:rsidR="00625AAE" w:rsidRPr="009F2998" w:rsidRDefault="00625AAE" w:rsidP="00625AAE">
      <w:pPr>
        <w:jc w:val="both"/>
        <w:rPr>
          <w:rFonts w:ascii="Times New Roman" w:hAnsi="Times New Roman" w:cs="Times New Roman"/>
        </w:rPr>
      </w:pPr>
    </w:p>
    <w:p w14:paraId="6946566F" w14:textId="4F44089A" w:rsidR="00625AAE" w:rsidRPr="007577DE" w:rsidRDefault="00625AAE" w:rsidP="00625AAE">
      <w:pPr>
        <w:ind w:firstLine="432"/>
        <w:jc w:val="both"/>
        <w:rPr>
          <w:rFonts w:ascii="Times New Roman" w:hAnsi="Times New Roman" w:cs="Times New Roman"/>
          <w:sz w:val="24"/>
        </w:rPr>
      </w:pPr>
      <w:r w:rsidRPr="007577DE">
        <w:rPr>
          <w:rFonts w:ascii="Times New Roman" w:hAnsi="Times New Roman" w:cs="Times New Roman"/>
          <w:sz w:val="24"/>
        </w:rPr>
        <w:t>Akčný plán energetickej efektívnosti na roky 2017 – 2019 s výhľadom do roku 2020 (ďalej len „</w:t>
      </w:r>
      <w:r w:rsidR="0034774C" w:rsidRPr="007577DE">
        <w:rPr>
          <w:rFonts w:ascii="Times New Roman" w:hAnsi="Times New Roman" w:cs="Times New Roman"/>
          <w:sz w:val="24"/>
        </w:rPr>
        <w:t>4</w:t>
      </w:r>
      <w:r w:rsidRPr="007577DE">
        <w:rPr>
          <w:rFonts w:ascii="Times New Roman" w:hAnsi="Times New Roman" w:cs="Times New Roman"/>
          <w:sz w:val="24"/>
        </w:rPr>
        <w:t>AP“ alebo „</w:t>
      </w:r>
      <w:r w:rsidR="0034774C" w:rsidRPr="007577DE">
        <w:rPr>
          <w:rFonts w:ascii="Times New Roman" w:hAnsi="Times New Roman" w:cs="Times New Roman"/>
          <w:sz w:val="24"/>
        </w:rPr>
        <w:t>štvrtý</w:t>
      </w:r>
      <w:r w:rsidRPr="007577DE">
        <w:rPr>
          <w:rFonts w:ascii="Times New Roman" w:hAnsi="Times New Roman" w:cs="Times New Roman"/>
          <w:sz w:val="24"/>
        </w:rPr>
        <w:t xml:space="preserve"> akčný plán“) je vypracovaný podľa </w:t>
      </w:r>
      <w:r w:rsidR="00A52A72" w:rsidRPr="007577DE">
        <w:rPr>
          <w:rFonts w:ascii="Times New Roman" w:hAnsi="Times New Roman" w:cs="Times New Roman"/>
          <w:sz w:val="24"/>
        </w:rPr>
        <w:t xml:space="preserve">§ 4 </w:t>
      </w:r>
      <w:r w:rsidR="00A274E8" w:rsidRPr="00A274E8">
        <w:rPr>
          <w:rFonts w:ascii="Times New Roman" w:hAnsi="Times New Roman" w:cs="Times New Roman"/>
          <w:sz w:val="24"/>
        </w:rPr>
        <w:t>ods. 1 písm. c)</w:t>
      </w:r>
      <w:r w:rsidR="00A274E8">
        <w:rPr>
          <w:rFonts w:ascii="Times New Roman" w:hAnsi="Times New Roman" w:cs="Times New Roman"/>
          <w:sz w:val="24"/>
        </w:rPr>
        <w:t xml:space="preserve"> </w:t>
      </w:r>
      <w:r w:rsidR="00A52A72" w:rsidRPr="007577DE">
        <w:rPr>
          <w:rFonts w:ascii="Times New Roman" w:hAnsi="Times New Roman" w:cs="Times New Roman"/>
          <w:sz w:val="24"/>
        </w:rPr>
        <w:t>zákona č. 321/2014 Z. z. o energetickej efektívnosti a o zmene a doplnení niektorých zákonov</w:t>
      </w:r>
      <w:r w:rsidRPr="007577DE">
        <w:rPr>
          <w:rFonts w:ascii="Times New Roman" w:hAnsi="Times New Roman" w:cs="Times New Roman"/>
          <w:sz w:val="24"/>
        </w:rPr>
        <w:t xml:space="preserve"> </w:t>
      </w:r>
      <w:r w:rsidR="00E5437E">
        <w:rPr>
          <w:rFonts w:ascii="Times New Roman" w:hAnsi="Times New Roman" w:cs="Times New Roman"/>
          <w:sz w:val="24"/>
        </w:rPr>
        <w:t>a</w:t>
      </w:r>
      <w:r w:rsidR="00A274E8">
        <w:rPr>
          <w:rFonts w:ascii="Times New Roman" w:hAnsi="Times New Roman" w:cs="Times New Roman"/>
          <w:sz w:val="24"/>
        </w:rPr>
        <w:t xml:space="preserve">  </w:t>
      </w:r>
      <w:r w:rsidRPr="007577DE">
        <w:rPr>
          <w:rFonts w:ascii="Times New Roman" w:hAnsi="Times New Roman" w:cs="Times New Roman"/>
          <w:sz w:val="24"/>
        </w:rPr>
        <w:t xml:space="preserve">článku 24 </w:t>
      </w:r>
      <w:r w:rsidR="00A274E8">
        <w:rPr>
          <w:rFonts w:ascii="Times New Roman" w:hAnsi="Times New Roman" w:cs="Times New Roman"/>
          <w:sz w:val="24"/>
        </w:rPr>
        <w:t xml:space="preserve">ods. 2 </w:t>
      </w:r>
      <w:r w:rsidRPr="007577DE">
        <w:rPr>
          <w:rFonts w:ascii="Times New Roman" w:hAnsi="Times New Roman" w:cs="Times New Roman"/>
          <w:sz w:val="24"/>
        </w:rPr>
        <w:t>smernice 2012/27/EÚ o energetickej efektívnosti.</w:t>
      </w:r>
      <w:r w:rsidRPr="007577DE">
        <w:rPr>
          <w:rStyle w:val="Odkaznapoznmkupodiarou"/>
          <w:rFonts w:ascii="Times New Roman" w:hAnsi="Times New Roman" w:cs="Times New Roman"/>
          <w:sz w:val="24"/>
        </w:rPr>
        <w:t xml:space="preserve"> </w:t>
      </w:r>
      <w:r w:rsidRPr="007577DE">
        <w:rPr>
          <w:rStyle w:val="Odkaznapoznmkupodiarou"/>
          <w:rFonts w:ascii="Times New Roman" w:hAnsi="Times New Roman" w:cs="Times New Roman"/>
          <w:sz w:val="24"/>
        </w:rPr>
        <w:footnoteReference w:id="1"/>
      </w:r>
      <w:r w:rsidRPr="007577DE">
        <w:rPr>
          <w:rFonts w:ascii="Times New Roman" w:hAnsi="Times New Roman" w:cs="Times New Roman"/>
          <w:sz w:val="24"/>
        </w:rPr>
        <w:t xml:space="preserve">  </w:t>
      </w:r>
    </w:p>
    <w:p w14:paraId="230E43C6" w14:textId="09B3CF21" w:rsidR="00625AAE" w:rsidRPr="007577DE" w:rsidRDefault="00E5437E" w:rsidP="00625AAE">
      <w:pPr>
        <w:ind w:firstLine="432"/>
        <w:jc w:val="both"/>
        <w:rPr>
          <w:rFonts w:ascii="Times New Roman" w:hAnsi="Times New Roman" w:cs="Times New Roman"/>
          <w:sz w:val="24"/>
        </w:rPr>
      </w:pPr>
      <w:r>
        <w:rPr>
          <w:rFonts w:ascii="Times New Roman" w:hAnsi="Times New Roman" w:cs="Times New Roman"/>
          <w:sz w:val="24"/>
        </w:rPr>
        <w:t>Tento</w:t>
      </w:r>
      <w:r w:rsidRPr="007577DE">
        <w:rPr>
          <w:rFonts w:ascii="Times New Roman" w:hAnsi="Times New Roman" w:cs="Times New Roman"/>
          <w:sz w:val="24"/>
        </w:rPr>
        <w:t xml:space="preserve"> </w:t>
      </w:r>
      <w:r w:rsidR="00625AAE" w:rsidRPr="007577DE">
        <w:rPr>
          <w:rFonts w:ascii="Times New Roman" w:hAnsi="Times New Roman" w:cs="Times New Roman"/>
          <w:sz w:val="24"/>
        </w:rPr>
        <w:t>akčný plán je v poradí štvrtým vykonávacím opatrením Koncepcie energetickej efektívnosti (prijatá uznesením vlády SR č. 576</w:t>
      </w:r>
      <w:r w:rsidR="00B40851">
        <w:rPr>
          <w:rFonts w:ascii="Times New Roman" w:hAnsi="Times New Roman" w:cs="Times New Roman"/>
          <w:sz w:val="24"/>
        </w:rPr>
        <w:t>/2007)</w:t>
      </w:r>
      <w:r w:rsidR="00625AAE" w:rsidRPr="007577DE">
        <w:rPr>
          <w:rFonts w:ascii="Times New Roman" w:hAnsi="Times New Roman" w:cs="Times New Roman"/>
          <w:sz w:val="24"/>
        </w:rPr>
        <w:t>, a plynulo nadväzuje na predchádzajúce tri akčné plány. Vypracovanie akčných plánov energetickej efektívnosti pôvodne vyplýva zo smernice 2006/32/ES o energetickej účinnosti konečného využitia energie a energetických službách</w:t>
      </w:r>
      <w:r w:rsidR="00DF60D9" w:rsidRPr="007577DE">
        <w:rPr>
          <w:rStyle w:val="Odkaznapoznmkupodiarou"/>
          <w:rFonts w:ascii="Times New Roman" w:hAnsi="Times New Roman" w:cs="Times New Roman"/>
          <w:sz w:val="24"/>
        </w:rPr>
        <w:footnoteReference w:id="2"/>
      </w:r>
      <w:r w:rsidR="00625AAE" w:rsidRPr="007577DE">
        <w:rPr>
          <w:rFonts w:ascii="Times New Roman" w:hAnsi="Times New Roman" w:cs="Times New Roman"/>
          <w:sz w:val="24"/>
        </w:rPr>
        <w:t xml:space="preserve">, pričom smernica 2012/27/EÚ o energetickej efektívnosti na túto povinnosť nadväzuje, predlžuje povinnosť predkladať akčné plány a rozširuje rozsah akčných plánov. </w:t>
      </w:r>
    </w:p>
    <w:p w14:paraId="79A8F482" w14:textId="3BBDE5EC" w:rsidR="00A360A9" w:rsidRPr="007577DE" w:rsidRDefault="00753713" w:rsidP="00A360A9">
      <w:pPr>
        <w:ind w:firstLine="432"/>
        <w:jc w:val="both"/>
        <w:rPr>
          <w:rFonts w:ascii="Times New Roman" w:hAnsi="Times New Roman" w:cs="Times New Roman"/>
          <w:sz w:val="24"/>
        </w:rPr>
      </w:pPr>
      <w:r w:rsidRPr="007577DE">
        <w:rPr>
          <w:rFonts w:ascii="Times New Roman" w:hAnsi="Times New Roman" w:cs="Times New Roman"/>
          <w:sz w:val="24"/>
        </w:rPr>
        <w:t>S</w:t>
      </w:r>
      <w:r w:rsidR="00A360A9" w:rsidRPr="007577DE">
        <w:rPr>
          <w:rFonts w:ascii="Times New Roman" w:hAnsi="Times New Roman" w:cs="Times New Roman"/>
          <w:sz w:val="24"/>
        </w:rPr>
        <w:t xml:space="preserve">mernica 2012/27/EÚ stanovuje aj povinnosť každoročne pripravovať ročné správy o pokroku pri </w:t>
      </w:r>
      <w:r w:rsidR="001D06C9">
        <w:rPr>
          <w:rFonts w:ascii="Times New Roman" w:hAnsi="Times New Roman" w:cs="Times New Roman"/>
          <w:sz w:val="24"/>
        </w:rPr>
        <w:t>dosahovaní</w:t>
      </w:r>
      <w:r w:rsidR="001D06C9" w:rsidRPr="007577DE">
        <w:rPr>
          <w:rFonts w:ascii="Times New Roman" w:hAnsi="Times New Roman" w:cs="Times New Roman"/>
          <w:sz w:val="24"/>
        </w:rPr>
        <w:t xml:space="preserve"> </w:t>
      </w:r>
      <w:r w:rsidR="00A360A9" w:rsidRPr="007577DE">
        <w:rPr>
          <w:rFonts w:ascii="Times New Roman" w:hAnsi="Times New Roman" w:cs="Times New Roman"/>
          <w:sz w:val="24"/>
        </w:rPr>
        <w:t>národných cieľov energetickej efektívnosti (ďalej „ročné správy“). V rámci ročných správ sa vyhodnocujú opatrenia a ich vplyv na úspory energie za predchádzajúci</w:t>
      </w:r>
      <w:r w:rsidR="00E5437E">
        <w:rPr>
          <w:rFonts w:ascii="Times New Roman" w:hAnsi="Times New Roman" w:cs="Times New Roman"/>
          <w:sz w:val="24"/>
        </w:rPr>
        <w:t xml:space="preserve"> kalendárny</w:t>
      </w:r>
      <w:r w:rsidR="00A360A9" w:rsidRPr="007577DE">
        <w:rPr>
          <w:rFonts w:ascii="Times New Roman" w:hAnsi="Times New Roman" w:cs="Times New Roman"/>
          <w:sz w:val="24"/>
        </w:rPr>
        <w:t xml:space="preserve"> rok, ako aj plnenie stanovených cieľov</w:t>
      </w:r>
      <w:r w:rsidR="00E5437E">
        <w:rPr>
          <w:rFonts w:ascii="Times New Roman" w:hAnsi="Times New Roman" w:cs="Times New Roman"/>
          <w:sz w:val="24"/>
        </w:rPr>
        <w:t>. R</w:t>
      </w:r>
      <w:r w:rsidR="00A360A9" w:rsidRPr="007577DE">
        <w:rPr>
          <w:rFonts w:ascii="Times New Roman" w:hAnsi="Times New Roman" w:cs="Times New Roman"/>
          <w:sz w:val="24"/>
        </w:rPr>
        <w:t xml:space="preserve">očná správa za rok 2016 je súčasťou </w:t>
      </w:r>
      <w:r w:rsidR="00E5437E">
        <w:rPr>
          <w:rFonts w:ascii="Times New Roman" w:hAnsi="Times New Roman" w:cs="Times New Roman"/>
          <w:sz w:val="24"/>
        </w:rPr>
        <w:t>tohto</w:t>
      </w:r>
      <w:r w:rsidR="00E5437E" w:rsidRPr="007577DE">
        <w:rPr>
          <w:rFonts w:ascii="Times New Roman" w:hAnsi="Times New Roman" w:cs="Times New Roman"/>
          <w:sz w:val="24"/>
        </w:rPr>
        <w:t xml:space="preserve"> </w:t>
      </w:r>
      <w:r w:rsidR="00A360A9" w:rsidRPr="007577DE">
        <w:rPr>
          <w:rFonts w:ascii="Times New Roman" w:hAnsi="Times New Roman" w:cs="Times New Roman"/>
          <w:sz w:val="24"/>
        </w:rPr>
        <w:t>akčného plánu (</w:t>
      </w:r>
      <w:r w:rsidR="001653AA" w:rsidRPr="007577DE">
        <w:rPr>
          <w:rFonts w:ascii="Times New Roman" w:hAnsi="Times New Roman" w:cs="Times New Roman"/>
          <w:sz w:val="24"/>
        </w:rPr>
        <w:t>pozri</w:t>
      </w:r>
      <w:r w:rsidR="00B60651" w:rsidRPr="00B60651">
        <w:rPr>
          <w:rFonts w:ascii="Times New Roman" w:hAnsi="Times New Roman" w:cs="Times New Roman"/>
          <w:sz w:val="24"/>
        </w:rPr>
        <w:t xml:space="preserve"> </w:t>
      </w:r>
      <w:r w:rsidR="00F55233">
        <w:rPr>
          <w:rFonts w:ascii="Times New Roman" w:hAnsi="Times New Roman" w:cs="Times New Roman"/>
          <w:sz w:val="24"/>
        </w:rPr>
        <w:t>p</w:t>
      </w:r>
      <w:r w:rsidR="00B60651" w:rsidRPr="00B60651">
        <w:rPr>
          <w:rFonts w:ascii="Times New Roman" w:hAnsi="Times New Roman" w:cs="Times New Roman"/>
          <w:sz w:val="24"/>
        </w:rPr>
        <w:t>ríloh</w:t>
      </w:r>
      <w:r w:rsidR="00F55233">
        <w:rPr>
          <w:rFonts w:ascii="Times New Roman" w:hAnsi="Times New Roman" w:cs="Times New Roman"/>
          <w:sz w:val="24"/>
        </w:rPr>
        <w:t>u</w:t>
      </w:r>
      <w:r w:rsidR="00B60651" w:rsidRPr="00B60651">
        <w:rPr>
          <w:rFonts w:ascii="Times New Roman" w:hAnsi="Times New Roman" w:cs="Times New Roman"/>
          <w:sz w:val="24"/>
        </w:rPr>
        <w:t xml:space="preserve"> č. 4</w:t>
      </w:r>
      <w:r w:rsidR="00A360A9" w:rsidRPr="007577DE">
        <w:rPr>
          <w:rFonts w:ascii="Times New Roman" w:hAnsi="Times New Roman" w:cs="Times New Roman"/>
          <w:sz w:val="24"/>
        </w:rPr>
        <w:t xml:space="preserve">). </w:t>
      </w:r>
    </w:p>
    <w:p w14:paraId="3AC93C54" w14:textId="01C1E749" w:rsidR="00625AAE" w:rsidRPr="007577DE" w:rsidRDefault="00625AAE" w:rsidP="00625AAE">
      <w:pPr>
        <w:ind w:firstLine="432"/>
        <w:jc w:val="both"/>
        <w:rPr>
          <w:rFonts w:ascii="Times New Roman" w:hAnsi="Times New Roman" w:cs="Times New Roman"/>
          <w:sz w:val="24"/>
        </w:rPr>
      </w:pPr>
      <w:r w:rsidRPr="007577DE">
        <w:rPr>
          <w:rFonts w:ascii="Times New Roman" w:hAnsi="Times New Roman" w:cs="Times New Roman"/>
          <w:sz w:val="24"/>
        </w:rPr>
        <w:t xml:space="preserve">Cieľom akčných plánov je vyhodnotenie opatrení energetickej efektívnosti za predchádzajúce 3-ročné obdobie, vyhodnotenie </w:t>
      </w:r>
      <w:r w:rsidR="00A360A9" w:rsidRPr="007577DE">
        <w:rPr>
          <w:rFonts w:ascii="Times New Roman" w:hAnsi="Times New Roman" w:cs="Times New Roman"/>
          <w:sz w:val="24"/>
        </w:rPr>
        <w:t xml:space="preserve">plnenia </w:t>
      </w:r>
      <w:r w:rsidRPr="007577DE">
        <w:rPr>
          <w:rFonts w:ascii="Times New Roman" w:hAnsi="Times New Roman" w:cs="Times New Roman"/>
          <w:sz w:val="24"/>
        </w:rPr>
        <w:t>cieľov úspor</w:t>
      </w:r>
      <w:r w:rsidR="00A360A9" w:rsidRPr="007577DE">
        <w:rPr>
          <w:rFonts w:ascii="Times New Roman" w:hAnsi="Times New Roman" w:cs="Times New Roman"/>
          <w:sz w:val="24"/>
        </w:rPr>
        <w:t xml:space="preserve"> energie</w:t>
      </w:r>
      <w:r w:rsidR="00114C2E" w:rsidRPr="007577DE">
        <w:rPr>
          <w:rFonts w:ascii="Times New Roman" w:hAnsi="Times New Roman" w:cs="Times New Roman"/>
          <w:sz w:val="24"/>
        </w:rPr>
        <w:t xml:space="preserve"> a</w:t>
      </w:r>
      <w:r w:rsidRPr="007577DE">
        <w:rPr>
          <w:rFonts w:ascii="Times New Roman" w:hAnsi="Times New Roman" w:cs="Times New Roman"/>
          <w:sz w:val="24"/>
        </w:rPr>
        <w:t xml:space="preserve"> plánovanie opatrení na plnenie stanovených cieľov v oblasti energetickej efektívnosti</w:t>
      </w:r>
      <w:r w:rsidR="00A360A9" w:rsidRPr="007577DE">
        <w:rPr>
          <w:rFonts w:ascii="Times New Roman" w:hAnsi="Times New Roman" w:cs="Times New Roman"/>
          <w:sz w:val="24"/>
        </w:rPr>
        <w:t xml:space="preserve"> na ďalšie obdobie</w:t>
      </w:r>
      <w:r w:rsidRPr="007577DE">
        <w:rPr>
          <w:rFonts w:ascii="Times New Roman" w:hAnsi="Times New Roman" w:cs="Times New Roman"/>
          <w:sz w:val="24"/>
        </w:rPr>
        <w:t xml:space="preserve">.  Akčné plány informujú </w:t>
      </w:r>
      <w:r w:rsidR="00114C2E" w:rsidRPr="007577DE">
        <w:rPr>
          <w:rFonts w:ascii="Times New Roman" w:hAnsi="Times New Roman" w:cs="Times New Roman"/>
          <w:sz w:val="24"/>
        </w:rPr>
        <w:t xml:space="preserve">aj </w:t>
      </w:r>
      <w:r w:rsidRPr="007577DE">
        <w:rPr>
          <w:rFonts w:ascii="Times New Roman" w:hAnsi="Times New Roman" w:cs="Times New Roman"/>
          <w:sz w:val="24"/>
        </w:rPr>
        <w:t>o implementácii vybraných ustanovení smernice 2012/27/EÚ.</w:t>
      </w:r>
    </w:p>
    <w:p w14:paraId="68FD1E32" w14:textId="14460A43" w:rsidR="00A360A9" w:rsidRPr="007577DE" w:rsidRDefault="00493D49" w:rsidP="00A360A9">
      <w:pPr>
        <w:ind w:firstLine="432"/>
        <w:jc w:val="both"/>
        <w:rPr>
          <w:rFonts w:ascii="Times New Roman" w:hAnsi="Times New Roman" w:cs="Times New Roman"/>
          <w:sz w:val="24"/>
        </w:rPr>
      </w:pPr>
      <w:r w:rsidRPr="007577DE">
        <w:rPr>
          <w:rFonts w:ascii="Times New Roman" w:hAnsi="Times New Roman" w:cs="Times New Roman"/>
          <w:sz w:val="24"/>
        </w:rPr>
        <w:t>Výsledky štvrtého akčného plánu sú dôležité pre</w:t>
      </w:r>
      <w:r w:rsidR="00A360A9" w:rsidRPr="007577DE">
        <w:rPr>
          <w:rFonts w:ascii="Times New Roman" w:hAnsi="Times New Roman" w:cs="Times New Roman"/>
          <w:sz w:val="24"/>
        </w:rPr>
        <w:t xml:space="preserve"> vyhodnotenie opatrení energetickej efektívnosti na národnej úrovni a priebežné plnenie stanovených cieľov</w:t>
      </w:r>
      <w:r w:rsidR="00E5437E">
        <w:rPr>
          <w:rFonts w:ascii="Times New Roman" w:hAnsi="Times New Roman" w:cs="Times New Roman"/>
          <w:sz w:val="24"/>
        </w:rPr>
        <w:t xml:space="preserve"> a</w:t>
      </w:r>
      <w:r w:rsidR="00A360A9" w:rsidRPr="007577DE">
        <w:rPr>
          <w:rFonts w:ascii="Times New Roman" w:hAnsi="Times New Roman" w:cs="Times New Roman"/>
          <w:sz w:val="24"/>
        </w:rPr>
        <w:t xml:space="preserve"> pre plánovanie opatrení </w:t>
      </w:r>
      <w:r w:rsidR="00114C2E" w:rsidRPr="007577DE">
        <w:rPr>
          <w:rFonts w:ascii="Times New Roman" w:hAnsi="Times New Roman" w:cs="Times New Roman"/>
          <w:sz w:val="24"/>
        </w:rPr>
        <w:t>potrebných na splnenie stanovených cieľov do roku 2020.</w:t>
      </w:r>
      <w:r w:rsidR="00A360A9" w:rsidRPr="007577DE">
        <w:rPr>
          <w:rFonts w:ascii="Times New Roman" w:hAnsi="Times New Roman" w:cs="Times New Roman"/>
          <w:sz w:val="24"/>
        </w:rPr>
        <w:t xml:space="preserve">  </w:t>
      </w:r>
    </w:p>
    <w:p w14:paraId="517C60FE" w14:textId="0C2BE0C2" w:rsidR="00A360A9" w:rsidRPr="007577DE" w:rsidRDefault="00A360A9" w:rsidP="00A360A9">
      <w:pPr>
        <w:ind w:firstLine="432"/>
        <w:jc w:val="both"/>
        <w:rPr>
          <w:rFonts w:ascii="Times New Roman" w:hAnsi="Times New Roman" w:cs="Times New Roman"/>
          <w:sz w:val="24"/>
        </w:rPr>
      </w:pPr>
      <w:r w:rsidRPr="007577DE">
        <w:rPr>
          <w:rFonts w:ascii="Times New Roman" w:hAnsi="Times New Roman" w:cs="Times New Roman"/>
          <w:sz w:val="24"/>
        </w:rPr>
        <w:t xml:space="preserve">Opatrenia energetickej efektívnosti prispievajú k zvyšovaniu energetickej bezpečnosti, </w:t>
      </w:r>
      <w:r w:rsidR="00E5437E">
        <w:rPr>
          <w:rFonts w:ascii="Times New Roman" w:hAnsi="Times New Roman" w:cs="Times New Roman"/>
          <w:sz w:val="24"/>
        </w:rPr>
        <w:t xml:space="preserve">k </w:t>
      </w:r>
      <w:r w:rsidRPr="007577DE">
        <w:rPr>
          <w:rFonts w:ascii="Times New Roman" w:hAnsi="Times New Roman" w:cs="Times New Roman"/>
          <w:sz w:val="24"/>
        </w:rPr>
        <w:t xml:space="preserve">znižovaniu produkcie skleníkových plynov a iných znečisťujúcich látok, ako aj k zvyšovaniu zamestnanosti, zvyšovaniu konkurencieschopnosti podnikov a znižovaniu nákladov na energiu  pre domácnosti. </w:t>
      </w:r>
    </w:p>
    <w:p w14:paraId="071369D0" w14:textId="20ED1676" w:rsidR="00625AAE" w:rsidRPr="009F2998" w:rsidRDefault="00625AAE" w:rsidP="000745A8">
      <w:pPr>
        <w:ind w:firstLine="432"/>
        <w:jc w:val="both"/>
        <w:rPr>
          <w:rFonts w:ascii="Times New Roman" w:hAnsi="Times New Roman" w:cs="Times New Roman"/>
        </w:rPr>
      </w:pPr>
      <w:r w:rsidRPr="007577DE">
        <w:rPr>
          <w:rFonts w:ascii="Times New Roman" w:hAnsi="Times New Roman" w:cs="Times New Roman"/>
          <w:sz w:val="24"/>
        </w:rPr>
        <w:t xml:space="preserve">Predložený štvrtý akčný plán </w:t>
      </w:r>
      <w:r w:rsidR="001653AA" w:rsidRPr="007577DE">
        <w:rPr>
          <w:rFonts w:ascii="Times New Roman" w:hAnsi="Times New Roman" w:cs="Times New Roman"/>
          <w:sz w:val="24"/>
        </w:rPr>
        <w:t xml:space="preserve">bol vypracovaný </w:t>
      </w:r>
      <w:r w:rsidRPr="007577DE">
        <w:rPr>
          <w:rFonts w:ascii="Times New Roman" w:hAnsi="Times New Roman" w:cs="Times New Roman"/>
          <w:sz w:val="24"/>
        </w:rPr>
        <w:t xml:space="preserve">v spolupráci </w:t>
      </w:r>
      <w:r w:rsidR="00922ACD" w:rsidRPr="007577DE">
        <w:rPr>
          <w:rFonts w:ascii="Times New Roman" w:hAnsi="Times New Roman" w:cs="Times New Roman"/>
          <w:sz w:val="24"/>
        </w:rPr>
        <w:t>s relevantnými rezortmi</w:t>
      </w:r>
      <w:r w:rsidRPr="007577DE">
        <w:rPr>
          <w:rFonts w:ascii="Times New Roman" w:hAnsi="Times New Roman" w:cs="Times New Roman"/>
          <w:sz w:val="24"/>
        </w:rPr>
        <w:t xml:space="preserve"> v rámci Stálej medzirezortnej pracovnej skupiny pre prípravu akčných plánov energetickej efektívnosti</w:t>
      </w:r>
      <w:r w:rsidR="00E5437E">
        <w:rPr>
          <w:rFonts w:ascii="Times New Roman" w:hAnsi="Times New Roman" w:cs="Times New Roman"/>
          <w:sz w:val="24"/>
        </w:rPr>
        <w:t xml:space="preserve"> a</w:t>
      </w:r>
      <w:r w:rsidR="00EE72FA">
        <w:rPr>
          <w:rFonts w:ascii="Times New Roman" w:hAnsi="Times New Roman" w:cs="Times New Roman"/>
          <w:sz w:val="24"/>
        </w:rPr>
        <w:t xml:space="preserve"> </w:t>
      </w:r>
      <w:r w:rsidRPr="007577DE">
        <w:rPr>
          <w:rFonts w:ascii="Times New Roman" w:hAnsi="Times New Roman" w:cs="Times New Roman"/>
          <w:sz w:val="24"/>
        </w:rPr>
        <w:t xml:space="preserve">v súčinnosti s nominovanými kontaktnými osobami zodpovednými </w:t>
      </w:r>
      <w:r w:rsidR="00E62C96" w:rsidRPr="007577DE">
        <w:rPr>
          <w:rFonts w:ascii="Times New Roman" w:hAnsi="Times New Roman" w:cs="Times New Roman"/>
          <w:sz w:val="24"/>
        </w:rPr>
        <w:t>za poskytovanie údajov prevádzkovateľovi monitorovacieho systému energetickej efektívnosti (podľa úlohy č. B. 3 uznesenia vlády č. 350/2014</w:t>
      </w:r>
      <w:r w:rsidR="00B40851">
        <w:rPr>
          <w:rFonts w:ascii="Times New Roman" w:hAnsi="Times New Roman" w:cs="Times New Roman"/>
          <w:sz w:val="24"/>
        </w:rPr>
        <w:t>),</w:t>
      </w:r>
      <w:r w:rsidR="00E62C96" w:rsidRPr="007577DE">
        <w:rPr>
          <w:rFonts w:ascii="Times New Roman" w:hAnsi="Times New Roman" w:cs="Times New Roman"/>
          <w:sz w:val="24"/>
        </w:rPr>
        <w:t xml:space="preserve"> </w:t>
      </w:r>
      <w:r w:rsidR="00EE72FA">
        <w:rPr>
          <w:rFonts w:ascii="Times New Roman" w:hAnsi="Times New Roman" w:cs="Times New Roman"/>
          <w:sz w:val="24"/>
        </w:rPr>
        <w:t xml:space="preserve">ako aj </w:t>
      </w:r>
      <w:r w:rsidR="00114C2E" w:rsidRPr="007577DE">
        <w:rPr>
          <w:rFonts w:ascii="Times New Roman" w:hAnsi="Times New Roman" w:cs="Times New Roman"/>
          <w:sz w:val="24"/>
        </w:rPr>
        <w:t xml:space="preserve">so </w:t>
      </w:r>
      <w:r w:rsidR="00E62C96" w:rsidRPr="007577DE">
        <w:rPr>
          <w:rFonts w:ascii="Times New Roman" w:hAnsi="Times New Roman" w:cs="Times New Roman"/>
          <w:sz w:val="24"/>
        </w:rPr>
        <w:t>zástupcami releva</w:t>
      </w:r>
      <w:r w:rsidR="002200AF" w:rsidRPr="007577DE">
        <w:rPr>
          <w:rFonts w:ascii="Times New Roman" w:hAnsi="Times New Roman" w:cs="Times New Roman"/>
          <w:sz w:val="24"/>
        </w:rPr>
        <w:t>n</w:t>
      </w:r>
      <w:r w:rsidR="00E62C96" w:rsidRPr="007577DE">
        <w:rPr>
          <w:rFonts w:ascii="Times New Roman" w:hAnsi="Times New Roman" w:cs="Times New Roman"/>
          <w:sz w:val="24"/>
        </w:rPr>
        <w:t xml:space="preserve">tných organizácií s vplyvom na úspory energie. </w:t>
      </w:r>
    </w:p>
    <w:p w14:paraId="50C6BADD" w14:textId="6F9DFBAA" w:rsidR="00943154" w:rsidRPr="009F2998" w:rsidRDefault="00943154">
      <w:pPr>
        <w:rPr>
          <w:rFonts w:ascii="Times New Roman" w:eastAsiaTheme="majorEastAsia" w:hAnsi="Times New Roman" w:cs="Times New Roman"/>
          <w:color w:val="2E74B5" w:themeColor="accent1" w:themeShade="BF"/>
          <w:sz w:val="32"/>
          <w:szCs w:val="32"/>
        </w:rPr>
      </w:pPr>
    </w:p>
    <w:p w14:paraId="6A78152C" w14:textId="35CF0BE2" w:rsidR="001D5205" w:rsidRPr="000578FE" w:rsidRDefault="001D5205" w:rsidP="00D20D75">
      <w:pPr>
        <w:pStyle w:val="Nadpis1"/>
        <w:rPr>
          <w:rFonts w:ascii="Times New Roman" w:hAnsi="Times New Roman" w:cs="Times New Roman"/>
          <w:b/>
          <w:color w:val="auto"/>
        </w:rPr>
      </w:pPr>
      <w:bookmarkStart w:id="4" w:name="_Toc480547215"/>
      <w:r w:rsidRPr="000578FE">
        <w:rPr>
          <w:rFonts w:ascii="Times New Roman" w:hAnsi="Times New Roman" w:cs="Times New Roman"/>
          <w:b/>
          <w:color w:val="auto"/>
        </w:rPr>
        <w:lastRenderedPageBreak/>
        <w:t>Prehľad národných cieľov energetickej efektívno</w:t>
      </w:r>
      <w:r w:rsidR="001947AB" w:rsidRPr="000578FE">
        <w:rPr>
          <w:rFonts w:ascii="Times New Roman" w:hAnsi="Times New Roman" w:cs="Times New Roman"/>
          <w:b/>
          <w:color w:val="auto"/>
        </w:rPr>
        <w:t xml:space="preserve">sti a úspor </w:t>
      </w:r>
      <w:r w:rsidR="00DB6D8C" w:rsidRPr="000578FE">
        <w:rPr>
          <w:rFonts w:ascii="Times New Roman" w:hAnsi="Times New Roman" w:cs="Times New Roman"/>
          <w:b/>
          <w:color w:val="auto"/>
        </w:rPr>
        <w:t>energie</w:t>
      </w:r>
      <w:bookmarkEnd w:id="4"/>
    </w:p>
    <w:p w14:paraId="1BD1179F" w14:textId="77777777" w:rsidR="009E267F" w:rsidRPr="00B40851" w:rsidRDefault="009E267F" w:rsidP="009E267F">
      <w:pPr>
        <w:rPr>
          <w:rFonts w:ascii="Times New Roman" w:hAnsi="Times New Roman" w:cs="Times New Roman"/>
        </w:rPr>
      </w:pPr>
    </w:p>
    <w:p w14:paraId="223D75A0" w14:textId="2FD89B73" w:rsidR="00CE2A36" w:rsidRPr="000578FE" w:rsidRDefault="00CE2A36" w:rsidP="00AF5415">
      <w:pPr>
        <w:pStyle w:val="Nadpis2"/>
        <w:keepNext w:val="0"/>
        <w:keepLines w:val="0"/>
        <w:numPr>
          <w:ilvl w:val="1"/>
          <w:numId w:val="30"/>
        </w:numPr>
        <w:rPr>
          <w:rFonts w:ascii="Times New Roman" w:hAnsi="Times New Roman" w:cs="Times New Roman"/>
          <w:color w:val="auto"/>
        </w:rPr>
      </w:pPr>
      <w:bookmarkStart w:id="5" w:name="_Toc480547216"/>
      <w:r w:rsidRPr="000578FE">
        <w:rPr>
          <w:rFonts w:ascii="Times New Roman" w:hAnsi="Times New Roman" w:cs="Times New Roman"/>
          <w:color w:val="auto"/>
        </w:rPr>
        <w:t>Aktuálny stav v oblasti energetickej efektívnosti</w:t>
      </w:r>
      <w:r w:rsidR="00EE3CD6" w:rsidRPr="000578FE">
        <w:rPr>
          <w:rFonts w:ascii="Times New Roman" w:hAnsi="Times New Roman" w:cs="Times New Roman"/>
          <w:color w:val="auto"/>
        </w:rPr>
        <w:t xml:space="preserve"> v SR</w:t>
      </w:r>
      <w:bookmarkEnd w:id="5"/>
    </w:p>
    <w:p w14:paraId="19A83A17" w14:textId="7F2A70BD" w:rsidR="00BB3100" w:rsidRDefault="00031099" w:rsidP="00856490">
      <w:pPr>
        <w:jc w:val="both"/>
        <w:rPr>
          <w:rFonts w:ascii="Times New Roman" w:hAnsi="Times New Roman" w:cs="Times New Roman"/>
          <w:sz w:val="24"/>
          <w:szCs w:val="24"/>
        </w:rPr>
      </w:pPr>
      <w:r w:rsidRPr="00856490">
        <w:rPr>
          <w:rFonts w:ascii="Times New Roman" w:hAnsi="Times New Roman" w:cs="Times New Roman"/>
          <w:sz w:val="24"/>
          <w:szCs w:val="24"/>
        </w:rPr>
        <w:t>Strategickým cieľom Energetickej politiky S</w:t>
      </w:r>
      <w:r w:rsidR="00256E3A">
        <w:rPr>
          <w:rFonts w:ascii="Times New Roman" w:hAnsi="Times New Roman" w:cs="Times New Roman"/>
          <w:sz w:val="24"/>
          <w:szCs w:val="24"/>
        </w:rPr>
        <w:t>lovenskej republiky</w:t>
      </w:r>
      <w:r w:rsidR="00CA6E08">
        <w:rPr>
          <w:rFonts w:ascii="Times New Roman" w:hAnsi="Times New Roman" w:cs="Times New Roman"/>
          <w:sz w:val="24"/>
          <w:szCs w:val="24"/>
        </w:rPr>
        <w:t xml:space="preserve">, schválenou vládou </w:t>
      </w:r>
      <w:r w:rsidR="00256E3A" w:rsidRPr="00856490">
        <w:rPr>
          <w:rFonts w:ascii="Times New Roman" w:hAnsi="Times New Roman" w:cs="Times New Roman"/>
          <w:sz w:val="24"/>
          <w:szCs w:val="24"/>
        </w:rPr>
        <w:t>S</w:t>
      </w:r>
      <w:r w:rsidR="00256E3A">
        <w:rPr>
          <w:rFonts w:ascii="Times New Roman" w:hAnsi="Times New Roman" w:cs="Times New Roman"/>
          <w:sz w:val="24"/>
          <w:szCs w:val="24"/>
        </w:rPr>
        <w:t>lovenskej republiky (</w:t>
      </w:r>
      <w:r w:rsidR="00CA6E08">
        <w:rPr>
          <w:rFonts w:ascii="Times New Roman" w:hAnsi="Times New Roman" w:cs="Times New Roman"/>
          <w:sz w:val="24"/>
          <w:szCs w:val="24"/>
        </w:rPr>
        <w:t>SR</w:t>
      </w:r>
      <w:r w:rsidR="00256E3A">
        <w:rPr>
          <w:rFonts w:ascii="Times New Roman" w:hAnsi="Times New Roman" w:cs="Times New Roman"/>
          <w:sz w:val="24"/>
          <w:szCs w:val="24"/>
        </w:rPr>
        <w:t>)</w:t>
      </w:r>
      <w:r w:rsidR="00CA6E08" w:rsidRPr="00CA6E08">
        <w:rPr>
          <w:rFonts w:ascii="Times New Roman" w:hAnsi="Times New Roman" w:cs="Times New Roman"/>
          <w:sz w:val="24"/>
          <w:szCs w:val="24"/>
        </w:rPr>
        <w:t xml:space="preserve"> uznesením č. 548/2014</w:t>
      </w:r>
      <w:r w:rsidRPr="00856490">
        <w:rPr>
          <w:rFonts w:ascii="Times New Roman" w:hAnsi="Times New Roman" w:cs="Times New Roman"/>
          <w:sz w:val="24"/>
          <w:szCs w:val="24"/>
        </w:rPr>
        <w:t xml:space="preserve">, je dosiahnuť konkurencieschopnú nízkouhlíkovú energetiku zabezpečujúcu bezpečnú spoľahlivú a efektívnu dodávku všetkých foriem energie za prijateľné ceny s prihliadnutím na ochranu odberateľa a trvalo udržateľný rozvoj. </w:t>
      </w:r>
      <w:r w:rsidR="00BB3100" w:rsidRPr="00BC636F">
        <w:rPr>
          <w:rFonts w:ascii="Times New Roman" w:hAnsi="Times New Roman" w:cs="Times New Roman"/>
          <w:sz w:val="24"/>
          <w:szCs w:val="24"/>
        </w:rPr>
        <w:t xml:space="preserve">Energetická efektívnosť </w:t>
      </w:r>
      <w:r w:rsidR="00BB3100">
        <w:rPr>
          <w:rFonts w:ascii="Times New Roman" w:hAnsi="Times New Roman" w:cs="Times New Roman"/>
          <w:sz w:val="24"/>
          <w:szCs w:val="24"/>
        </w:rPr>
        <w:t xml:space="preserve">synergicky </w:t>
      </w:r>
      <w:r w:rsidR="00BB3100" w:rsidRPr="00BC636F">
        <w:rPr>
          <w:rFonts w:ascii="Times New Roman" w:hAnsi="Times New Roman" w:cs="Times New Roman"/>
          <w:sz w:val="24"/>
          <w:szCs w:val="24"/>
        </w:rPr>
        <w:t xml:space="preserve">prispieva </w:t>
      </w:r>
      <w:r w:rsidR="00BB3100">
        <w:rPr>
          <w:rFonts w:ascii="Times New Roman" w:hAnsi="Times New Roman" w:cs="Times New Roman"/>
          <w:sz w:val="24"/>
          <w:szCs w:val="24"/>
        </w:rPr>
        <w:t>k znižovaniu</w:t>
      </w:r>
      <w:r w:rsidR="00BB3100" w:rsidRPr="00BC636F">
        <w:rPr>
          <w:rFonts w:ascii="Times New Roman" w:hAnsi="Times New Roman" w:cs="Times New Roman"/>
          <w:sz w:val="24"/>
          <w:szCs w:val="24"/>
        </w:rPr>
        <w:t xml:space="preserve"> energetickej náročnosti ekonomiky</w:t>
      </w:r>
      <w:r w:rsidR="00BB3100">
        <w:rPr>
          <w:rFonts w:ascii="Times New Roman" w:hAnsi="Times New Roman" w:cs="Times New Roman"/>
          <w:sz w:val="24"/>
          <w:szCs w:val="24"/>
        </w:rPr>
        <w:t>,</w:t>
      </w:r>
      <w:r w:rsidR="00BB3100" w:rsidRPr="00BC636F">
        <w:rPr>
          <w:rFonts w:ascii="Times New Roman" w:hAnsi="Times New Roman" w:cs="Times New Roman"/>
          <w:sz w:val="24"/>
          <w:szCs w:val="24"/>
        </w:rPr>
        <w:t xml:space="preserve"> prispieva k zvyšovaniu energetickej bezpečnosti a má vplyv aj na znižovanie prevádzkových nákladov energetických podnikov, a v neposlednom rade úspory primárnych energetických zdrojov prispievajú k zmierňovaniu dopadov energetiky na životné prostredie. Okrem toho prínosy energetickej efektívnosti prispievajú aj k iným politikám ako je to napríklad v prípade zamestnanosti.</w:t>
      </w:r>
    </w:p>
    <w:p w14:paraId="6C4DE37F" w14:textId="184D8439" w:rsidR="00CA6E08" w:rsidRPr="00CA6E08" w:rsidRDefault="00BB3100" w:rsidP="00CA6E08">
      <w:pPr>
        <w:jc w:val="both"/>
        <w:rPr>
          <w:rFonts w:ascii="Times New Roman" w:hAnsi="Times New Roman" w:cs="Times New Roman"/>
          <w:sz w:val="24"/>
          <w:szCs w:val="24"/>
        </w:rPr>
      </w:pPr>
      <w:r w:rsidRPr="00BB3100">
        <w:rPr>
          <w:rFonts w:ascii="Times New Roman" w:hAnsi="Times New Roman" w:cs="Times New Roman"/>
          <w:sz w:val="24"/>
          <w:szCs w:val="24"/>
        </w:rPr>
        <w:t>Energetická</w:t>
      </w:r>
      <w:r>
        <w:rPr>
          <w:rFonts w:ascii="Times New Roman" w:hAnsi="Times New Roman" w:cs="Times New Roman"/>
          <w:sz w:val="24"/>
          <w:szCs w:val="24"/>
        </w:rPr>
        <w:t xml:space="preserve"> náročnosť SR má v posledných 15</w:t>
      </w:r>
      <w:r w:rsidR="00CE2A36">
        <w:rPr>
          <w:rFonts w:ascii="Times New Roman" w:hAnsi="Times New Roman" w:cs="Times New Roman"/>
          <w:sz w:val="24"/>
          <w:szCs w:val="24"/>
        </w:rPr>
        <w:t xml:space="preserve"> rokoch klesajúci trend. </w:t>
      </w:r>
      <w:r w:rsidR="00CE2A36" w:rsidRPr="00BB3100">
        <w:rPr>
          <w:rFonts w:ascii="Times New Roman" w:hAnsi="Times New Roman" w:cs="Times New Roman"/>
          <w:sz w:val="24"/>
          <w:szCs w:val="24"/>
        </w:rPr>
        <w:t>O významnom pokroku v znižovaní energetickej náročnosti svedčí jej vývoj v rokoch 2000-2015, kedy podľa údajov Eurostatu (2017) SR znížila energetickú náročnosť o 50,8 %</w:t>
      </w:r>
      <w:r w:rsidR="00CE2A36">
        <w:rPr>
          <w:rFonts w:ascii="Times New Roman" w:hAnsi="Times New Roman" w:cs="Times New Roman"/>
          <w:sz w:val="24"/>
          <w:szCs w:val="24"/>
        </w:rPr>
        <w:t>. V</w:t>
      </w:r>
      <w:r w:rsidR="00CE2A36" w:rsidRPr="00CE2A36">
        <w:rPr>
          <w:rFonts w:ascii="Times New Roman" w:hAnsi="Times New Roman" w:cs="Times New Roman"/>
          <w:sz w:val="24"/>
          <w:szCs w:val="24"/>
        </w:rPr>
        <w:t xml:space="preserve"> období rokov 2006-2012</w:t>
      </w:r>
      <w:r w:rsidR="00CE2A36">
        <w:rPr>
          <w:rFonts w:ascii="Times New Roman" w:hAnsi="Times New Roman" w:cs="Times New Roman"/>
          <w:sz w:val="24"/>
          <w:szCs w:val="24"/>
        </w:rPr>
        <w:t xml:space="preserve"> bolo</w:t>
      </w:r>
      <w:r w:rsidR="00CE2A36" w:rsidRPr="00CE2A36">
        <w:rPr>
          <w:rFonts w:ascii="Times New Roman" w:hAnsi="Times New Roman" w:cs="Times New Roman"/>
          <w:sz w:val="24"/>
          <w:szCs w:val="24"/>
        </w:rPr>
        <w:t xml:space="preserve"> zníženie</w:t>
      </w:r>
      <w:r w:rsidR="00CE2A36">
        <w:rPr>
          <w:rFonts w:ascii="Times New Roman" w:hAnsi="Times New Roman" w:cs="Times New Roman"/>
          <w:sz w:val="24"/>
          <w:szCs w:val="24"/>
        </w:rPr>
        <w:t xml:space="preserve"> energetickej náročnosti</w:t>
      </w:r>
      <w:r w:rsidR="00CE2A36" w:rsidRPr="00CE2A36">
        <w:rPr>
          <w:rFonts w:ascii="Times New Roman" w:hAnsi="Times New Roman" w:cs="Times New Roman"/>
          <w:sz w:val="24"/>
          <w:szCs w:val="24"/>
        </w:rPr>
        <w:t xml:space="preserve"> o viac ako 27%</w:t>
      </w:r>
      <w:r w:rsidR="00CE2A36">
        <w:rPr>
          <w:rFonts w:ascii="Times New Roman" w:hAnsi="Times New Roman" w:cs="Times New Roman"/>
          <w:sz w:val="24"/>
          <w:szCs w:val="24"/>
        </w:rPr>
        <w:t>,</w:t>
      </w:r>
      <w:r w:rsidR="00CE2A36" w:rsidRPr="00CE2A36">
        <w:rPr>
          <w:rFonts w:ascii="Times New Roman" w:hAnsi="Times New Roman" w:cs="Times New Roman"/>
          <w:sz w:val="24"/>
          <w:szCs w:val="24"/>
        </w:rPr>
        <w:t xml:space="preserve"> </w:t>
      </w:r>
      <w:r w:rsidR="00CE2A36">
        <w:rPr>
          <w:rFonts w:ascii="Times New Roman" w:hAnsi="Times New Roman" w:cs="Times New Roman"/>
          <w:sz w:val="24"/>
          <w:szCs w:val="24"/>
        </w:rPr>
        <w:t xml:space="preserve">čo </w:t>
      </w:r>
      <w:r w:rsidR="00CE2A36" w:rsidRPr="00CE2A36">
        <w:rPr>
          <w:rFonts w:ascii="Times New Roman" w:hAnsi="Times New Roman" w:cs="Times New Roman"/>
          <w:sz w:val="24"/>
          <w:szCs w:val="24"/>
        </w:rPr>
        <w:t xml:space="preserve">predstavuje najväčšie </w:t>
      </w:r>
      <w:r w:rsidR="00CE2A36">
        <w:rPr>
          <w:rFonts w:ascii="Times New Roman" w:hAnsi="Times New Roman" w:cs="Times New Roman"/>
          <w:sz w:val="24"/>
          <w:szCs w:val="24"/>
        </w:rPr>
        <w:t>zníženie</w:t>
      </w:r>
      <w:r w:rsidR="00CE2A36" w:rsidRPr="00CE2A36">
        <w:rPr>
          <w:rFonts w:ascii="Times New Roman" w:hAnsi="Times New Roman" w:cs="Times New Roman"/>
          <w:sz w:val="24"/>
          <w:szCs w:val="24"/>
        </w:rPr>
        <w:t xml:space="preserve"> v EÚ-28 v danom období. Tento pozitívny vývoj je okrem iného výsledkom úspešnej reštrukturalizácie priemyslu, zavedenia nízkoenergetických výrobných procesov v priemysle a zlepšovania tepelnotechnických vlastností budov a obmenou  spotrebičov za úspornejšie.</w:t>
      </w:r>
      <w:r w:rsidR="00CE2A36">
        <w:rPr>
          <w:rFonts w:ascii="Times New Roman" w:hAnsi="Times New Roman" w:cs="Times New Roman"/>
          <w:sz w:val="24"/>
          <w:szCs w:val="24"/>
        </w:rPr>
        <w:t xml:space="preserve"> </w:t>
      </w:r>
      <w:r w:rsidRPr="00BB3100">
        <w:rPr>
          <w:rFonts w:ascii="Times New Roman" w:hAnsi="Times New Roman" w:cs="Times New Roman"/>
          <w:sz w:val="24"/>
          <w:szCs w:val="24"/>
        </w:rPr>
        <w:t xml:space="preserve">Slovenská </w:t>
      </w:r>
      <w:r>
        <w:rPr>
          <w:rFonts w:ascii="Times New Roman" w:hAnsi="Times New Roman" w:cs="Times New Roman"/>
          <w:sz w:val="24"/>
          <w:szCs w:val="24"/>
        </w:rPr>
        <w:t xml:space="preserve">republika má </w:t>
      </w:r>
      <w:r w:rsidR="00CE2A36">
        <w:rPr>
          <w:rFonts w:ascii="Times New Roman" w:hAnsi="Times New Roman" w:cs="Times New Roman"/>
          <w:sz w:val="24"/>
          <w:szCs w:val="24"/>
        </w:rPr>
        <w:t xml:space="preserve">však napriek tejto skutočnosti </w:t>
      </w:r>
      <w:r>
        <w:rPr>
          <w:rFonts w:ascii="Times New Roman" w:hAnsi="Times New Roman" w:cs="Times New Roman"/>
          <w:sz w:val="24"/>
          <w:szCs w:val="24"/>
        </w:rPr>
        <w:t>siedmu</w:t>
      </w:r>
      <w:r w:rsidRPr="00BB3100">
        <w:rPr>
          <w:rFonts w:ascii="Times New Roman" w:hAnsi="Times New Roman" w:cs="Times New Roman"/>
          <w:sz w:val="24"/>
          <w:szCs w:val="24"/>
        </w:rPr>
        <w:t xml:space="preserve"> najvyššiu energetickú náročnosť n</w:t>
      </w:r>
      <w:r w:rsidR="00CE2A36">
        <w:rPr>
          <w:rFonts w:ascii="Times New Roman" w:hAnsi="Times New Roman" w:cs="Times New Roman"/>
          <w:sz w:val="24"/>
          <w:szCs w:val="24"/>
        </w:rPr>
        <w:t xml:space="preserve">a základe stálych cien v EÚ- 28. </w:t>
      </w:r>
      <w:r w:rsidRPr="00BB3100">
        <w:rPr>
          <w:rFonts w:ascii="Times New Roman" w:hAnsi="Times New Roman" w:cs="Times New Roman"/>
          <w:sz w:val="24"/>
          <w:szCs w:val="24"/>
        </w:rPr>
        <w:t>Tento fakt je daný najmä štruktúrou priemyslu</w:t>
      </w:r>
      <w:r w:rsidR="00CE2A36">
        <w:rPr>
          <w:rFonts w:ascii="Times New Roman" w:hAnsi="Times New Roman" w:cs="Times New Roman"/>
          <w:sz w:val="24"/>
          <w:szCs w:val="24"/>
        </w:rPr>
        <w:t xml:space="preserve"> v SR</w:t>
      </w:r>
      <w:r w:rsidRPr="00BB3100">
        <w:rPr>
          <w:rFonts w:ascii="Times New Roman" w:hAnsi="Times New Roman" w:cs="Times New Roman"/>
          <w:sz w:val="24"/>
          <w:szCs w:val="24"/>
        </w:rPr>
        <w:t xml:space="preserve">, kde má veľký podiel priemysel s vysokou energetickou náročnosťou. </w:t>
      </w:r>
      <w:r w:rsidR="00CA6E08">
        <w:rPr>
          <w:rFonts w:ascii="Times New Roman" w:hAnsi="Times New Roman" w:cs="Times New Roman"/>
          <w:sz w:val="24"/>
          <w:szCs w:val="24"/>
        </w:rPr>
        <w:t xml:space="preserve">Prioritou SR v oblasti </w:t>
      </w:r>
      <w:r w:rsidR="00CA6E08" w:rsidRPr="00CA6E08">
        <w:rPr>
          <w:rFonts w:ascii="Times New Roman" w:hAnsi="Times New Roman" w:cs="Times New Roman"/>
          <w:sz w:val="24"/>
          <w:szCs w:val="24"/>
        </w:rPr>
        <w:t xml:space="preserve">energetickej efektívnosti je </w:t>
      </w:r>
      <w:r w:rsidR="00CA6E08">
        <w:rPr>
          <w:rFonts w:ascii="Times New Roman" w:hAnsi="Times New Roman" w:cs="Times New Roman"/>
          <w:sz w:val="24"/>
          <w:szCs w:val="24"/>
        </w:rPr>
        <w:t xml:space="preserve">ďalšie </w:t>
      </w:r>
      <w:r w:rsidR="00CA6E08" w:rsidRPr="00CA6E08">
        <w:rPr>
          <w:rFonts w:ascii="Times New Roman" w:hAnsi="Times New Roman" w:cs="Times New Roman"/>
          <w:sz w:val="24"/>
          <w:szCs w:val="24"/>
        </w:rPr>
        <w:t xml:space="preserve">znižovanie energetickej náročnosti ekonomiky SR </w:t>
      </w:r>
      <w:r w:rsidR="00CA6E08">
        <w:rPr>
          <w:rFonts w:ascii="Times New Roman" w:hAnsi="Times New Roman" w:cs="Times New Roman"/>
          <w:sz w:val="24"/>
          <w:szCs w:val="24"/>
        </w:rPr>
        <w:t xml:space="preserve">so zámerom dosiahnuť </w:t>
      </w:r>
      <w:r w:rsidR="00CA6E08" w:rsidRPr="00CA6E08">
        <w:rPr>
          <w:rFonts w:ascii="Times New Roman" w:hAnsi="Times New Roman" w:cs="Times New Roman"/>
          <w:sz w:val="24"/>
          <w:szCs w:val="24"/>
        </w:rPr>
        <w:t xml:space="preserve">úroveň európskeho priemeru. </w:t>
      </w:r>
    </w:p>
    <w:p w14:paraId="28E1A5E6" w14:textId="455894C1" w:rsidR="00E25557" w:rsidRPr="00856490" w:rsidRDefault="00BB3100" w:rsidP="00E25557">
      <w:pPr>
        <w:jc w:val="both"/>
        <w:rPr>
          <w:rFonts w:ascii="Times New Roman" w:hAnsi="Times New Roman" w:cs="Times New Roman"/>
        </w:rPr>
      </w:pPr>
      <w:r w:rsidRPr="009F2998">
        <w:rPr>
          <w:rFonts w:ascii="Times New Roman" w:hAnsi="Times New Roman" w:cs="Times New Roman"/>
          <w:noProof/>
          <w:lang w:eastAsia="sk-SK"/>
        </w:rPr>
        <mc:AlternateContent>
          <mc:Choice Requires="wps">
            <w:drawing>
              <wp:anchor distT="0" distB="0" distL="114300" distR="114300" simplePos="0" relativeHeight="251678720" behindDoc="0" locked="0" layoutInCell="1" allowOverlap="1" wp14:anchorId="04121B49" wp14:editId="7773CA61">
                <wp:simplePos x="0" y="0"/>
                <wp:positionH relativeFrom="column">
                  <wp:posOffset>2852420</wp:posOffset>
                </wp:positionH>
                <wp:positionV relativeFrom="paragraph">
                  <wp:posOffset>782320</wp:posOffset>
                </wp:positionV>
                <wp:extent cx="914400" cy="342900"/>
                <wp:effectExtent l="0" t="0" r="361950" b="247650"/>
                <wp:wrapNone/>
                <wp:docPr id="6" name="Bublina v tvare zaobleného obdĺžnika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wedgeRoundRectCallout">
                          <a:avLst>
                            <a:gd name="adj1" fmla="val 82848"/>
                            <a:gd name="adj2" fmla="val 105926"/>
                            <a:gd name="adj3" fmla="val 16667"/>
                          </a:avLst>
                        </a:prstGeom>
                        <a:solidFill>
                          <a:srgbClr val="FFFFFF"/>
                        </a:solidFill>
                        <a:ln w="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802AB3D" w14:textId="77777777" w:rsidR="005F7B58" w:rsidRDefault="005F7B58" w:rsidP="00BB3100">
                            <w:r>
                              <w:t>Slovensko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121B4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Bublina v tvare zaobleného obdĺžnika 6" o:spid="_x0000_s1026" type="#_x0000_t62" style="position:absolute;left:0;text-align:left;margin-left:224.6pt;margin-top:61.6pt;width:1in;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" adj="28695,33680" strokeweight="0">
                <v:textbox>
                  <w:txbxContent>
                    <w:p w14:paraId="0802AB3D" w14:textId="77777777" w:rsidR="005F7B58" w:rsidRDefault="005F7B58" w:rsidP="00BB3100">
                      <w:r>
                        <w:t>Slovensko</w:t>
                      </w:r>
                    </w:p>
                  </w:txbxContent>
                </v:textbox>
              </v:shape>
            </w:pict>
          </mc:Fallback>
        </mc:AlternateContent>
      </w:r>
      <w:r w:rsidRPr="009F2998">
        <w:rPr>
          <w:rFonts w:ascii="Times New Roman" w:hAnsi="Times New Roman" w:cs="Times New Roman"/>
          <w:noProof/>
          <w:lang w:eastAsia="sk-SK"/>
        </w:rPr>
        <mc:AlternateContent>
          <mc:Choice Requires="wps">
            <w:drawing>
              <wp:anchor distT="0" distB="0" distL="114300" distR="114300" simplePos="0" relativeHeight="251680768" behindDoc="0" locked="0" layoutInCell="1" allowOverlap="1" wp14:anchorId="4FA4696D" wp14:editId="5D63552C">
                <wp:simplePos x="0" y="0"/>
                <wp:positionH relativeFrom="column">
                  <wp:posOffset>3939540</wp:posOffset>
                </wp:positionH>
                <wp:positionV relativeFrom="paragraph">
                  <wp:posOffset>1293495</wp:posOffset>
                </wp:positionV>
                <wp:extent cx="285008" cy="961901"/>
                <wp:effectExtent l="0" t="0" r="20320" b="10160"/>
                <wp:wrapNone/>
                <wp:docPr id="9" name="Ová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008" cy="961901"/>
                        </a:xfrm>
                        <a:prstGeom prst="ellipse">
                          <a:avLst/>
                        </a:prstGeom>
                        <a:noFill/>
                        <a:ln w="19050" algn="ctr">
                          <a:solidFill>
                            <a:srgbClr val="FF0000"/>
                          </a:solidFill>
                          <a:round/>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82670C1" id="Ovál 9" o:spid="_x0000_s1026" style="position:absolute;margin-left:310.2pt;margin-top:101.85pt;width:22.45pt;height:7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" filled="f" fillcolor="black" strokecolor="red" strokeweight="1.5pt"/>
            </w:pict>
          </mc:Fallback>
        </mc:AlternateContent>
      </w:r>
      <w:r w:rsidRPr="00BB3100">
        <w:rPr>
          <w:rFonts w:ascii="Times New Roman" w:hAnsi="Times New Roman" w:cs="Times New Roman"/>
          <w:noProof/>
          <w:lang w:eastAsia="sk-SK"/>
        </w:rPr>
        <w:t xml:space="preserve"> </w:t>
      </w:r>
      <w:r w:rsidR="00E25557">
        <w:rPr>
          <w:rFonts w:ascii="Times New Roman" w:hAnsi="Times New Roman" w:cs="Times New Roman"/>
        </w:rPr>
        <w:t xml:space="preserve">Graf č. 1: </w:t>
      </w:r>
      <w:r w:rsidR="00E25557" w:rsidRPr="00856490">
        <w:rPr>
          <w:rFonts w:ascii="Times New Roman" w:hAnsi="Times New Roman" w:cs="Times New Roman"/>
        </w:rPr>
        <w:t>Porovnanie energetickej náročnosti SR a krajín EÚ</w:t>
      </w:r>
    </w:p>
    <w:p w14:paraId="60A1D519" w14:textId="159A595F" w:rsidR="00BB3100" w:rsidRDefault="00BB3100" w:rsidP="00BB3100">
      <w:pPr>
        <w:jc w:val="both"/>
        <w:rPr>
          <w:rFonts w:ascii="Times New Roman" w:hAnsi="Times New Roman" w:cs="Times New Roman"/>
          <w:sz w:val="24"/>
          <w:szCs w:val="24"/>
        </w:rPr>
      </w:pPr>
      <w:r w:rsidRPr="009F2998">
        <w:rPr>
          <w:rFonts w:ascii="Times New Roman" w:hAnsi="Times New Roman" w:cs="Times New Roman"/>
          <w:noProof/>
          <w:lang w:eastAsia="sk-SK"/>
        </w:rPr>
        <w:drawing>
          <wp:inline distT="0" distB="0" distL="0" distR="0" wp14:anchorId="42DCF0FA" wp14:editId="71B8F513">
            <wp:extent cx="5760720" cy="2364494"/>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2364494"/>
                    </a:xfrm>
                    <a:prstGeom prst="rect">
                      <a:avLst/>
                    </a:prstGeom>
                    <a:noFill/>
                  </pic:spPr>
                </pic:pic>
              </a:graphicData>
            </a:graphic>
          </wp:inline>
        </w:drawing>
      </w:r>
    </w:p>
    <w:p w14:paraId="3B790C47" w14:textId="2C7D34FF" w:rsidR="00BB3100" w:rsidRPr="00AF5415" w:rsidRDefault="00BB3100" w:rsidP="00BB3100">
      <w:pPr>
        <w:jc w:val="both"/>
        <w:rPr>
          <w:rFonts w:ascii="Times New Roman" w:hAnsi="Times New Roman" w:cs="Times New Roman"/>
          <w:sz w:val="24"/>
          <w:szCs w:val="20"/>
        </w:rPr>
      </w:pPr>
      <w:r w:rsidRPr="00AF5415">
        <w:rPr>
          <w:rFonts w:ascii="Times New Roman" w:hAnsi="Times New Roman" w:cs="Times New Roman"/>
          <w:sz w:val="24"/>
          <w:szCs w:val="20"/>
        </w:rPr>
        <w:t>Zdroj: Eurostat (2017)</w:t>
      </w:r>
    </w:p>
    <w:p w14:paraId="0790B21B" w14:textId="7A7B83C8" w:rsidR="00EE3CD6" w:rsidRDefault="00CE2A36">
      <w:pPr>
        <w:jc w:val="both"/>
        <w:rPr>
          <w:rFonts w:ascii="Times New Roman" w:hAnsi="Times New Roman" w:cs="Times New Roman"/>
          <w:sz w:val="24"/>
          <w:szCs w:val="24"/>
        </w:rPr>
      </w:pPr>
      <w:r w:rsidRPr="00CE2A36">
        <w:rPr>
          <w:rFonts w:ascii="Times New Roman" w:hAnsi="Times New Roman" w:cs="Times New Roman"/>
          <w:sz w:val="24"/>
          <w:szCs w:val="24"/>
        </w:rPr>
        <w:t xml:space="preserve">Slovenská republika transponovala celý </w:t>
      </w:r>
      <w:r w:rsidR="00EE3CD6">
        <w:rPr>
          <w:rFonts w:ascii="Times New Roman" w:hAnsi="Times New Roman" w:cs="Times New Roman"/>
          <w:sz w:val="24"/>
          <w:szCs w:val="24"/>
        </w:rPr>
        <w:t xml:space="preserve">strategický a </w:t>
      </w:r>
      <w:r w:rsidRPr="00CE2A36">
        <w:rPr>
          <w:rFonts w:ascii="Times New Roman" w:hAnsi="Times New Roman" w:cs="Times New Roman"/>
          <w:sz w:val="24"/>
          <w:szCs w:val="24"/>
        </w:rPr>
        <w:t>legislatívny rámec Európskej únie v ob</w:t>
      </w:r>
      <w:r>
        <w:rPr>
          <w:rFonts w:ascii="Times New Roman" w:hAnsi="Times New Roman" w:cs="Times New Roman"/>
          <w:sz w:val="24"/>
          <w:szCs w:val="24"/>
        </w:rPr>
        <w:t>lasti energetickej efektívnosti do národného strategického a legislatívneho rámca</w:t>
      </w:r>
      <w:r w:rsidR="00EE3CD6">
        <w:rPr>
          <w:rFonts w:ascii="Times New Roman" w:hAnsi="Times New Roman" w:cs="Times New Roman"/>
          <w:sz w:val="24"/>
          <w:szCs w:val="24"/>
        </w:rPr>
        <w:t>.</w:t>
      </w:r>
      <w:r w:rsidRPr="00CE2A36">
        <w:rPr>
          <w:rFonts w:ascii="Times New Roman" w:hAnsi="Times New Roman" w:cs="Times New Roman"/>
          <w:sz w:val="24"/>
          <w:szCs w:val="24"/>
        </w:rPr>
        <w:t xml:space="preserve"> </w:t>
      </w:r>
      <w:r w:rsidRPr="00CE2A36">
        <w:rPr>
          <w:rFonts w:ascii="Times New Roman" w:hAnsi="Times New Roman" w:cs="Times New Roman"/>
          <w:sz w:val="24"/>
          <w:szCs w:val="24"/>
        </w:rPr>
        <w:lastRenderedPageBreak/>
        <w:t>Základnými implementačnými nástrojmi pre oblasť energetickej efektívnosti sú akčné plány energetickej efektívnosti</w:t>
      </w:r>
      <w:r w:rsidR="00EE3CD6">
        <w:rPr>
          <w:rFonts w:ascii="Times New Roman" w:hAnsi="Times New Roman" w:cs="Times New Roman"/>
          <w:sz w:val="24"/>
          <w:szCs w:val="24"/>
        </w:rPr>
        <w:t>, ktoré vyhodnocujú opatrenia energetickej efektívnosti, ako aj nastavujú nové opatrenia na plnenie cieľov úspor energie. SR m</w:t>
      </w:r>
      <w:r w:rsidR="00EE72FA">
        <w:rPr>
          <w:rFonts w:ascii="Times New Roman" w:hAnsi="Times New Roman" w:cs="Times New Roman"/>
          <w:sz w:val="24"/>
          <w:szCs w:val="24"/>
        </w:rPr>
        <w:t>á</w:t>
      </w:r>
      <w:r w:rsidR="00EE3CD6">
        <w:rPr>
          <w:rFonts w:ascii="Times New Roman" w:hAnsi="Times New Roman" w:cs="Times New Roman"/>
          <w:sz w:val="24"/>
          <w:szCs w:val="24"/>
        </w:rPr>
        <w:t xml:space="preserve"> vybudovaný systematizovaný mechanizmus riadenia, plánovania a monitorovania energetickej efektívnosti. Ministerstvo hospodárstva SR je generálnym koordinátorom agendy zameranej na úspory energie a má </w:t>
      </w:r>
      <w:r w:rsidR="00EE72FA">
        <w:rPr>
          <w:rFonts w:ascii="Times New Roman" w:hAnsi="Times New Roman" w:cs="Times New Roman"/>
          <w:sz w:val="24"/>
          <w:szCs w:val="24"/>
        </w:rPr>
        <w:t>na tento</w:t>
      </w:r>
      <w:r w:rsidR="00EE3CD6">
        <w:rPr>
          <w:rFonts w:ascii="Times New Roman" w:hAnsi="Times New Roman" w:cs="Times New Roman"/>
          <w:sz w:val="24"/>
          <w:szCs w:val="24"/>
        </w:rPr>
        <w:t xml:space="preserve"> účel zriadenú medzirezortnú pracovnú skupinu s účasťou všetkých relevantných ústredných orgánov štátnej správy. </w:t>
      </w:r>
    </w:p>
    <w:p w14:paraId="2E5F360C" w14:textId="77777777" w:rsidR="00554A46" w:rsidRPr="009F2998" w:rsidRDefault="00554A46" w:rsidP="009E267F">
      <w:pPr>
        <w:rPr>
          <w:rFonts w:ascii="Times New Roman" w:hAnsi="Times New Roman" w:cs="Times New Roman"/>
        </w:rPr>
      </w:pPr>
    </w:p>
    <w:p w14:paraId="3F83F20C" w14:textId="41077BD2" w:rsidR="0089091E" w:rsidRPr="000578FE" w:rsidRDefault="00375545" w:rsidP="00AF5415">
      <w:pPr>
        <w:pStyle w:val="Nadpis2"/>
        <w:keepNext w:val="0"/>
        <w:keepLines w:val="0"/>
        <w:numPr>
          <w:ilvl w:val="1"/>
          <w:numId w:val="30"/>
        </w:numPr>
        <w:rPr>
          <w:rFonts w:ascii="Times New Roman" w:hAnsi="Times New Roman" w:cs="Times New Roman"/>
          <w:color w:val="auto"/>
        </w:rPr>
      </w:pPr>
      <w:bookmarkStart w:id="6" w:name="_Toc480547217"/>
      <w:r w:rsidRPr="000578FE">
        <w:rPr>
          <w:rFonts w:ascii="Times New Roman" w:hAnsi="Times New Roman" w:cs="Times New Roman"/>
          <w:color w:val="auto"/>
        </w:rPr>
        <w:t xml:space="preserve">Národné ciele v oblasti energetickej efektívnosti </w:t>
      </w:r>
      <w:r w:rsidR="00521990" w:rsidRPr="000578FE">
        <w:rPr>
          <w:rFonts w:ascii="Times New Roman" w:hAnsi="Times New Roman" w:cs="Times New Roman"/>
          <w:color w:val="auto"/>
        </w:rPr>
        <w:t>a</w:t>
      </w:r>
      <w:r w:rsidR="00DC6977" w:rsidRPr="000578FE">
        <w:rPr>
          <w:rFonts w:ascii="Times New Roman" w:hAnsi="Times New Roman" w:cs="Times New Roman"/>
          <w:color w:val="auto"/>
        </w:rPr>
        <w:t> </w:t>
      </w:r>
      <w:r w:rsidR="00521990" w:rsidRPr="000578FE">
        <w:rPr>
          <w:rFonts w:ascii="Times New Roman" w:hAnsi="Times New Roman" w:cs="Times New Roman"/>
          <w:color w:val="auto"/>
        </w:rPr>
        <w:t>úspor</w:t>
      </w:r>
      <w:r w:rsidR="00DC6977" w:rsidRPr="000578FE">
        <w:rPr>
          <w:rFonts w:ascii="Times New Roman" w:hAnsi="Times New Roman" w:cs="Times New Roman"/>
          <w:color w:val="auto"/>
        </w:rPr>
        <w:t xml:space="preserve"> energie</w:t>
      </w:r>
      <w:bookmarkEnd w:id="6"/>
    </w:p>
    <w:p w14:paraId="2C27B0B7" w14:textId="23AE39B3" w:rsidR="00DC6977" w:rsidRPr="007577DE" w:rsidRDefault="00DC6977" w:rsidP="00B30BD9">
      <w:pPr>
        <w:rPr>
          <w:rFonts w:ascii="Times New Roman" w:hAnsi="Times New Roman" w:cs="Times New Roman"/>
          <w:sz w:val="24"/>
        </w:rPr>
      </w:pPr>
      <w:r w:rsidRPr="007577DE">
        <w:rPr>
          <w:rFonts w:ascii="Times New Roman" w:hAnsi="Times New Roman" w:cs="Times New Roman"/>
          <w:sz w:val="24"/>
        </w:rPr>
        <w:t xml:space="preserve">V oblasti energetickej efektívnosti boli stanovené dva typy národných cieľov: </w:t>
      </w:r>
    </w:p>
    <w:p w14:paraId="04CB1803" w14:textId="37F3FAF2" w:rsidR="00DC6977" w:rsidRDefault="00DC6977" w:rsidP="007157D7">
      <w:pPr>
        <w:pStyle w:val="Odsekzoznamu"/>
        <w:numPr>
          <w:ilvl w:val="0"/>
          <w:numId w:val="11"/>
        </w:numPr>
        <w:spacing w:before="120" w:after="0" w:line="264" w:lineRule="auto"/>
        <w:jc w:val="both"/>
        <w:rPr>
          <w:rFonts w:ascii="Times New Roman" w:hAnsi="Times New Roman" w:cs="Times New Roman"/>
          <w:b/>
          <w:sz w:val="24"/>
        </w:rPr>
      </w:pPr>
      <w:r w:rsidRPr="007577DE">
        <w:rPr>
          <w:rFonts w:ascii="Times New Roman" w:hAnsi="Times New Roman" w:cs="Times New Roman"/>
          <w:b/>
          <w:sz w:val="24"/>
        </w:rPr>
        <w:t>ciele podľa smernice 2006/32/ES o energetických službách</w:t>
      </w:r>
      <w:r w:rsidR="00F50FCB" w:rsidRPr="007577DE">
        <w:rPr>
          <w:rFonts w:ascii="Times New Roman" w:hAnsi="Times New Roman" w:cs="Times New Roman"/>
          <w:b/>
          <w:sz w:val="24"/>
        </w:rPr>
        <w:t>,</w:t>
      </w:r>
    </w:p>
    <w:p w14:paraId="32524DF6" w14:textId="19040ECD" w:rsidR="00554A46" w:rsidRPr="00856490" w:rsidRDefault="00EE3CD6" w:rsidP="0093333F">
      <w:pPr>
        <w:spacing w:before="120" w:after="0" w:line="264" w:lineRule="auto"/>
        <w:jc w:val="both"/>
        <w:rPr>
          <w:rFonts w:ascii="Times New Roman" w:hAnsi="Times New Roman" w:cs="Times New Roman"/>
          <w:sz w:val="24"/>
          <w:u w:val="single"/>
        </w:rPr>
      </w:pPr>
      <w:r>
        <w:rPr>
          <w:rFonts w:ascii="Times New Roman" w:hAnsi="Times New Roman" w:cs="Times New Roman"/>
          <w:sz w:val="24"/>
        </w:rPr>
        <w:t>Na základe</w:t>
      </w:r>
      <w:r w:rsidR="0093333F" w:rsidRPr="00856490">
        <w:rPr>
          <w:rFonts w:ascii="Times New Roman" w:hAnsi="Times New Roman" w:cs="Times New Roman"/>
          <w:sz w:val="24"/>
        </w:rPr>
        <w:t xml:space="preserve"> smernice 2006/32/ES o energetických službách boli </w:t>
      </w:r>
      <w:r>
        <w:rPr>
          <w:rFonts w:ascii="Times New Roman" w:hAnsi="Times New Roman" w:cs="Times New Roman"/>
          <w:sz w:val="24"/>
        </w:rPr>
        <w:t xml:space="preserve">ciele energetickej efektívnosti </w:t>
      </w:r>
      <w:r w:rsidR="0093333F" w:rsidRPr="00856490">
        <w:rPr>
          <w:rFonts w:ascii="Times New Roman" w:hAnsi="Times New Roman" w:cs="Times New Roman"/>
          <w:sz w:val="24"/>
        </w:rPr>
        <w:t>stanovené</w:t>
      </w:r>
      <w:r>
        <w:rPr>
          <w:rFonts w:ascii="Times New Roman" w:hAnsi="Times New Roman" w:cs="Times New Roman"/>
          <w:sz w:val="24"/>
        </w:rPr>
        <w:t xml:space="preserve"> ciele</w:t>
      </w:r>
      <w:r w:rsidR="0093333F" w:rsidRPr="00856490">
        <w:rPr>
          <w:rFonts w:ascii="Times New Roman" w:hAnsi="Times New Roman" w:cs="Times New Roman"/>
          <w:sz w:val="24"/>
        </w:rPr>
        <w:t xml:space="preserve"> v Koncepcii energetickej efektívnosti schválenej uznesením vlády SR č.</w:t>
      </w:r>
      <w:r>
        <w:rPr>
          <w:rFonts w:ascii="Times New Roman" w:hAnsi="Times New Roman" w:cs="Times New Roman"/>
          <w:sz w:val="24"/>
        </w:rPr>
        <w:t> </w:t>
      </w:r>
      <w:r w:rsidR="0093333F" w:rsidRPr="00856490">
        <w:rPr>
          <w:rFonts w:ascii="Times New Roman" w:hAnsi="Times New Roman" w:cs="Times New Roman"/>
          <w:sz w:val="24"/>
        </w:rPr>
        <w:t xml:space="preserve">576/2007 </w:t>
      </w:r>
      <w:r w:rsidR="0093333F">
        <w:rPr>
          <w:rFonts w:ascii="Times New Roman" w:hAnsi="Times New Roman" w:cs="Times New Roman"/>
          <w:sz w:val="24"/>
        </w:rPr>
        <w:t>na obdobie rokov 2007 až 2016 (9 rokov)</w:t>
      </w:r>
      <w:r w:rsidR="0093333F" w:rsidRPr="00856490">
        <w:rPr>
          <w:rFonts w:ascii="Times New Roman" w:hAnsi="Times New Roman" w:cs="Times New Roman"/>
          <w:sz w:val="24"/>
        </w:rPr>
        <w:t>.</w:t>
      </w:r>
      <w:r w:rsidR="0093333F">
        <w:rPr>
          <w:rFonts w:ascii="Times New Roman" w:hAnsi="Times New Roman" w:cs="Times New Roman"/>
          <w:sz w:val="24"/>
        </w:rPr>
        <w:t xml:space="preserve"> Ročný cieľ úspor v sledovanom  období bol stanovený vo výške 1 %  </w:t>
      </w:r>
      <w:r w:rsidR="00554A46">
        <w:rPr>
          <w:rFonts w:ascii="Times New Roman" w:hAnsi="Times New Roman" w:cs="Times New Roman"/>
          <w:sz w:val="24"/>
        </w:rPr>
        <w:t xml:space="preserve">priemernej konečnej energetickej </w:t>
      </w:r>
      <w:r w:rsidR="0093333F">
        <w:rPr>
          <w:rFonts w:ascii="Times New Roman" w:hAnsi="Times New Roman" w:cs="Times New Roman"/>
          <w:sz w:val="24"/>
        </w:rPr>
        <w:t>s</w:t>
      </w:r>
      <w:r w:rsidR="0093333F" w:rsidRPr="0093333F">
        <w:rPr>
          <w:rFonts w:ascii="Times New Roman" w:hAnsi="Times New Roman" w:cs="Times New Roman"/>
          <w:sz w:val="24"/>
        </w:rPr>
        <w:t xml:space="preserve">potreby </w:t>
      </w:r>
      <w:r w:rsidR="00554A46">
        <w:rPr>
          <w:rFonts w:ascii="Times New Roman" w:hAnsi="Times New Roman" w:cs="Times New Roman"/>
          <w:sz w:val="24"/>
        </w:rPr>
        <w:t>rokov</w:t>
      </w:r>
      <w:r w:rsidR="0093333F" w:rsidRPr="0093333F">
        <w:rPr>
          <w:rFonts w:ascii="Times New Roman" w:hAnsi="Times New Roman" w:cs="Times New Roman"/>
          <w:sz w:val="24"/>
        </w:rPr>
        <w:t xml:space="preserve"> 2001-2005</w:t>
      </w:r>
      <w:r w:rsidR="0093333F">
        <w:rPr>
          <w:rFonts w:ascii="Times New Roman" w:hAnsi="Times New Roman" w:cs="Times New Roman"/>
          <w:sz w:val="24"/>
        </w:rPr>
        <w:t xml:space="preserve"> </w:t>
      </w:r>
      <w:r w:rsidR="00554A46">
        <w:rPr>
          <w:rFonts w:ascii="Times New Roman" w:hAnsi="Times New Roman" w:cs="Times New Roman"/>
          <w:sz w:val="24"/>
        </w:rPr>
        <w:t xml:space="preserve">(3 122 TJ/rok). </w:t>
      </w:r>
      <w:r w:rsidR="00554A46" w:rsidRPr="00A34300">
        <w:rPr>
          <w:rFonts w:ascii="Times New Roman" w:hAnsi="Times New Roman" w:cs="Times New Roman"/>
          <w:sz w:val="24"/>
        </w:rPr>
        <w:t>Za 9 rokov</w:t>
      </w:r>
      <w:r w:rsidR="00A34300">
        <w:rPr>
          <w:rFonts w:ascii="Times New Roman" w:hAnsi="Times New Roman" w:cs="Times New Roman"/>
          <w:sz w:val="24"/>
        </w:rPr>
        <w:t>, t.</w:t>
      </w:r>
      <w:r w:rsidR="00637612">
        <w:rPr>
          <w:rFonts w:ascii="Times New Roman" w:hAnsi="Times New Roman" w:cs="Times New Roman"/>
          <w:sz w:val="24"/>
        </w:rPr>
        <w:t xml:space="preserve"> </w:t>
      </w:r>
      <w:r w:rsidR="00A34300">
        <w:rPr>
          <w:rFonts w:ascii="Times New Roman" w:hAnsi="Times New Roman" w:cs="Times New Roman"/>
          <w:sz w:val="24"/>
        </w:rPr>
        <w:t xml:space="preserve">j. </w:t>
      </w:r>
      <w:r w:rsidR="00A34300" w:rsidRPr="00856490">
        <w:rPr>
          <w:rFonts w:ascii="Times New Roman" w:hAnsi="Times New Roman" w:cs="Times New Roman"/>
          <w:sz w:val="24"/>
          <w:u w:val="single"/>
        </w:rPr>
        <w:t>do roku 2016</w:t>
      </w:r>
      <w:r w:rsidR="00A34300" w:rsidRPr="00A34300">
        <w:rPr>
          <w:rFonts w:ascii="Times New Roman" w:hAnsi="Times New Roman" w:cs="Times New Roman"/>
          <w:sz w:val="24"/>
          <w:u w:val="single"/>
        </w:rPr>
        <w:t xml:space="preserve"> </w:t>
      </w:r>
      <w:r w:rsidR="00554A46" w:rsidRPr="00856490">
        <w:rPr>
          <w:rFonts w:ascii="Times New Roman" w:hAnsi="Times New Roman" w:cs="Times New Roman"/>
          <w:sz w:val="24"/>
          <w:u w:val="single"/>
        </w:rPr>
        <w:t xml:space="preserve"> bolo potrebné</w:t>
      </w:r>
      <w:r w:rsidR="00A34300">
        <w:rPr>
          <w:rFonts w:ascii="Times New Roman" w:hAnsi="Times New Roman" w:cs="Times New Roman"/>
          <w:sz w:val="24"/>
          <w:u w:val="single"/>
        </w:rPr>
        <w:t xml:space="preserve"> v SR</w:t>
      </w:r>
      <w:r w:rsidR="00554A46" w:rsidRPr="00856490">
        <w:rPr>
          <w:rFonts w:ascii="Times New Roman" w:hAnsi="Times New Roman" w:cs="Times New Roman"/>
          <w:sz w:val="24"/>
          <w:u w:val="single"/>
        </w:rPr>
        <w:t xml:space="preserve"> dosiahnuť úspory vo výške 9 % priemernej konečnej energetickej spotreby rokov 2001-2005 (28 098 TJ).</w:t>
      </w:r>
    </w:p>
    <w:p w14:paraId="0D497BBA" w14:textId="77777777" w:rsidR="00736531" w:rsidRDefault="0093333F" w:rsidP="00856490">
      <w:pPr>
        <w:spacing w:before="120" w:after="0" w:line="264" w:lineRule="auto"/>
        <w:jc w:val="both"/>
        <w:rPr>
          <w:rFonts w:ascii="Times New Roman" w:hAnsi="Times New Roman" w:cs="Times New Roman"/>
          <w:sz w:val="24"/>
        </w:rPr>
      </w:pPr>
      <w:r w:rsidRPr="00856490">
        <w:rPr>
          <w:rFonts w:ascii="Times New Roman" w:hAnsi="Times New Roman" w:cs="Times New Roman"/>
          <w:sz w:val="24"/>
        </w:rPr>
        <w:t>Tieto ciele boli upravené o podiel spotreby energie spoločností, ktoré sa podieľajú na obchodovaní s emisnými kvótami skleníkových plynov podľa smernice 2003/87/ES a zverejnené v Akčnom pláne energetickej efektívnosti na roky 2014-2016 s výhľadom do roku 2020.  Tieto ciele sú podľa čl. 27 smernice 2012/27/EÚ platné do 01.01.2017 a vyhodnocujú sa v rámci tohto akčného plánu.</w:t>
      </w:r>
      <w:r w:rsidR="00736531">
        <w:rPr>
          <w:rFonts w:ascii="Times New Roman" w:hAnsi="Times New Roman" w:cs="Times New Roman"/>
          <w:sz w:val="24"/>
        </w:rPr>
        <w:t xml:space="preserve"> </w:t>
      </w:r>
    </w:p>
    <w:p w14:paraId="1110C1C9" w14:textId="1A34009E" w:rsidR="0093333F" w:rsidRDefault="00736531" w:rsidP="00856490">
      <w:pPr>
        <w:spacing w:before="120" w:after="0" w:line="264" w:lineRule="auto"/>
        <w:jc w:val="both"/>
        <w:rPr>
          <w:rFonts w:ascii="Times New Roman" w:hAnsi="Times New Roman" w:cs="Times New Roman"/>
          <w:sz w:val="24"/>
        </w:rPr>
      </w:pPr>
      <w:r>
        <w:rPr>
          <w:rFonts w:ascii="Times New Roman" w:hAnsi="Times New Roman" w:cs="Times New Roman"/>
          <w:sz w:val="24"/>
        </w:rPr>
        <w:t xml:space="preserve">Vyhodnotenie plnenia cieľa podľa smernice 2006/32/ES je možné v rámci tohto </w:t>
      </w:r>
      <w:r w:rsidR="00256E3A">
        <w:rPr>
          <w:rFonts w:ascii="Times New Roman" w:hAnsi="Times New Roman" w:cs="Times New Roman"/>
          <w:sz w:val="24"/>
        </w:rPr>
        <w:t xml:space="preserve">akčného plánu </w:t>
      </w:r>
      <w:r>
        <w:rPr>
          <w:rFonts w:ascii="Times New Roman" w:hAnsi="Times New Roman" w:cs="Times New Roman"/>
          <w:sz w:val="24"/>
        </w:rPr>
        <w:t xml:space="preserve">vyhodnotiť takmer v plnom rozsahu, nakoľko vyhodnocovacie obdobie sa končí rokom 2016. Finálna korekcia bude vykonaná v priebehu roku 2017, kedy budú k dispozícii všetky potrebné údaje za rok 2016. </w:t>
      </w:r>
    </w:p>
    <w:p w14:paraId="137B6C11" w14:textId="77777777" w:rsidR="00A34300" w:rsidRDefault="00A34300" w:rsidP="00856490">
      <w:pPr>
        <w:spacing w:before="120" w:after="0" w:line="264" w:lineRule="auto"/>
        <w:jc w:val="both"/>
        <w:rPr>
          <w:rFonts w:ascii="Times New Roman" w:hAnsi="Times New Roman" w:cs="Times New Roman"/>
          <w:sz w:val="24"/>
        </w:rPr>
      </w:pPr>
    </w:p>
    <w:p w14:paraId="7EDAE0FF" w14:textId="25EEF97F" w:rsidR="00DC6977" w:rsidRPr="007577DE" w:rsidRDefault="00D20D75" w:rsidP="007157D7">
      <w:pPr>
        <w:pStyle w:val="Odsekzoznamu"/>
        <w:numPr>
          <w:ilvl w:val="0"/>
          <w:numId w:val="11"/>
        </w:numPr>
        <w:spacing w:before="120" w:after="0" w:line="264" w:lineRule="auto"/>
        <w:jc w:val="both"/>
        <w:rPr>
          <w:rFonts w:ascii="Times New Roman" w:hAnsi="Times New Roman" w:cs="Times New Roman"/>
          <w:b/>
          <w:sz w:val="24"/>
        </w:rPr>
      </w:pPr>
      <w:r w:rsidRPr="007577DE">
        <w:rPr>
          <w:rFonts w:ascii="Times New Roman" w:hAnsi="Times New Roman" w:cs="Times New Roman"/>
          <w:b/>
          <w:sz w:val="24"/>
        </w:rPr>
        <w:t>ciele podľa smernice 2012/27/EÚ o energetickej efektívnosti</w:t>
      </w:r>
      <w:r w:rsidR="00F50FCB" w:rsidRPr="007577DE">
        <w:rPr>
          <w:rFonts w:ascii="Times New Roman" w:hAnsi="Times New Roman" w:cs="Times New Roman"/>
          <w:b/>
          <w:sz w:val="24"/>
        </w:rPr>
        <w:t>.</w:t>
      </w:r>
    </w:p>
    <w:p w14:paraId="730D0DF4" w14:textId="77FDC35C" w:rsidR="006C62E5" w:rsidRPr="007577DE" w:rsidRDefault="006C62E5" w:rsidP="006C62E5">
      <w:pPr>
        <w:jc w:val="both"/>
        <w:rPr>
          <w:rFonts w:ascii="Times New Roman" w:hAnsi="Times New Roman" w:cs="Times New Roman"/>
          <w:sz w:val="24"/>
        </w:rPr>
      </w:pPr>
      <w:r w:rsidRPr="007577DE">
        <w:rPr>
          <w:rFonts w:ascii="Times New Roman" w:hAnsi="Times New Roman" w:cs="Times New Roman"/>
          <w:sz w:val="24"/>
        </w:rPr>
        <w:t xml:space="preserve">Na základe smernice 2012/27/EÚ o energetickej efektívnosti boli stanovené nasledujúce ciele v oblasti úspor energie: </w:t>
      </w:r>
    </w:p>
    <w:p w14:paraId="012DB82B" w14:textId="16739BCA" w:rsidR="006C62E5" w:rsidRPr="007577DE" w:rsidRDefault="006C62E5" w:rsidP="007157D7">
      <w:pPr>
        <w:pStyle w:val="Odsekzoznamu"/>
        <w:numPr>
          <w:ilvl w:val="0"/>
          <w:numId w:val="12"/>
        </w:numPr>
        <w:spacing w:before="120" w:after="0" w:line="264" w:lineRule="auto"/>
        <w:ind w:hanging="217"/>
        <w:jc w:val="both"/>
        <w:rPr>
          <w:rFonts w:ascii="Times New Roman" w:hAnsi="Times New Roman" w:cs="Times New Roman"/>
          <w:sz w:val="24"/>
        </w:rPr>
      </w:pPr>
      <w:r w:rsidRPr="007577DE">
        <w:rPr>
          <w:rFonts w:ascii="Times New Roman" w:hAnsi="Times New Roman" w:cs="Times New Roman"/>
          <w:b/>
          <w:sz w:val="24"/>
        </w:rPr>
        <w:t>národný indikatívny cieľ energetickej efektívnosti</w:t>
      </w:r>
      <w:r w:rsidRPr="007577DE">
        <w:rPr>
          <w:rFonts w:ascii="Times New Roman" w:hAnsi="Times New Roman" w:cs="Times New Roman"/>
          <w:sz w:val="24"/>
        </w:rPr>
        <w:t xml:space="preserve"> </w:t>
      </w:r>
      <w:r w:rsidR="00A34300">
        <w:rPr>
          <w:rFonts w:ascii="Times New Roman" w:hAnsi="Times New Roman" w:cs="Times New Roman"/>
          <w:sz w:val="24"/>
        </w:rPr>
        <w:t>–</w:t>
      </w:r>
      <w:r w:rsidRPr="007577DE">
        <w:rPr>
          <w:rFonts w:ascii="Times New Roman" w:hAnsi="Times New Roman" w:cs="Times New Roman"/>
          <w:sz w:val="24"/>
        </w:rPr>
        <w:t xml:space="preserve"> </w:t>
      </w:r>
      <w:r w:rsidR="00A34300">
        <w:rPr>
          <w:rFonts w:ascii="Times New Roman" w:hAnsi="Times New Roman" w:cs="Times New Roman"/>
          <w:sz w:val="24"/>
        </w:rPr>
        <w:t xml:space="preserve">vzťahuje sa na obdobie do roku 2020 a je </w:t>
      </w:r>
      <w:r w:rsidRPr="007577DE">
        <w:rPr>
          <w:rFonts w:ascii="Times New Roman" w:hAnsi="Times New Roman" w:cs="Times New Roman"/>
          <w:sz w:val="24"/>
        </w:rPr>
        <w:t xml:space="preserve">vyjadrený vo forme </w:t>
      </w:r>
      <w:r w:rsidRPr="00856490">
        <w:rPr>
          <w:rFonts w:ascii="Times New Roman" w:hAnsi="Times New Roman" w:cs="Times New Roman"/>
          <w:sz w:val="24"/>
          <w:u w:val="single"/>
        </w:rPr>
        <w:t>absolútnej hodnoty primárnej energetickej spotreby</w:t>
      </w:r>
      <w:r w:rsidR="00A34300" w:rsidRPr="00856490">
        <w:rPr>
          <w:rFonts w:ascii="Times New Roman" w:hAnsi="Times New Roman" w:cs="Times New Roman"/>
          <w:sz w:val="24"/>
          <w:u w:val="single"/>
        </w:rPr>
        <w:t xml:space="preserve"> v roku 2020</w:t>
      </w:r>
      <w:r w:rsidR="00A34300">
        <w:rPr>
          <w:rFonts w:ascii="Times New Roman" w:hAnsi="Times New Roman" w:cs="Times New Roman"/>
          <w:sz w:val="24"/>
        </w:rPr>
        <w:t xml:space="preserve"> </w:t>
      </w:r>
      <w:r w:rsidR="00A34300" w:rsidRPr="00A34300">
        <w:rPr>
          <w:rFonts w:ascii="Times New Roman" w:hAnsi="Times New Roman" w:cs="Times New Roman"/>
          <w:sz w:val="24"/>
        </w:rPr>
        <w:t xml:space="preserve">v porovnaní s referenčným scenárom PRIMES 2007 </w:t>
      </w:r>
      <w:r w:rsidR="00EE3CD6">
        <w:rPr>
          <w:rFonts w:ascii="Times New Roman" w:hAnsi="Times New Roman" w:cs="Times New Roman"/>
          <w:sz w:val="24"/>
        </w:rPr>
        <w:t>(</w:t>
      </w:r>
      <w:r w:rsidR="00A34300" w:rsidRPr="00856490">
        <w:rPr>
          <w:rFonts w:ascii="Times New Roman" w:hAnsi="Times New Roman" w:cs="Times New Roman"/>
          <w:sz w:val="24"/>
          <w:u w:val="single"/>
        </w:rPr>
        <w:t>20</w:t>
      </w:r>
      <w:r w:rsidR="00EE3CD6" w:rsidRPr="00856490">
        <w:rPr>
          <w:rFonts w:ascii="Times New Roman" w:hAnsi="Times New Roman" w:cs="Times New Roman"/>
          <w:sz w:val="24"/>
          <w:u w:val="single"/>
        </w:rPr>
        <w:t xml:space="preserve"> %</w:t>
      </w:r>
      <w:r w:rsidR="00A34300" w:rsidRPr="00856490">
        <w:rPr>
          <w:rFonts w:ascii="Times New Roman" w:hAnsi="Times New Roman" w:cs="Times New Roman"/>
          <w:sz w:val="24"/>
          <w:u w:val="single"/>
        </w:rPr>
        <w:t xml:space="preserve"> -</w:t>
      </w:r>
      <w:r w:rsidR="00EE3CD6" w:rsidRPr="00856490">
        <w:rPr>
          <w:rFonts w:ascii="Times New Roman" w:hAnsi="Times New Roman" w:cs="Times New Roman"/>
          <w:sz w:val="24"/>
          <w:u w:val="single"/>
        </w:rPr>
        <w:t xml:space="preserve"> </w:t>
      </w:r>
      <w:r w:rsidR="00A34300" w:rsidRPr="00856490">
        <w:rPr>
          <w:rFonts w:ascii="Times New Roman" w:hAnsi="Times New Roman" w:cs="Times New Roman"/>
          <w:sz w:val="24"/>
          <w:u w:val="single"/>
        </w:rPr>
        <w:t>686 PJ</w:t>
      </w:r>
      <w:r w:rsidR="00EE3CD6">
        <w:rPr>
          <w:rFonts w:ascii="Times New Roman" w:hAnsi="Times New Roman" w:cs="Times New Roman"/>
          <w:sz w:val="24"/>
        </w:rPr>
        <w:t>)</w:t>
      </w:r>
      <w:r w:rsidRPr="007577DE">
        <w:rPr>
          <w:rFonts w:ascii="Times New Roman" w:hAnsi="Times New Roman" w:cs="Times New Roman"/>
          <w:sz w:val="24"/>
        </w:rPr>
        <w:t xml:space="preserve"> a </w:t>
      </w:r>
      <w:r w:rsidRPr="00856490">
        <w:rPr>
          <w:rFonts w:ascii="Times New Roman" w:hAnsi="Times New Roman" w:cs="Times New Roman"/>
          <w:sz w:val="24"/>
          <w:u w:val="single"/>
        </w:rPr>
        <w:t>absolútnej hodnoty konečnej energetickej spotreby</w:t>
      </w:r>
      <w:r w:rsidR="00A34300" w:rsidRPr="00856490">
        <w:rPr>
          <w:rFonts w:ascii="Times New Roman" w:hAnsi="Times New Roman" w:cs="Times New Roman"/>
          <w:sz w:val="24"/>
          <w:u w:val="single"/>
        </w:rPr>
        <w:t xml:space="preserve"> v roku 2020</w:t>
      </w:r>
      <w:r w:rsidR="00A34300" w:rsidRPr="00A34300">
        <w:rPr>
          <w:rFonts w:ascii="Times New Roman" w:hAnsi="Times New Roman" w:cs="Times New Roman"/>
          <w:sz w:val="24"/>
        </w:rPr>
        <w:t xml:space="preserve"> v porovnaní s referenčným scenárom PRIMES 2007</w:t>
      </w:r>
      <w:r w:rsidR="00EE3CD6">
        <w:rPr>
          <w:rFonts w:ascii="Times New Roman" w:hAnsi="Times New Roman" w:cs="Times New Roman"/>
          <w:sz w:val="24"/>
        </w:rPr>
        <w:t xml:space="preserve"> (</w:t>
      </w:r>
      <w:r w:rsidR="00A34300" w:rsidRPr="00856490">
        <w:rPr>
          <w:rFonts w:ascii="Times New Roman" w:hAnsi="Times New Roman" w:cs="Times New Roman"/>
          <w:sz w:val="24"/>
          <w:u w:val="single"/>
        </w:rPr>
        <w:t xml:space="preserve">31 % - </w:t>
      </w:r>
      <w:r w:rsidR="00EE3CD6" w:rsidRPr="00856490">
        <w:rPr>
          <w:rFonts w:ascii="Times New Roman" w:hAnsi="Times New Roman" w:cs="Times New Roman"/>
          <w:sz w:val="24"/>
          <w:u w:val="single"/>
        </w:rPr>
        <w:t>387</w:t>
      </w:r>
      <w:r w:rsidRPr="00856490">
        <w:rPr>
          <w:rFonts w:ascii="Times New Roman" w:hAnsi="Times New Roman" w:cs="Times New Roman"/>
          <w:sz w:val="24"/>
          <w:u w:val="single"/>
        </w:rPr>
        <w:t xml:space="preserve"> </w:t>
      </w:r>
      <w:r w:rsidR="00A34300" w:rsidRPr="00856490">
        <w:rPr>
          <w:rFonts w:ascii="Times New Roman" w:hAnsi="Times New Roman" w:cs="Times New Roman"/>
          <w:sz w:val="24"/>
          <w:u w:val="single"/>
        </w:rPr>
        <w:t>PJ</w:t>
      </w:r>
      <w:r w:rsidR="00A34300">
        <w:rPr>
          <w:rFonts w:ascii="Times New Roman" w:hAnsi="Times New Roman" w:cs="Times New Roman"/>
          <w:sz w:val="24"/>
        </w:rPr>
        <w:t xml:space="preserve">) </w:t>
      </w:r>
      <w:r w:rsidRPr="007577DE">
        <w:rPr>
          <w:rFonts w:ascii="Times New Roman" w:hAnsi="Times New Roman" w:cs="Times New Roman"/>
          <w:sz w:val="24"/>
        </w:rPr>
        <w:t>podľa čl. 3 smernice</w:t>
      </w:r>
      <w:r w:rsidR="00F50FCB" w:rsidRPr="007577DE">
        <w:rPr>
          <w:rFonts w:ascii="Times New Roman" w:hAnsi="Times New Roman" w:cs="Times New Roman"/>
          <w:sz w:val="24"/>
        </w:rPr>
        <w:t xml:space="preserve"> – pozri </w:t>
      </w:r>
      <w:r w:rsidR="00B15B1E" w:rsidRPr="007577DE">
        <w:rPr>
          <w:rFonts w:ascii="Times New Roman" w:hAnsi="Times New Roman" w:cs="Times New Roman"/>
          <w:sz w:val="24"/>
        </w:rPr>
        <w:t>časť 1.</w:t>
      </w:r>
      <w:r w:rsidR="00940967">
        <w:rPr>
          <w:rFonts w:ascii="Times New Roman" w:hAnsi="Times New Roman" w:cs="Times New Roman"/>
          <w:sz w:val="24"/>
        </w:rPr>
        <w:t>3.</w:t>
      </w:r>
      <w:r w:rsidR="00EE3CD6">
        <w:rPr>
          <w:rFonts w:ascii="Times New Roman" w:hAnsi="Times New Roman" w:cs="Times New Roman"/>
          <w:sz w:val="24"/>
        </w:rPr>
        <w:t>2</w:t>
      </w:r>
      <w:r w:rsidR="00B15B1E" w:rsidRPr="007577DE">
        <w:rPr>
          <w:rFonts w:ascii="Times New Roman" w:hAnsi="Times New Roman" w:cs="Times New Roman"/>
          <w:sz w:val="24"/>
        </w:rPr>
        <w:t>.1</w:t>
      </w:r>
      <w:r w:rsidR="00A34300">
        <w:rPr>
          <w:rFonts w:ascii="Times New Roman" w:hAnsi="Times New Roman" w:cs="Times New Roman"/>
          <w:sz w:val="24"/>
        </w:rPr>
        <w:t>,</w:t>
      </w:r>
    </w:p>
    <w:p w14:paraId="51FF0976" w14:textId="7F79D4D7" w:rsidR="006C62E5" w:rsidRPr="007577DE" w:rsidRDefault="006C62E5" w:rsidP="007157D7">
      <w:pPr>
        <w:pStyle w:val="Odsekzoznamu"/>
        <w:numPr>
          <w:ilvl w:val="0"/>
          <w:numId w:val="12"/>
        </w:numPr>
        <w:spacing w:before="120" w:after="0" w:line="264" w:lineRule="auto"/>
        <w:ind w:hanging="217"/>
        <w:jc w:val="both"/>
        <w:rPr>
          <w:rFonts w:ascii="Times New Roman" w:hAnsi="Times New Roman" w:cs="Times New Roman"/>
          <w:sz w:val="24"/>
        </w:rPr>
      </w:pPr>
      <w:r w:rsidRPr="007577DE">
        <w:rPr>
          <w:rFonts w:ascii="Times New Roman" w:hAnsi="Times New Roman" w:cs="Times New Roman"/>
          <w:b/>
          <w:sz w:val="24"/>
        </w:rPr>
        <w:t>cieľ úspor energie budov</w:t>
      </w:r>
      <w:r w:rsidRPr="007577DE">
        <w:rPr>
          <w:rFonts w:ascii="Times New Roman" w:hAnsi="Times New Roman" w:cs="Times New Roman"/>
          <w:sz w:val="24"/>
        </w:rPr>
        <w:t xml:space="preserve"> - zodpovedá každoročnej obnove vo výške 3 % z celkovej podlahovej plochy budov vlastnených a využívaných ÚOŠS</w:t>
      </w:r>
      <w:r w:rsidR="008D1A3A" w:rsidRPr="007577DE">
        <w:rPr>
          <w:rFonts w:ascii="Times New Roman" w:hAnsi="Times New Roman" w:cs="Times New Roman"/>
          <w:sz w:val="24"/>
        </w:rPr>
        <w:t xml:space="preserve"> aspoň</w:t>
      </w:r>
      <w:r w:rsidRPr="007577DE">
        <w:rPr>
          <w:rFonts w:ascii="Times New Roman" w:hAnsi="Times New Roman" w:cs="Times New Roman"/>
          <w:sz w:val="24"/>
        </w:rPr>
        <w:t xml:space="preserve"> na minimálne požiadavky energetickej hospodárnosti budov</w:t>
      </w:r>
      <w:r w:rsidR="00960F09">
        <w:rPr>
          <w:rFonts w:ascii="Times New Roman" w:hAnsi="Times New Roman" w:cs="Times New Roman"/>
          <w:sz w:val="24"/>
        </w:rPr>
        <w:t xml:space="preserve">. </w:t>
      </w:r>
      <w:r w:rsidR="00960F09" w:rsidRPr="000578FE">
        <w:rPr>
          <w:rFonts w:ascii="Times New Roman" w:hAnsi="Times New Roman" w:cs="Times New Roman"/>
          <w:sz w:val="24"/>
        </w:rPr>
        <w:t xml:space="preserve">SR bude plniť </w:t>
      </w:r>
      <w:r w:rsidR="00EE72FA" w:rsidRPr="000578FE">
        <w:rPr>
          <w:rFonts w:ascii="Times New Roman" w:hAnsi="Times New Roman" w:cs="Times New Roman"/>
          <w:sz w:val="24"/>
        </w:rPr>
        <w:t xml:space="preserve">cieľ </w:t>
      </w:r>
      <w:r w:rsidR="00960F09" w:rsidRPr="000578FE">
        <w:rPr>
          <w:rFonts w:ascii="Times New Roman" w:hAnsi="Times New Roman" w:cs="Times New Roman"/>
          <w:sz w:val="24"/>
        </w:rPr>
        <w:t xml:space="preserve">alternatívnym prístupom </w:t>
      </w:r>
      <w:r w:rsidR="00EE72FA" w:rsidRPr="000578FE">
        <w:rPr>
          <w:rFonts w:ascii="Times New Roman" w:hAnsi="Times New Roman" w:cs="Times New Roman"/>
          <w:sz w:val="24"/>
        </w:rPr>
        <w:t xml:space="preserve">zohľadnením </w:t>
      </w:r>
      <w:r w:rsidR="00960F09" w:rsidRPr="000578FE">
        <w:rPr>
          <w:rFonts w:ascii="Times New Roman" w:hAnsi="Times New Roman" w:cs="Times New Roman"/>
          <w:sz w:val="24"/>
        </w:rPr>
        <w:t>všetkých verejných budov</w:t>
      </w:r>
      <w:r w:rsidRPr="00EE72FA">
        <w:rPr>
          <w:rFonts w:ascii="Times New Roman" w:hAnsi="Times New Roman" w:cs="Times New Roman"/>
          <w:sz w:val="24"/>
        </w:rPr>
        <w:t xml:space="preserve"> </w:t>
      </w:r>
      <w:r w:rsidR="00736531" w:rsidRPr="00EE72FA">
        <w:rPr>
          <w:rFonts w:ascii="Times New Roman" w:hAnsi="Times New Roman" w:cs="Times New Roman"/>
          <w:sz w:val="24"/>
        </w:rPr>
        <w:t xml:space="preserve">a  hodnota </w:t>
      </w:r>
      <w:r w:rsidR="00960F09" w:rsidRPr="00EE72FA">
        <w:rPr>
          <w:rFonts w:ascii="Times New Roman" w:hAnsi="Times New Roman" w:cs="Times New Roman"/>
          <w:sz w:val="24"/>
        </w:rPr>
        <w:t>cieľa</w:t>
      </w:r>
      <w:r w:rsidR="00960F09">
        <w:rPr>
          <w:rFonts w:ascii="Times New Roman" w:hAnsi="Times New Roman" w:cs="Times New Roman"/>
          <w:sz w:val="24"/>
        </w:rPr>
        <w:t xml:space="preserve"> </w:t>
      </w:r>
      <w:r w:rsidR="00736531">
        <w:rPr>
          <w:rFonts w:ascii="Times New Roman" w:hAnsi="Times New Roman" w:cs="Times New Roman"/>
          <w:sz w:val="24"/>
        </w:rPr>
        <w:t xml:space="preserve">v SR </w:t>
      </w:r>
      <w:r w:rsidR="00960F09">
        <w:rPr>
          <w:rFonts w:ascii="Times New Roman" w:hAnsi="Times New Roman" w:cs="Times New Roman"/>
          <w:sz w:val="24"/>
        </w:rPr>
        <w:t>bola stanovená vo výške</w:t>
      </w:r>
      <w:r w:rsidR="00736531">
        <w:rPr>
          <w:rFonts w:ascii="Times New Roman" w:hAnsi="Times New Roman" w:cs="Times New Roman"/>
          <w:sz w:val="24"/>
        </w:rPr>
        <w:t xml:space="preserve"> </w:t>
      </w:r>
      <w:r w:rsidR="00736531" w:rsidRPr="00736531">
        <w:rPr>
          <w:rFonts w:ascii="Times New Roman" w:hAnsi="Times New Roman" w:cs="Times New Roman"/>
          <w:sz w:val="24"/>
        </w:rPr>
        <w:t>52,17 GWh/rok, t.</w:t>
      </w:r>
      <w:r w:rsidR="00960F09">
        <w:rPr>
          <w:rFonts w:ascii="Times New Roman" w:hAnsi="Times New Roman" w:cs="Times New Roman"/>
          <w:sz w:val="24"/>
        </w:rPr>
        <w:t xml:space="preserve"> </w:t>
      </w:r>
      <w:r w:rsidR="00736531" w:rsidRPr="00736531">
        <w:rPr>
          <w:rFonts w:ascii="Times New Roman" w:hAnsi="Times New Roman" w:cs="Times New Roman"/>
          <w:sz w:val="24"/>
        </w:rPr>
        <w:t>j,</w:t>
      </w:r>
      <w:r w:rsidR="00736531" w:rsidRPr="00856490">
        <w:rPr>
          <w:rFonts w:ascii="Times New Roman" w:hAnsi="Times New Roman" w:cs="Times New Roman"/>
          <w:sz w:val="24"/>
          <w:u w:val="single"/>
        </w:rPr>
        <w:t xml:space="preserve"> do roku 2020 365,19 GWh</w:t>
      </w:r>
      <w:r w:rsidR="00736531">
        <w:rPr>
          <w:rFonts w:ascii="Times New Roman" w:hAnsi="Times New Roman" w:cs="Times New Roman"/>
          <w:sz w:val="24"/>
        </w:rPr>
        <w:t xml:space="preserve"> </w:t>
      </w:r>
      <w:r w:rsidRPr="007577DE">
        <w:rPr>
          <w:rFonts w:ascii="Times New Roman" w:hAnsi="Times New Roman" w:cs="Times New Roman"/>
          <w:sz w:val="24"/>
        </w:rPr>
        <w:t>(podľa čl. 5 smernice</w:t>
      </w:r>
      <w:r w:rsidR="007E2DDF" w:rsidRPr="007577DE">
        <w:rPr>
          <w:rFonts w:ascii="Times New Roman" w:hAnsi="Times New Roman" w:cs="Times New Roman"/>
          <w:sz w:val="24"/>
        </w:rPr>
        <w:t xml:space="preserve"> – pozri </w:t>
      </w:r>
      <w:r w:rsidR="00B15B1E" w:rsidRPr="007577DE">
        <w:rPr>
          <w:rFonts w:ascii="Times New Roman" w:hAnsi="Times New Roman" w:cs="Times New Roman"/>
          <w:sz w:val="24"/>
        </w:rPr>
        <w:t xml:space="preserve">časť </w:t>
      </w:r>
      <w:r w:rsidR="00F46A88" w:rsidRPr="007577DE">
        <w:rPr>
          <w:rFonts w:ascii="Times New Roman" w:hAnsi="Times New Roman" w:cs="Times New Roman"/>
          <w:sz w:val="24"/>
        </w:rPr>
        <w:t>1.</w:t>
      </w:r>
      <w:r w:rsidR="00940967">
        <w:rPr>
          <w:rFonts w:ascii="Times New Roman" w:hAnsi="Times New Roman" w:cs="Times New Roman"/>
          <w:sz w:val="24"/>
        </w:rPr>
        <w:t>3.</w:t>
      </w:r>
      <w:r w:rsidR="00F46A88" w:rsidRPr="007577DE">
        <w:rPr>
          <w:rFonts w:ascii="Times New Roman" w:hAnsi="Times New Roman" w:cs="Times New Roman"/>
          <w:sz w:val="24"/>
        </w:rPr>
        <w:t>2.2</w:t>
      </w:r>
      <w:r w:rsidR="00B15B1E" w:rsidRPr="007577DE">
        <w:rPr>
          <w:rFonts w:ascii="Times New Roman" w:hAnsi="Times New Roman" w:cs="Times New Roman"/>
          <w:sz w:val="24"/>
        </w:rPr>
        <w:t>)</w:t>
      </w:r>
      <w:r w:rsidRPr="007577DE">
        <w:rPr>
          <w:rFonts w:ascii="Times New Roman" w:hAnsi="Times New Roman" w:cs="Times New Roman"/>
          <w:sz w:val="24"/>
        </w:rPr>
        <w:t>,</w:t>
      </w:r>
    </w:p>
    <w:p w14:paraId="401AC46B" w14:textId="0DDC0299" w:rsidR="006C62E5" w:rsidRDefault="006C62E5" w:rsidP="007157D7">
      <w:pPr>
        <w:pStyle w:val="Odsekzoznamu"/>
        <w:numPr>
          <w:ilvl w:val="0"/>
          <w:numId w:val="12"/>
        </w:numPr>
        <w:spacing w:before="120" w:after="0" w:line="264" w:lineRule="auto"/>
        <w:ind w:hanging="217"/>
        <w:jc w:val="both"/>
        <w:rPr>
          <w:rFonts w:ascii="Times New Roman" w:hAnsi="Times New Roman" w:cs="Times New Roman"/>
          <w:sz w:val="24"/>
        </w:rPr>
      </w:pPr>
      <w:r w:rsidRPr="007577DE">
        <w:rPr>
          <w:rFonts w:ascii="Times New Roman" w:hAnsi="Times New Roman" w:cs="Times New Roman"/>
          <w:b/>
          <w:sz w:val="24"/>
        </w:rPr>
        <w:lastRenderedPageBreak/>
        <w:t>cieľ úspor energie u konečného spotrebiteľa</w:t>
      </w:r>
      <w:r w:rsidRPr="007577DE">
        <w:rPr>
          <w:rFonts w:ascii="Times New Roman" w:hAnsi="Times New Roman" w:cs="Times New Roman"/>
          <w:sz w:val="24"/>
        </w:rPr>
        <w:t xml:space="preserve"> – stanovený vo výške 1,5 % z ročného predaja energie koncovým odberateľom u každého dodávateľa energie</w:t>
      </w:r>
      <w:r w:rsidR="00605701">
        <w:rPr>
          <w:rFonts w:ascii="Times New Roman" w:hAnsi="Times New Roman" w:cs="Times New Roman"/>
          <w:sz w:val="24"/>
        </w:rPr>
        <w:t>. Ročná hodnota pre SR bola vypočítaná vo výške 948,75 GWh/rok, t.</w:t>
      </w:r>
      <w:r w:rsidR="00EE72FA">
        <w:rPr>
          <w:rFonts w:ascii="Times New Roman" w:hAnsi="Times New Roman" w:cs="Times New Roman"/>
          <w:sz w:val="24"/>
        </w:rPr>
        <w:t> </w:t>
      </w:r>
      <w:r w:rsidR="00605701">
        <w:rPr>
          <w:rFonts w:ascii="Times New Roman" w:hAnsi="Times New Roman" w:cs="Times New Roman"/>
          <w:sz w:val="24"/>
        </w:rPr>
        <w:t>j. celkov</w:t>
      </w:r>
      <w:r w:rsidR="007F10A4">
        <w:rPr>
          <w:rFonts w:ascii="Times New Roman" w:hAnsi="Times New Roman" w:cs="Times New Roman"/>
          <w:sz w:val="24"/>
        </w:rPr>
        <w:t>é</w:t>
      </w:r>
      <w:r w:rsidR="00605701">
        <w:rPr>
          <w:rFonts w:ascii="Times New Roman" w:hAnsi="Times New Roman" w:cs="Times New Roman"/>
          <w:sz w:val="24"/>
        </w:rPr>
        <w:t xml:space="preserve"> </w:t>
      </w:r>
      <w:r w:rsidR="007F10A4">
        <w:rPr>
          <w:rFonts w:ascii="Times New Roman" w:hAnsi="Times New Roman" w:cs="Times New Roman"/>
          <w:sz w:val="24"/>
        </w:rPr>
        <w:t xml:space="preserve">kumulované úspory energie </w:t>
      </w:r>
      <w:r w:rsidR="00605701">
        <w:rPr>
          <w:rFonts w:ascii="Times New Roman" w:hAnsi="Times New Roman" w:cs="Times New Roman"/>
          <w:sz w:val="24"/>
        </w:rPr>
        <w:t xml:space="preserve">do roku 2020 </w:t>
      </w:r>
      <w:r w:rsidR="007F10A4">
        <w:rPr>
          <w:rFonts w:ascii="Times New Roman" w:hAnsi="Times New Roman" w:cs="Times New Roman"/>
          <w:sz w:val="24"/>
        </w:rPr>
        <w:t xml:space="preserve">sú </w:t>
      </w:r>
      <w:r w:rsidR="00605701" w:rsidRPr="00856490">
        <w:rPr>
          <w:rFonts w:ascii="Times New Roman" w:hAnsi="Times New Roman" w:cs="Times New Roman"/>
          <w:sz w:val="24"/>
          <w:u w:val="single"/>
        </w:rPr>
        <w:t>26 565 GWh</w:t>
      </w:r>
      <w:r w:rsidR="00605701">
        <w:rPr>
          <w:rFonts w:ascii="Times New Roman" w:hAnsi="Times New Roman" w:cs="Times New Roman"/>
          <w:sz w:val="24"/>
        </w:rPr>
        <w:t xml:space="preserve"> </w:t>
      </w:r>
      <w:r w:rsidRPr="007577DE">
        <w:rPr>
          <w:rFonts w:ascii="Times New Roman" w:hAnsi="Times New Roman" w:cs="Times New Roman"/>
          <w:sz w:val="24"/>
        </w:rPr>
        <w:t>(podľa čl. 7 smernice</w:t>
      </w:r>
      <w:r w:rsidR="007E2DDF" w:rsidRPr="007577DE">
        <w:rPr>
          <w:rFonts w:ascii="Times New Roman" w:hAnsi="Times New Roman" w:cs="Times New Roman"/>
          <w:sz w:val="24"/>
        </w:rPr>
        <w:t xml:space="preserve"> – pozri </w:t>
      </w:r>
      <w:r w:rsidR="00B15B1E" w:rsidRPr="007577DE">
        <w:rPr>
          <w:rFonts w:ascii="Times New Roman" w:hAnsi="Times New Roman" w:cs="Times New Roman"/>
          <w:sz w:val="24"/>
        </w:rPr>
        <w:t>časť 1.</w:t>
      </w:r>
      <w:r w:rsidR="00940967">
        <w:rPr>
          <w:rFonts w:ascii="Times New Roman" w:hAnsi="Times New Roman" w:cs="Times New Roman"/>
          <w:sz w:val="24"/>
        </w:rPr>
        <w:t>3.</w:t>
      </w:r>
      <w:r w:rsidR="00B15B1E" w:rsidRPr="007577DE">
        <w:rPr>
          <w:rFonts w:ascii="Times New Roman" w:hAnsi="Times New Roman" w:cs="Times New Roman"/>
          <w:sz w:val="24"/>
        </w:rPr>
        <w:t>2.</w:t>
      </w:r>
      <w:r w:rsidR="00940967">
        <w:rPr>
          <w:rFonts w:ascii="Times New Roman" w:hAnsi="Times New Roman" w:cs="Times New Roman"/>
          <w:sz w:val="24"/>
        </w:rPr>
        <w:t>3</w:t>
      </w:r>
      <w:r w:rsidR="00B15B1E" w:rsidRPr="007577DE">
        <w:rPr>
          <w:rFonts w:ascii="Times New Roman" w:hAnsi="Times New Roman" w:cs="Times New Roman"/>
          <w:sz w:val="24"/>
        </w:rPr>
        <w:t>)</w:t>
      </w:r>
      <w:r w:rsidRPr="007577DE">
        <w:rPr>
          <w:rFonts w:ascii="Times New Roman" w:hAnsi="Times New Roman" w:cs="Times New Roman"/>
          <w:sz w:val="24"/>
        </w:rPr>
        <w:t>.</w:t>
      </w:r>
    </w:p>
    <w:p w14:paraId="33F15FE2" w14:textId="77777777" w:rsidR="00605701" w:rsidRDefault="00605701" w:rsidP="00B40851">
      <w:pPr>
        <w:pStyle w:val="Odsekzoznamu"/>
        <w:ind w:left="0" w:hanging="217"/>
        <w:jc w:val="both"/>
        <w:rPr>
          <w:rFonts w:ascii="Times New Roman" w:hAnsi="Times New Roman" w:cs="Times New Roman"/>
          <w:sz w:val="24"/>
        </w:rPr>
      </w:pPr>
    </w:p>
    <w:p w14:paraId="4BADAEF0" w14:textId="58086DE9" w:rsidR="00736531" w:rsidRDefault="00736531" w:rsidP="00856490">
      <w:pPr>
        <w:pStyle w:val="Odsekzoznamu"/>
        <w:ind w:left="0"/>
        <w:jc w:val="both"/>
        <w:rPr>
          <w:rFonts w:ascii="Times New Roman" w:hAnsi="Times New Roman" w:cs="Times New Roman"/>
          <w:sz w:val="24"/>
        </w:rPr>
      </w:pPr>
      <w:r w:rsidRPr="00736531">
        <w:rPr>
          <w:rFonts w:ascii="Times New Roman" w:hAnsi="Times New Roman" w:cs="Times New Roman"/>
          <w:sz w:val="24"/>
        </w:rPr>
        <w:t>Vyhodnotenie plnenia</w:t>
      </w:r>
      <w:r>
        <w:rPr>
          <w:rFonts w:ascii="Times New Roman" w:hAnsi="Times New Roman" w:cs="Times New Roman"/>
          <w:sz w:val="24"/>
        </w:rPr>
        <w:t xml:space="preserve"> jednotlivých cieľov</w:t>
      </w:r>
      <w:r w:rsidRPr="00736531">
        <w:rPr>
          <w:rFonts w:ascii="Times New Roman" w:hAnsi="Times New Roman" w:cs="Times New Roman"/>
          <w:sz w:val="24"/>
        </w:rPr>
        <w:t xml:space="preserve"> </w:t>
      </w:r>
      <w:r>
        <w:rPr>
          <w:rFonts w:ascii="Times New Roman" w:hAnsi="Times New Roman" w:cs="Times New Roman"/>
          <w:sz w:val="24"/>
        </w:rPr>
        <w:t>podľa smernice 2012/27/EÚ</w:t>
      </w:r>
      <w:r w:rsidRPr="00736531">
        <w:rPr>
          <w:rFonts w:ascii="Times New Roman" w:hAnsi="Times New Roman" w:cs="Times New Roman"/>
          <w:sz w:val="24"/>
        </w:rPr>
        <w:t xml:space="preserve"> </w:t>
      </w:r>
      <w:r>
        <w:rPr>
          <w:rFonts w:ascii="Times New Roman" w:hAnsi="Times New Roman" w:cs="Times New Roman"/>
          <w:sz w:val="24"/>
        </w:rPr>
        <w:t xml:space="preserve">za rok 2016 </w:t>
      </w:r>
      <w:r w:rsidR="00605701">
        <w:rPr>
          <w:rFonts w:ascii="Times New Roman" w:hAnsi="Times New Roman" w:cs="Times New Roman"/>
          <w:sz w:val="24"/>
        </w:rPr>
        <w:t xml:space="preserve">v tomto </w:t>
      </w:r>
      <w:r w:rsidR="00256E3A">
        <w:rPr>
          <w:rFonts w:ascii="Times New Roman" w:hAnsi="Times New Roman" w:cs="Times New Roman"/>
          <w:sz w:val="24"/>
        </w:rPr>
        <w:t>akčnom pláne</w:t>
      </w:r>
      <w:r w:rsidR="00256E3A" w:rsidDel="00256E3A">
        <w:rPr>
          <w:rFonts w:ascii="Times New Roman" w:hAnsi="Times New Roman" w:cs="Times New Roman"/>
          <w:sz w:val="24"/>
        </w:rPr>
        <w:t xml:space="preserve"> </w:t>
      </w:r>
      <w:r w:rsidR="00605701">
        <w:rPr>
          <w:rFonts w:ascii="Times New Roman" w:hAnsi="Times New Roman" w:cs="Times New Roman"/>
          <w:sz w:val="24"/>
        </w:rPr>
        <w:t>je priebežným monitoringom progresu a sledovaním</w:t>
      </w:r>
      <w:r>
        <w:rPr>
          <w:rFonts w:ascii="Times New Roman" w:hAnsi="Times New Roman" w:cs="Times New Roman"/>
          <w:sz w:val="24"/>
        </w:rPr>
        <w:t xml:space="preserve"> trajekt</w:t>
      </w:r>
      <w:r w:rsidR="00605701">
        <w:rPr>
          <w:rFonts w:ascii="Times New Roman" w:hAnsi="Times New Roman" w:cs="Times New Roman"/>
          <w:sz w:val="24"/>
        </w:rPr>
        <w:t>órie</w:t>
      </w:r>
      <w:r>
        <w:rPr>
          <w:rFonts w:ascii="Times New Roman" w:hAnsi="Times New Roman" w:cs="Times New Roman"/>
          <w:sz w:val="24"/>
        </w:rPr>
        <w:t xml:space="preserve"> dosahovania cieľov</w:t>
      </w:r>
      <w:r w:rsidR="00605701">
        <w:rPr>
          <w:rFonts w:ascii="Times New Roman" w:hAnsi="Times New Roman" w:cs="Times New Roman"/>
          <w:sz w:val="24"/>
        </w:rPr>
        <w:t xml:space="preserve"> v SR v</w:t>
      </w:r>
      <w:r>
        <w:rPr>
          <w:rFonts w:ascii="Times New Roman" w:hAnsi="Times New Roman" w:cs="Times New Roman"/>
          <w:sz w:val="24"/>
        </w:rPr>
        <w:t> roku 2020.</w:t>
      </w:r>
    </w:p>
    <w:p w14:paraId="288CF060" w14:textId="77777777" w:rsidR="00FD6B11" w:rsidRDefault="00FD6B11" w:rsidP="00856490">
      <w:pPr>
        <w:rPr>
          <w:rFonts w:ascii="Times New Roman" w:hAnsi="Times New Roman" w:cs="Times New Roman"/>
          <w:sz w:val="24"/>
        </w:rPr>
      </w:pPr>
    </w:p>
    <w:p w14:paraId="76F3D461" w14:textId="6732C582" w:rsidR="00FD6B11" w:rsidRPr="00AF5415" w:rsidRDefault="00FD6B11" w:rsidP="00AF5415">
      <w:pPr>
        <w:pStyle w:val="Nadpis2"/>
        <w:numPr>
          <w:ilvl w:val="1"/>
          <w:numId w:val="30"/>
        </w:numPr>
        <w:rPr>
          <w:rFonts w:ascii="Times New Roman" w:hAnsi="Times New Roman" w:cs="Times New Roman"/>
          <w:color w:val="auto"/>
        </w:rPr>
      </w:pPr>
      <w:bookmarkStart w:id="7" w:name="_Toc480547218"/>
      <w:r w:rsidRPr="00CB1B49">
        <w:rPr>
          <w:rFonts w:ascii="Times New Roman" w:hAnsi="Times New Roman" w:cs="Times New Roman"/>
          <w:color w:val="auto"/>
        </w:rPr>
        <w:t xml:space="preserve">Vyhodnotenie </w:t>
      </w:r>
      <w:r w:rsidR="00ED31CE" w:rsidRPr="00CB1B49">
        <w:rPr>
          <w:rFonts w:ascii="Times New Roman" w:hAnsi="Times New Roman" w:cs="Times New Roman"/>
          <w:color w:val="auto"/>
        </w:rPr>
        <w:t xml:space="preserve">národných </w:t>
      </w:r>
      <w:r w:rsidRPr="00CB1B49">
        <w:rPr>
          <w:rFonts w:ascii="Times New Roman" w:hAnsi="Times New Roman" w:cs="Times New Roman"/>
          <w:color w:val="auto"/>
        </w:rPr>
        <w:t xml:space="preserve">cieľov </w:t>
      </w:r>
      <w:r w:rsidR="00ED31CE" w:rsidRPr="00CB1B49">
        <w:rPr>
          <w:rFonts w:ascii="Times New Roman" w:hAnsi="Times New Roman" w:cs="Times New Roman"/>
          <w:color w:val="auto"/>
        </w:rPr>
        <w:t>energetickej efektívnosti a úspor energie</w:t>
      </w:r>
      <w:bookmarkEnd w:id="7"/>
      <w:r w:rsidR="00ED31CE" w:rsidRPr="00CB1B49" w:rsidDel="00013057">
        <w:rPr>
          <w:rFonts w:ascii="Times New Roman" w:hAnsi="Times New Roman" w:cs="Times New Roman"/>
          <w:color w:val="auto"/>
        </w:rPr>
        <w:t xml:space="preserve"> </w:t>
      </w:r>
    </w:p>
    <w:p w14:paraId="35B33FCE" w14:textId="5B050832" w:rsidR="00FD6B11" w:rsidRPr="000578FE" w:rsidRDefault="00013057" w:rsidP="00AF5415">
      <w:pPr>
        <w:pStyle w:val="Nadpis3"/>
        <w:numPr>
          <w:ilvl w:val="2"/>
          <w:numId w:val="30"/>
        </w:numPr>
        <w:rPr>
          <w:rFonts w:ascii="Times New Roman" w:hAnsi="Times New Roman" w:cs="Times New Roman"/>
          <w:color w:val="auto"/>
        </w:rPr>
      </w:pPr>
      <w:bookmarkStart w:id="8" w:name="_Toc480547219"/>
      <w:r w:rsidRPr="000578FE">
        <w:rPr>
          <w:rFonts w:ascii="Times New Roman" w:hAnsi="Times New Roman" w:cs="Times New Roman"/>
          <w:color w:val="auto"/>
        </w:rPr>
        <w:t>Vyhodnotenie cieľov úspor energie podľa smernice 2006/32/ES</w:t>
      </w:r>
      <w:bookmarkEnd w:id="8"/>
    </w:p>
    <w:p w14:paraId="1E3C2774" w14:textId="30B4992B" w:rsidR="00FD6B11" w:rsidRDefault="00FD6B11" w:rsidP="00FD6B11">
      <w:pPr>
        <w:jc w:val="both"/>
        <w:rPr>
          <w:rFonts w:ascii="Times New Roman" w:hAnsi="Times New Roman" w:cs="Times New Roman"/>
          <w:sz w:val="24"/>
          <w:szCs w:val="24"/>
        </w:rPr>
      </w:pPr>
      <w:r w:rsidRPr="00FD6B11">
        <w:rPr>
          <w:rFonts w:ascii="Times New Roman" w:hAnsi="Times New Roman" w:cs="Times New Roman"/>
          <w:sz w:val="24"/>
          <w:szCs w:val="24"/>
        </w:rPr>
        <w:t>V Koncepcii energetickej efektívnosti (júl 2007) sú stanovené ciele úspor energie do roku 2016.</w:t>
      </w:r>
      <w:r w:rsidRPr="00FD6B11">
        <w:rPr>
          <w:rFonts w:ascii="Times New Roman" w:hAnsi="Times New Roman" w:cs="Times New Roman"/>
          <w:sz w:val="24"/>
          <w:szCs w:val="24"/>
          <w:vertAlign w:val="superscript"/>
        </w:rPr>
        <w:footnoteReference w:id="3"/>
      </w:r>
      <w:r w:rsidRPr="00FD6B11">
        <w:rPr>
          <w:rFonts w:ascii="Times New Roman" w:hAnsi="Times New Roman" w:cs="Times New Roman"/>
          <w:sz w:val="24"/>
          <w:szCs w:val="24"/>
        </w:rPr>
        <w:t xml:space="preserve"> Ciele do roku 2016 boli vypočítané ako úspora energie vo výške 9 % z priemernej hodnoty konečnej energetickej spotreby v rokoch 2001-2005. Tieto boli v druhom akčnom pláne upravené odčítaním podielu spotreby spoločností, ktoré sa podieľajú na obchodovaní s emisnými kvótami skleníkových plynov podľa smernice 2003/87/ES</w:t>
      </w:r>
      <w:r w:rsidRPr="00FD6B11">
        <w:rPr>
          <w:rFonts w:ascii="Times New Roman" w:hAnsi="Times New Roman" w:cs="Times New Roman"/>
          <w:sz w:val="24"/>
          <w:szCs w:val="24"/>
          <w:vertAlign w:val="superscript"/>
        </w:rPr>
        <w:footnoteReference w:id="4"/>
      </w:r>
      <w:r w:rsidRPr="00FD6B11">
        <w:rPr>
          <w:rFonts w:ascii="Times New Roman" w:hAnsi="Times New Roman" w:cs="Times New Roman"/>
          <w:sz w:val="24"/>
          <w:szCs w:val="24"/>
        </w:rPr>
        <w:t xml:space="preserve"> (spoločností ETS). Výsledné ciele sú uvedené v tabuľke č. 1.</w:t>
      </w:r>
    </w:p>
    <w:p w14:paraId="0E07DD05" w14:textId="1BE7C78F" w:rsidR="007F10A4" w:rsidRPr="00FD6B11" w:rsidRDefault="007F10A4" w:rsidP="00FD6B11">
      <w:pPr>
        <w:jc w:val="both"/>
        <w:rPr>
          <w:rFonts w:ascii="Times New Roman" w:hAnsi="Times New Roman" w:cs="Times New Roman"/>
          <w:sz w:val="24"/>
          <w:szCs w:val="24"/>
        </w:rPr>
      </w:pPr>
      <w:r>
        <w:rPr>
          <w:rFonts w:ascii="Times New Roman" w:hAnsi="Times New Roman" w:cs="Times New Roman"/>
          <w:sz w:val="24"/>
          <w:szCs w:val="24"/>
        </w:rPr>
        <w:t xml:space="preserve">Tabuľka č. 1: </w:t>
      </w:r>
      <w:r w:rsidRPr="00FD6B11">
        <w:rPr>
          <w:rFonts w:ascii="Times New Roman" w:hAnsi="Times New Roman" w:cs="Times New Roman"/>
        </w:rPr>
        <w:t>Ciele úspor energie stanovené v strategických materiáloch SR podľa smernice 2006/32/ES</w:t>
      </w:r>
      <w:r w:rsidRPr="00FD6B11">
        <w:rPr>
          <w:rFonts w:ascii="Times New Roman" w:hAnsi="Times New Roman" w:cs="Times New Roman"/>
          <w:vertAlign w:val="superscript"/>
        </w:rPr>
        <w:footnoteReference w:id="5"/>
      </w:r>
      <w:r w:rsidRPr="00FD6B11">
        <w:rPr>
          <w:rFonts w:ascii="Times New Roman" w:hAnsi="Times New Roman" w:cs="Times New Roman"/>
        </w:rPr>
        <w:t xml:space="preserve"> a ich plnenie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42"/>
        <w:gridCol w:w="1002"/>
        <w:gridCol w:w="2409"/>
        <w:gridCol w:w="2409"/>
      </w:tblGrid>
      <w:tr w:rsidR="00FD6B11" w:rsidRPr="00FD6B11" w14:paraId="42681C9D" w14:textId="77777777" w:rsidTr="003D6195">
        <w:trPr>
          <w:trHeight w:val="255"/>
        </w:trPr>
        <w:tc>
          <w:tcPr>
            <w:tcW w:w="1789"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4C258D3" w14:textId="77777777" w:rsidR="00FD6B11" w:rsidRPr="00FD6B11" w:rsidRDefault="00FD6B11" w:rsidP="00FD6B11">
            <w:pPr>
              <w:spacing w:after="0" w:line="240" w:lineRule="auto"/>
              <w:jc w:val="center"/>
              <w:rPr>
                <w:rFonts w:ascii="Times New Roman" w:hAnsi="Times New Roman" w:cs="Times New Roman"/>
                <w:b/>
              </w:rPr>
            </w:pPr>
            <w:r w:rsidRPr="00FD6B11">
              <w:rPr>
                <w:rFonts w:ascii="Times New Roman" w:hAnsi="Times New Roman" w:cs="Times New Roman"/>
                <w:b/>
              </w:rPr>
              <w:t>Ukazovateľ</w:t>
            </w:r>
          </w:p>
        </w:tc>
        <w:tc>
          <w:tcPr>
            <w:tcW w:w="3211" w:type="pct"/>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D64C4D" w14:textId="77777777" w:rsidR="00FD6B11" w:rsidRPr="00FD6B11" w:rsidRDefault="00FD6B11" w:rsidP="00FD6B11">
            <w:pPr>
              <w:spacing w:after="0" w:line="240" w:lineRule="auto"/>
              <w:ind w:right="-803"/>
              <w:jc w:val="center"/>
              <w:rPr>
                <w:rFonts w:ascii="Times New Roman" w:hAnsi="Times New Roman" w:cs="Times New Roman"/>
                <w:b/>
              </w:rPr>
            </w:pPr>
            <w:r w:rsidRPr="00FD6B11">
              <w:rPr>
                <w:rFonts w:ascii="Times New Roman" w:hAnsi="Times New Roman" w:cs="Times New Roman"/>
                <w:b/>
              </w:rPr>
              <w:t>Úspory energie na základe</w:t>
            </w:r>
          </w:p>
          <w:p w14:paraId="6E3A01E8" w14:textId="77777777" w:rsidR="00FD6B11" w:rsidRPr="00FD6B11" w:rsidRDefault="00FD6B11" w:rsidP="00FD6B11">
            <w:pPr>
              <w:spacing w:after="0" w:line="240" w:lineRule="auto"/>
              <w:ind w:right="-803"/>
              <w:jc w:val="center"/>
              <w:rPr>
                <w:rFonts w:ascii="Times New Roman" w:hAnsi="Times New Roman" w:cs="Times New Roman"/>
                <w:b/>
              </w:rPr>
            </w:pPr>
            <w:r w:rsidRPr="00FD6B11">
              <w:rPr>
                <w:rFonts w:ascii="Times New Roman" w:hAnsi="Times New Roman" w:cs="Times New Roman"/>
                <w:b/>
              </w:rPr>
              <w:t>prepočítanej priemernej KES v rokoch 2001-2005</w:t>
            </w:r>
          </w:p>
        </w:tc>
      </w:tr>
      <w:tr w:rsidR="00FD6B11" w:rsidRPr="00FD6B11" w14:paraId="39ECB69F" w14:textId="77777777" w:rsidTr="003D6195">
        <w:trPr>
          <w:trHeight w:val="255"/>
        </w:trPr>
        <w:tc>
          <w:tcPr>
            <w:tcW w:w="1789" w:type="pct"/>
            <w:vMerge/>
            <w:tcBorders>
              <w:top w:val="single" w:sz="4" w:space="0" w:color="auto"/>
              <w:left w:val="single" w:sz="4" w:space="0" w:color="auto"/>
              <w:bottom w:val="single" w:sz="4" w:space="0" w:color="auto"/>
              <w:right w:val="single" w:sz="4" w:space="0" w:color="auto"/>
            </w:tcBorders>
            <w:vAlign w:val="center"/>
            <w:hideMark/>
          </w:tcPr>
          <w:p w14:paraId="2F1E8C47" w14:textId="77777777" w:rsidR="00FD6B11" w:rsidRPr="00FD6B11" w:rsidRDefault="00FD6B11" w:rsidP="00FD6B11">
            <w:pPr>
              <w:spacing w:after="0" w:line="240" w:lineRule="auto"/>
              <w:jc w:val="center"/>
              <w:rPr>
                <w:rFonts w:ascii="Times New Roman" w:hAnsi="Times New Roman" w:cs="Times New Roman"/>
                <w:b/>
              </w:rPr>
            </w:pPr>
          </w:p>
        </w:tc>
        <w:tc>
          <w:tcPr>
            <w:tcW w:w="55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1F84015" w14:textId="77777777" w:rsidR="00FD6B11" w:rsidRPr="00FD6B11" w:rsidRDefault="00FD6B11" w:rsidP="00FD6B11">
            <w:pPr>
              <w:spacing w:after="0" w:line="240" w:lineRule="auto"/>
              <w:jc w:val="center"/>
              <w:rPr>
                <w:rFonts w:ascii="Times New Roman" w:hAnsi="Times New Roman" w:cs="Times New Roman"/>
                <w:b/>
              </w:rPr>
            </w:pPr>
            <w:r w:rsidRPr="00FD6B11">
              <w:rPr>
                <w:rFonts w:ascii="Times New Roman" w:hAnsi="Times New Roman" w:cs="Times New Roman"/>
                <w:b/>
              </w:rPr>
              <w:t>[%]</w:t>
            </w:r>
          </w:p>
        </w:tc>
        <w:tc>
          <w:tcPr>
            <w:tcW w:w="1329"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BBF399F" w14:textId="77777777" w:rsidR="00FD6B11" w:rsidRPr="00FD6B11" w:rsidRDefault="00FD6B11" w:rsidP="00FD6B11">
            <w:pPr>
              <w:spacing w:after="0" w:line="240" w:lineRule="auto"/>
              <w:jc w:val="center"/>
              <w:rPr>
                <w:rFonts w:ascii="Times New Roman" w:hAnsi="Times New Roman" w:cs="Times New Roman"/>
                <w:b/>
              </w:rPr>
            </w:pPr>
            <w:r w:rsidRPr="00FD6B11">
              <w:rPr>
                <w:rFonts w:ascii="Times New Roman" w:hAnsi="Times New Roman" w:cs="Times New Roman"/>
                <w:b/>
              </w:rPr>
              <w:t>Plán [TJ]</w:t>
            </w:r>
          </w:p>
        </w:tc>
        <w:tc>
          <w:tcPr>
            <w:tcW w:w="132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127A5B" w14:textId="77777777" w:rsidR="00FD6B11" w:rsidRPr="00FD6B11" w:rsidRDefault="00FD6B11" w:rsidP="00FD6B11">
            <w:pPr>
              <w:spacing w:after="0" w:line="240" w:lineRule="auto"/>
              <w:jc w:val="center"/>
              <w:rPr>
                <w:rFonts w:ascii="Times New Roman" w:hAnsi="Times New Roman" w:cs="Times New Roman"/>
                <w:b/>
              </w:rPr>
            </w:pPr>
            <w:r w:rsidRPr="00FD6B11">
              <w:rPr>
                <w:rFonts w:ascii="Times New Roman" w:hAnsi="Times New Roman" w:cs="Times New Roman"/>
                <w:b/>
              </w:rPr>
              <w:t>Plnenie [TJ]</w:t>
            </w:r>
          </w:p>
        </w:tc>
      </w:tr>
      <w:tr w:rsidR="00FD6B11" w:rsidRPr="00FD6B11" w14:paraId="4A6FBA3F" w14:textId="77777777" w:rsidTr="003D6195">
        <w:trPr>
          <w:trHeight w:hRule="exact" w:val="301"/>
        </w:trPr>
        <w:tc>
          <w:tcPr>
            <w:tcW w:w="1789" w:type="pct"/>
            <w:tcBorders>
              <w:top w:val="single" w:sz="4" w:space="0" w:color="auto"/>
              <w:left w:val="single" w:sz="4" w:space="0" w:color="auto"/>
              <w:bottom w:val="single" w:sz="4" w:space="0" w:color="auto"/>
              <w:right w:val="single" w:sz="4" w:space="0" w:color="auto"/>
            </w:tcBorders>
            <w:noWrap/>
            <w:vAlign w:val="center"/>
            <w:hideMark/>
          </w:tcPr>
          <w:p w14:paraId="4926C921" w14:textId="77777777" w:rsidR="00FD6B11" w:rsidRPr="00FD6B11" w:rsidRDefault="00FD6B11" w:rsidP="00FD6B11">
            <w:pPr>
              <w:spacing w:after="0" w:line="240" w:lineRule="auto"/>
              <w:rPr>
                <w:rFonts w:ascii="Times New Roman" w:hAnsi="Times New Roman" w:cs="Times New Roman"/>
              </w:rPr>
            </w:pPr>
            <w:r w:rsidRPr="00FD6B11">
              <w:rPr>
                <w:rFonts w:ascii="Times New Roman" w:hAnsi="Times New Roman" w:cs="Times New Roman"/>
              </w:rPr>
              <w:t xml:space="preserve">Ročný cieľ </w:t>
            </w:r>
          </w:p>
        </w:tc>
        <w:tc>
          <w:tcPr>
            <w:tcW w:w="553" w:type="pct"/>
            <w:tcBorders>
              <w:top w:val="single" w:sz="4" w:space="0" w:color="auto"/>
              <w:left w:val="single" w:sz="4" w:space="0" w:color="auto"/>
              <w:bottom w:val="single" w:sz="4" w:space="0" w:color="auto"/>
              <w:right w:val="single" w:sz="4" w:space="0" w:color="auto"/>
            </w:tcBorders>
            <w:vAlign w:val="center"/>
            <w:hideMark/>
          </w:tcPr>
          <w:p w14:paraId="6FFEC8E2" w14:textId="77777777" w:rsidR="00FD6B11" w:rsidRPr="00FD6B11" w:rsidRDefault="00FD6B11" w:rsidP="00FD6B11">
            <w:pPr>
              <w:tabs>
                <w:tab w:val="decimal" w:pos="650"/>
              </w:tabs>
              <w:spacing w:after="0" w:line="240" w:lineRule="auto"/>
              <w:jc w:val="right"/>
              <w:rPr>
                <w:rFonts w:ascii="Times New Roman" w:hAnsi="Times New Roman" w:cs="Times New Roman"/>
              </w:rPr>
            </w:pPr>
            <w:r w:rsidRPr="00FD6B11">
              <w:rPr>
                <w:rFonts w:ascii="Times New Roman" w:hAnsi="Times New Roman" w:cs="Times New Roman"/>
              </w:rPr>
              <w:t>1</w:t>
            </w:r>
          </w:p>
        </w:tc>
        <w:tc>
          <w:tcPr>
            <w:tcW w:w="1329" w:type="pct"/>
            <w:tcBorders>
              <w:top w:val="single" w:sz="4" w:space="0" w:color="auto"/>
              <w:left w:val="single" w:sz="4" w:space="0" w:color="auto"/>
              <w:bottom w:val="single" w:sz="4" w:space="0" w:color="auto"/>
              <w:right w:val="single" w:sz="4" w:space="0" w:color="auto"/>
            </w:tcBorders>
            <w:noWrap/>
            <w:vAlign w:val="center"/>
            <w:hideMark/>
          </w:tcPr>
          <w:p w14:paraId="1C6D7466" w14:textId="77777777" w:rsidR="00FD6B11" w:rsidRPr="00FD6B11" w:rsidRDefault="00FD6B11" w:rsidP="00FD6B11">
            <w:pPr>
              <w:tabs>
                <w:tab w:val="decimal" w:pos="650"/>
              </w:tabs>
              <w:spacing w:after="0" w:line="240" w:lineRule="auto"/>
              <w:jc w:val="right"/>
              <w:rPr>
                <w:rFonts w:ascii="Times New Roman" w:hAnsi="Times New Roman" w:cs="Times New Roman"/>
              </w:rPr>
            </w:pPr>
            <w:r w:rsidRPr="00FD6B11">
              <w:rPr>
                <w:rFonts w:ascii="Times New Roman" w:hAnsi="Times New Roman" w:cs="Times New Roman"/>
              </w:rPr>
              <w:t>3 122</w:t>
            </w:r>
          </w:p>
        </w:tc>
        <w:tc>
          <w:tcPr>
            <w:tcW w:w="1329" w:type="pct"/>
            <w:tcBorders>
              <w:top w:val="single" w:sz="4" w:space="0" w:color="auto"/>
              <w:left w:val="single" w:sz="4" w:space="0" w:color="auto"/>
              <w:bottom w:val="single" w:sz="4" w:space="0" w:color="auto"/>
              <w:right w:val="single" w:sz="4" w:space="0" w:color="auto"/>
            </w:tcBorders>
            <w:vAlign w:val="center"/>
          </w:tcPr>
          <w:p w14:paraId="2E172EEB" w14:textId="77777777" w:rsidR="00FD6B11" w:rsidRPr="00FD6B11" w:rsidRDefault="00FD6B11" w:rsidP="007157D7">
            <w:pPr>
              <w:numPr>
                <w:ilvl w:val="0"/>
                <w:numId w:val="8"/>
              </w:numPr>
              <w:tabs>
                <w:tab w:val="decimal" w:pos="650"/>
              </w:tabs>
              <w:spacing w:after="0" w:line="240" w:lineRule="auto"/>
              <w:contextualSpacing/>
              <w:jc w:val="right"/>
              <w:rPr>
                <w:rFonts w:ascii="Times New Roman" w:hAnsi="Times New Roman" w:cs="Times New Roman"/>
              </w:rPr>
            </w:pPr>
          </w:p>
        </w:tc>
      </w:tr>
      <w:tr w:rsidR="00FD6B11" w:rsidRPr="00FD6B11" w14:paraId="0CBEB30F" w14:textId="77777777" w:rsidTr="003D6195">
        <w:trPr>
          <w:trHeight w:hRule="exact" w:val="301"/>
        </w:trPr>
        <w:tc>
          <w:tcPr>
            <w:tcW w:w="1789" w:type="pct"/>
            <w:tcBorders>
              <w:top w:val="single" w:sz="4" w:space="0" w:color="auto"/>
              <w:left w:val="single" w:sz="4" w:space="0" w:color="auto"/>
              <w:bottom w:val="single" w:sz="4" w:space="0" w:color="auto"/>
              <w:right w:val="single" w:sz="4" w:space="0" w:color="auto"/>
            </w:tcBorders>
            <w:noWrap/>
            <w:vAlign w:val="center"/>
            <w:hideMark/>
          </w:tcPr>
          <w:p w14:paraId="3B48EAAA" w14:textId="77777777" w:rsidR="00FD6B11" w:rsidRPr="00FD6B11" w:rsidRDefault="00FD6B11" w:rsidP="00FD6B11">
            <w:pPr>
              <w:spacing w:after="0" w:line="240" w:lineRule="auto"/>
              <w:rPr>
                <w:rFonts w:ascii="Times New Roman" w:hAnsi="Times New Roman" w:cs="Times New Roman"/>
              </w:rPr>
            </w:pPr>
            <w:r w:rsidRPr="00FD6B11">
              <w:rPr>
                <w:rFonts w:ascii="Times New Roman" w:hAnsi="Times New Roman" w:cs="Times New Roman"/>
              </w:rPr>
              <w:t>Trojročný cieľ do roku 2010</w:t>
            </w:r>
            <w:r w:rsidRPr="00FD6B11">
              <w:rPr>
                <w:rFonts w:ascii="Times New Roman" w:hAnsi="Times New Roman" w:cs="Times New Roman"/>
                <w:vertAlign w:val="superscript"/>
              </w:rPr>
              <w:footnoteReference w:id="6"/>
            </w:r>
          </w:p>
        </w:tc>
        <w:tc>
          <w:tcPr>
            <w:tcW w:w="553" w:type="pct"/>
            <w:tcBorders>
              <w:top w:val="single" w:sz="4" w:space="0" w:color="auto"/>
              <w:left w:val="single" w:sz="4" w:space="0" w:color="auto"/>
              <w:bottom w:val="single" w:sz="4" w:space="0" w:color="auto"/>
              <w:right w:val="single" w:sz="4" w:space="0" w:color="auto"/>
            </w:tcBorders>
            <w:vAlign w:val="center"/>
            <w:hideMark/>
          </w:tcPr>
          <w:p w14:paraId="775F452F" w14:textId="77777777" w:rsidR="00FD6B11" w:rsidRPr="00FD6B11" w:rsidRDefault="00FD6B11" w:rsidP="00FD6B11">
            <w:pPr>
              <w:tabs>
                <w:tab w:val="decimal" w:pos="650"/>
              </w:tabs>
              <w:spacing w:after="0" w:line="240" w:lineRule="auto"/>
              <w:jc w:val="right"/>
              <w:rPr>
                <w:rFonts w:ascii="Times New Roman" w:hAnsi="Times New Roman" w:cs="Times New Roman"/>
              </w:rPr>
            </w:pPr>
            <w:r w:rsidRPr="00FD6B11">
              <w:rPr>
                <w:rFonts w:ascii="Times New Roman" w:hAnsi="Times New Roman" w:cs="Times New Roman"/>
              </w:rPr>
              <w:t>3</w:t>
            </w:r>
          </w:p>
        </w:tc>
        <w:tc>
          <w:tcPr>
            <w:tcW w:w="1329" w:type="pct"/>
            <w:tcBorders>
              <w:top w:val="single" w:sz="4" w:space="0" w:color="auto"/>
              <w:left w:val="single" w:sz="4" w:space="0" w:color="auto"/>
              <w:bottom w:val="single" w:sz="4" w:space="0" w:color="auto"/>
              <w:right w:val="single" w:sz="4" w:space="0" w:color="auto"/>
            </w:tcBorders>
            <w:noWrap/>
            <w:vAlign w:val="center"/>
            <w:hideMark/>
          </w:tcPr>
          <w:p w14:paraId="1CEE1C94" w14:textId="77777777" w:rsidR="00FD6B11" w:rsidRPr="00FD6B11" w:rsidRDefault="00FD6B11" w:rsidP="00FD6B11">
            <w:pPr>
              <w:tabs>
                <w:tab w:val="decimal" w:pos="650"/>
              </w:tabs>
              <w:spacing w:after="0" w:line="240" w:lineRule="auto"/>
              <w:jc w:val="right"/>
              <w:rPr>
                <w:rFonts w:ascii="Times New Roman" w:hAnsi="Times New Roman" w:cs="Times New Roman"/>
              </w:rPr>
            </w:pPr>
            <w:r w:rsidRPr="00FD6B11">
              <w:rPr>
                <w:rFonts w:ascii="Times New Roman" w:hAnsi="Times New Roman" w:cs="Times New Roman"/>
              </w:rPr>
              <w:t>9 366</w:t>
            </w:r>
          </w:p>
        </w:tc>
        <w:tc>
          <w:tcPr>
            <w:tcW w:w="1329" w:type="pct"/>
            <w:tcBorders>
              <w:top w:val="single" w:sz="4" w:space="0" w:color="auto"/>
              <w:left w:val="single" w:sz="4" w:space="0" w:color="auto"/>
              <w:bottom w:val="single" w:sz="4" w:space="0" w:color="auto"/>
              <w:right w:val="single" w:sz="4" w:space="0" w:color="auto"/>
            </w:tcBorders>
            <w:vAlign w:val="center"/>
          </w:tcPr>
          <w:p w14:paraId="75CB2105" w14:textId="77777777" w:rsidR="00FD6B11" w:rsidRPr="00FD6B11" w:rsidRDefault="00FD6B11" w:rsidP="00FD6B11">
            <w:pPr>
              <w:tabs>
                <w:tab w:val="decimal" w:pos="650"/>
              </w:tabs>
              <w:spacing w:after="0" w:line="240" w:lineRule="auto"/>
              <w:jc w:val="right"/>
              <w:rPr>
                <w:rFonts w:ascii="Times New Roman" w:hAnsi="Times New Roman" w:cs="Times New Roman"/>
              </w:rPr>
            </w:pPr>
            <w:r w:rsidRPr="00FD6B11">
              <w:rPr>
                <w:rFonts w:ascii="Times New Roman" w:hAnsi="Times New Roman" w:cs="Times New Roman"/>
              </w:rPr>
              <w:t>9 366</w:t>
            </w:r>
            <w:r w:rsidRPr="00FD6B11">
              <w:rPr>
                <w:rFonts w:ascii="Times New Roman" w:hAnsi="Times New Roman" w:cs="Times New Roman"/>
                <w:vertAlign w:val="superscript"/>
              </w:rPr>
              <w:footnoteReference w:id="7"/>
            </w:r>
          </w:p>
        </w:tc>
      </w:tr>
      <w:tr w:rsidR="00FD6B11" w:rsidRPr="00FD6B11" w14:paraId="6B4A6AAF" w14:textId="77777777" w:rsidTr="003D6195">
        <w:trPr>
          <w:trHeight w:hRule="exact" w:val="301"/>
        </w:trPr>
        <w:tc>
          <w:tcPr>
            <w:tcW w:w="1789" w:type="pct"/>
            <w:tcBorders>
              <w:top w:val="single" w:sz="4" w:space="0" w:color="auto"/>
              <w:left w:val="single" w:sz="4" w:space="0" w:color="auto"/>
              <w:bottom w:val="single" w:sz="4" w:space="0" w:color="auto"/>
              <w:right w:val="single" w:sz="4" w:space="0" w:color="auto"/>
            </w:tcBorders>
            <w:noWrap/>
            <w:vAlign w:val="center"/>
            <w:hideMark/>
          </w:tcPr>
          <w:p w14:paraId="0AE7EBD8" w14:textId="1B64CB55" w:rsidR="00FD6B11" w:rsidRPr="00FD6B11" w:rsidRDefault="00FD6B11">
            <w:pPr>
              <w:spacing w:after="0" w:line="240" w:lineRule="auto"/>
              <w:rPr>
                <w:rFonts w:ascii="Times New Roman" w:hAnsi="Times New Roman" w:cs="Times New Roman"/>
              </w:rPr>
            </w:pPr>
            <w:r w:rsidRPr="00FD6B11">
              <w:rPr>
                <w:rFonts w:ascii="Times New Roman" w:hAnsi="Times New Roman" w:cs="Times New Roman"/>
              </w:rPr>
              <w:t>Strednodobý cieľ do roku 2013</w:t>
            </w:r>
          </w:p>
        </w:tc>
        <w:tc>
          <w:tcPr>
            <w:tcW w:w="553" w:type="pct"/>
            <w:tcBorders>
              <w:top w:val="single" w:sz="4" w:space="0" w:color="auto"/>
              <w:left w:val="single" w:sz="4" w:space="0" w:color="auto"/>
              <w:bottom w:val="single" w:sz="4" w:space="0" w:color="auto"/>
              <w:right w:val="single" w:sz="4" w:space="0" w:color="auto"/>
            </w:tcBorders>
            <w:vAlign w:val="center"/>
            <w:hideMark/>
          </w:tcPr>
          <w:p w14:paraId="7E4F6314" w14:textId="77777777" w:rsidR="00FD6B11" w:rsidRPr="00FD6B11" w:rsidRDefault="00FD6B11" w:rsidP="00FD6B11">
            <w:pPr>
              <w:tabs>
                <w:tab w:val="decimal" w:pos="650"/>
              </w:tabs>
              <w:spacing w:after="0" w:line="240" w:lineRule="auto"/>
              <w:jc w:val="right"/>
              <w:rPr>
                <w:rFonts w:ascii="Times New Roman" w:hAnsi="Times New Roman" w:cs="Times New Roman"/>
              </w:rPr>
            </w:pPr>
            <w:r w:rsidRPr="00FD6B11">
              <w:rPr>
                <w:rFonts w:ascii="Times New Roman" w:hAnsi="Times New Roman" w:cs="Times New Roman"/>
                <w:color w:val="000000" w:themeColor="text1"/>
              </w:rPr>
              <w:t>5,7</w:t>
            </w:r>
          </w:p>
        </w:tc>
        <w:tc>
          <w:tcPr>
            <w:tcW w:w="1329" w:type="pct"/>
            <w:tcBorders>
              <w:top w:val="single" w:sz="4" w:space="0" w:color="auto"/>
              <w:left w:val="single" w:sz="4" w:space="0" w:color="auto"/>
              <w:bottom w:val="single" w:sz="4" w:space="0" w:color="auto"/>
              <w:right w:val="single" w:sz="4" w:space="0" w:color="auto"/>
            </w:tcBorders>
            <w:noWrap/>
            <w:vAlign w:val="center"/>
            <w:hideMark/>
          </w:tcPr>
          <w:p w14:paraId="4698FD83" w14:textId="77777777" w:rsidR="00FD6B11" w:rsidRPr="00FD6B11" w:rsidRDefault="00FD6B11" w:rsidP="00FD6B11">
            <w:pPr>
              <w:tabs>
                <w:tab w:val="decimal" w:pos="650"/>
              </w:tabs>
              <w:spacing w:after="0" w:line="240" w:lineRule="auto"/>
              <w:jc w:val="right"/>
              <w:rPr>
                <w:rFonts w:ascii="Times New Roman" w:hAnsi="Times New Roman" w:cs="Times New Roman"/>
              </w:rPr>
            </w:pPr>
            <w:r w:rsidRPr="00FD6B11">
              <w:rPr>
                <w:rFonts w:ascii="Times New Roman" w:hAnsi="Times New Roman" w:cs="Times New Roman"/>
              </w:rPr>
              <w:t>17 728</w:t>
            </w:r>
          </w:p>
        </w:tc>
        <w:tc>
          <w:tcPr>
            <w:tcW w:w="1329" w:type="pct"/>
            <w:tcBorders>
              <w:top w:val="single" w:sz="4" w:space="0" w:color="auto"/>
              <w:left w:val="single" w:sz="4" w:space="0" w:color="auto"/>
              <w:bottom w:val="single" w:sz="4" w:space="0" w:color="auto"/>
              <w:right w:val="single" w:sz="4" w:space="0" w:color="auto"/>
            </w:tcBorders>
            <w:vAlign w:val="center"/>
          </w:tcPr>
          <w:p w14:paraId="76425F2E" w14:textId="77777777" w:rsidR="00FD6B11" w:rsidRPr="00FD6B11" w:rsidRDefault="00FD6B11" w:rsidP="00FD6B11">
            <w:pPr>
              <w:jc w:val="right"/>
              <w:rPr>
                <w:rFonts w:ascii="Times New Roman" w:hAnsi="Times New Roman" w:cs="Times New Roman"/>
                <w:color w:val="000000"/>
              </w:rPr>
            </w:pPr>
            <w:r w:rsidRPr="00FD6B11">
              <w:rPr>
                <w:rFonts w:ascii="Times New Roman" w:hAnsi="Times New Roman" w:cs="Times New Roman"/>
                <w:color w:val="000000"/>
              </w:rPr>
              <w:t>16 093</w:t>
            </w:r>
            <w:r w:rsidRPr="00FD6B11">
              <w:rPr>
                <w:rFonts w:ascii="Times New Roman" w:hAnsi="Times New Roman" w:cs="Times New Roman"/>
                <w:color w:val="000000"/>
                <w:vertAlign w:val="superscript"/>
              </w:rPr>
              <w:footnoteReference w:id="8"/>
            </w:r>
          </w:p>
        </w:tc>
      </w:tr>
      <w:tr w:rsidR="00FD6B11" w:rsidRPr="00FD6B11" w14:paraId="5AADFC61" w14:textId="77777777" w:rsidTr="003D6195">
        <w:trPr>
          <w:trHeight w:hRule="exact" w:val="301"/>
        </w:trPr>
        <w:tc>
          <w:tcPr>
            <w:tcW w:w="1789" w:type="pct"/>
            <w:tcBorders>
              <w:top w:val="single" w:sz="4" w:space="0" w:color="auto"/>
              <w:left w:val="single" w:sz="4" w:space="0" w:color="auto"/>
              <w:bottom w:val="single" w:sz="4" w:space="0" w:color="auto"/>
              <w:right w:val="single" w:sz="4" w:space="0" w:color="auto"/>
            </w:tcBorders>
            <w:noWrap/>
            <w:vAlign w:val="center"/>
            <w:hideMark/>
          </w:tcPr>
          <w:p w14:paraId="20EBA8E6" w14:textId="04D94503" w:rsidR="00FD6B11" w:rsidRPr="00FD6B11" w:rsidRDefault="00FD6B11">
            <w:pPr>
              <w:spacing w:after="0" w:line="240" w:lineRule="auto"/>
              <w:rPr>
                <w:rFonts w:ascii="Times New Roman" w:hAnsi="Times New Roman" w:cs="Times New Roman"/>
                <w:b/>
              </w:rPr>
            </w:pPr>
            <w:r w:rsidRPr="00FD6B11">
              <w:rPr>
                <w:rFonts w:ascii="Times New Roman" w:hAnsi="Times New Roman" w:cs="Times New Roman"/>
                <w:b/>
              </w:rPr>
              <w:t>Dlhodobý cieľ do roku 2016</w:t>
            </w:r>
            <w:r w:rsidR="006C3CEE" w:rsidRPr="00FD6B11" w:rsidDel="006C3CEE">
              <w:rPr>
                <w:rFonts w:ascii="Times New Roman" w:hAnsi="Times New Roman" w:cs="Times New Roman"/>
                <w:b/>
              </w:rPr>
              <w:t xml:space="preserve"> </w:t>
            </w:r>
          </w:p>
        </w:tc>
        <w:tc>
          <w:tcPr>
            <w:tcW w:w="553" w:type="pct"/>
            <w:tcBorders>
              <w:top w:val="single" w:sz="4" w:space="0" w:color="auto"/>
              <w:left w:val="single" w:sz="4" w:space="0" w:color="auto"/>
              <w:bottom w:val="single" w:sz="4" w:space="0" w:color="auto"/>
              <w:right w:val="single" w:sz="4" w:space="0" w:color="auto"/>
            </w:tcBorders>
            <w:vAlign w:val="center"/>
            <w:hideMark/>
          </w:tcPr>
          <w:p w14:paraId="0BBB33A2" w14:textId="77777777" w:rsidR="00FD6B11" w:rsidRPr="00FD6B11" w:rsidRDefault="00FD6B11" w:rsidP="00FD6B11">
            <w:pPr>
              <w:tabs>
                <w:tab w:val="decimal" w:pos="650"/>
              </w:tabs>
              <w:spacing w:after="0" w:line="240" w:lineRule="auto"/>
              <w:jc w:val="right"/>
              <w:rPr>
                <w:rFonts w:ascii="Times New Roman" w:hAnsi="Times New Roman" w:cs="Times New Roman"/>
              </w:rPr>
            </w:pPr>
            <w:r w:rsidRPr="00FD6B11">
              <w:rPr>
                <w:rFonts w:ascii="Times New Roman" w:hAnsi="Times New Roman" w:cs="Times New Roman"/>
              </w:rPr>
              <w:t>9</w:t>
            </w:r>
          </w:p>
        </w:tc>
        <w:tc>
          <w:tcPr>
            <w:tcW w:w="1329" w:type="pct"/>
            <w:tcBorders>
              <w:top w:val="single" w:sz="4" w:space="0" w:color="auto"/>
              <w:left w:val="single" w:sz="4" w:space="0" w:color="auto"/>
              <w:bottom w:val="single" w:sz="4" w:space="0" w:color="auto"/>
              <w:right w:val="single" w:sz="4" w:space="0" w:color="auto"/>
            </w:tcBorders>
            <w:noWrap/>
            <w:vAlign w:val="center"/>
            <w:hideMark/>
          </w:tcPr>
          <w:p w14:paraId="27B88A8C" w14:textId="77777777" w:rsidR="00FD6B11" w:rsidRPr="00FD6B11" w:rsidRDefault="00FD6B11" w:rsidP="00FD6B11">
            <w:pPr>
              <w:tabs>
                <w:tab w:val="decimal" w:pos="650"/>
              </w:tabs>
              <w:spacing w:after="0" w:line="240" w:lineRule="auto"/>
              <w:jc w:val="right"/>
              <w:rPr>
                <w:rFonts w:ascii="Times New Roman" w:hAnsi="Times New Roman" w:cs="Times New Roman"/>
                <w:b/>
              </w:rPr>
            </w:pPr>
            <w:r w:rsidRPr="00FD6B11">
              <w:rPr>
                <w:rFonts w:ascii="Times New Roman" w:hAnsi="Times New Roman" w:cs="Times New Roman"/>
                <w:b/>
              </w:rPr>
              <w:t>28 098</w:t>
            </w:r>
          </w:p>
        </w:tc>
        <w:tc>
          <w:tcPr>
            <w:tcW w:w="1329" w:type="pct"/>
            <w:tcBorders>
              <w:top w:val="single" w:sz="4" w:space="0" w:color="auto"/>
              <w:left w:val="single" w:sz="4" w:space="0" w:color="auto"/>
              <w:bottom w:val="single" w:sz="4" w:space="0" w:color="auto"/>
              <w:right w:val="single" w:sz="4" w:space="0" w:color="auto"/>
            </w:tcBorders>
            <w:vAlign w:val="center"/>
          </w:tcPr>
          <w:p w14:paraId="6DA7D547" w14:textId="566D6C8B" w:rsidR="00FD6B11" w:rsidRPr="00FD6B11" w:rsidRDefault="00AD1953" w:rsidP="00A770EA">
            <w:pPr>
              <w:tabs>
                <w:tab w:val="decimal" w:pos="650"/>
              </w:tabs>
              <w:spacing w:after="0" w:line="240" w:lineRule="auto"/>
              <w:jc w:val="right"/>
              <w:rPr>
                <w:rFonts w:ascii="Times New Roman" w:hAnsi="Times New Roman" w:cs="Times New Roman"/>
                <w:b/>
                <w:bCs/>
                <w:color w:val="000000"/>
              </w:rPr>
            </w:pPr>
            <w:r w:rsidRPr="0093368F">
              <w:rPr>
                <w:rFonts w:ascii="Times New Roman" w:hAnsi="Times New Roman" w:cs="Times New Roman"/>
                <w:b/>
              </w:rPr>
              <w:t xml:space="preserve">26 </w:t>
            </w:r>
            <w:r w:rsidR="00A770EA" w:rsidRPr="0093368F">
              <w:rPr>
                <w:rFonts w:ascii="Times New Roman" w:hAnsi="Times New Roman" w:cs="Times New Roman"/>
                <w:b/>
              </w:rPr>
              <w:t>178</w:t>
            </w:r>
            <w:r w:rsidR="00FD6B11" w:rsidRPr="0093368F">
              <w:rPr>
                <w:rFonts w:ascii="Times New Roman" w:hAnsi="Times New Roman" w:cs="Times New Roman"/>
                <w:b/>
                <w:vertAlign w:val="superscript"/>
              </w:rPr>
              <w:footnoteReference w:id="9"/>
            </w:r>
          </w:p>
        </w:tc>
      </w:tr>
      <w:tr w:rsidR="00FD6B11" w:rsidRPr="00FD6B11" w14:paraId="3A83CAD7" w14:textId="77777777" w:rsidTr="003D6195">
        <w:trPr>
          <w:trHeight w:hRule="exact" w:val="301"/>
        </w:trPr>
        <w:tc>
          <w:tcPr>
            <w:tcW w:w="1789" w:type="pct"/>
            <w:tcBorders>
              <w:top w:val="single" w:sz="4" w:space="0" w:color="auto"/>
              <w:left w:val="single" w:sz="4" w:space="0" w:color="auto"/>
              <w:bottom w:val="single" w:sz="4" w:space="0" w:color="auto"/>
              <w:right w:val="single" w:sz="4" w:space="0" w:color="auto"/>
            </w:tcBorders>
            <w:noWrap/>
            <w:vAlign w:val="center"/>
            <w:hideMark/>
          </w:tcPr>
          <w:p w14:paraId="5FB7EB2E" w14:textId="15B374BA" w:rsidR="00FD6B11" w:rsidRPr="00FD6B11" w:rsidRDefault="00FD6B11">
            <w:pPr>
              <w:spacing w:after="0" w:line="240" w:lineRule="auto"/>
              <w:rPr>
                <w:rFonts w:ascii="Times New Roman" w:hAnsi="Times New Roman" w:cs="Times New Roman"/>
              </w:rPr>
            </w:pPr>
            <w:r w:rsidRPr="00FD6B11">
              <w:rPr>
                <w:rFonts w:ascii="Times New Roman" w:hAnsi="Times New Roman" w:cs="Times New Roman"/>
              </w:rPr>
              <w:t>Dlhodobý cieľ do roku 2020</w:t>
            </w:r>
          </w:p>
        </w:tc>
        <w:tc>
          <w:tcPr>
            <w:tcW w:w="553" w:type="pct"/>
            <w:tcBorders>
              <w:top w:val="single" w:sz="4" w:space="0" w:color="auto"/>
              <w:left w:val="single" w:sz="4" w:space="0" w:color="auto"/>
              <w:bottom w:val="single" w:sz="4" w:space="0" w:color="auto"/>
              <w:right w:val="single" w:sz="4" w:space="0" w:color="auto"/>
            </w:tcBorders>
            <w:vAlign w:val="center"/>
            <w:hideMark/>
          </w:tcPr>
          <w:p w14:paraId="2DC62AAA" w14:textId="77777777" w:rsidR="00FD6B11" w:rsidRPr="00FD6B11" w:rsidRDefault="00FD6B11" w:rsidP="00FD6B11">
            <w:pPr>
              <w:tabs>
                <w:tab w:val="decimal" w:pos="650"/>
              </w:tabs>
              <w:spacing w:after="0" w:line="240" w:lineRule="auto"/>
              <w:jc w:val="right"/>
              <w:rPr>
                <w:rFonts w:ascii="Times New Roman" w:hAnsi="Times New Roman" w:cs="Times New Roman"/>
              </w:rPr>
            </w:pPr>
            <w:r w:rsidRPr="00FD6B11">
              <w:rPr>
                <w:rFonts w:ascii="Times New Roman" w:hAnsi="Times New Roman" w:cs="Times New Roman"/>
              </w:rPr>
              <w:t>11</w:t>
            </w:r>
          </w:p>
        </w:tc>
        <w:tc>
          <w:tcPr>
            <w:tcW w:w="1329" w:type="pct"/>
            <w:tcBorders>
              <w:top w:val="single" w:sz="4" w:space="0" w:color="auto"/>
              <w:left w:val="single" w:sz="4" w:space="0" w:color="auto"/>
              <w:bottom w:val="single" w:sz="4" w:space="0" w:color="auto"/>
              <w:right w:val="single" w:sz="4" w:space="0" w:color="auto"/>
            </w:tcBorders>
            <w:noWrap/>
            <w:vAlign w:val="center"/>
            <w:hideMark/>
          </w:tcPr>
          <w:p w14:paraId="265F8544" w14:textId="77777777" w:rsidR="00FD6B11" w:rsidRPr="00FD6B11" w:rsidRDefault="00FD6B11" w:rsidP="00FD6B11">
            <w:pPr>
              <w:tabs>
                <w:tab w:val="decimal" w:pos="650"/>
              </w:tabs>
              <w:spacing w:after="0" w:line="240" w:lineRule="auto"/>
              <w:jc w:val="right"/>
              <w:rPr>
                <w:rFonts w:ascii="Times New Roman" w:hAnsi="Times New Roman" w:cs="Times New Roman"/>
              </w:rPr>
            </w:pPr>
            <w:r w:rsidRPr="00FD6B11">
              <w:rPr>
                <w:rFonts w:ascii="Times New Roman" w:hAnsi="Times New Roman" w:cs="Times New Roman"/>
              </w:rPr>
              <w:t>34 342</w:t>
            </w:r>
          </w:p>
        </w:tc>
        <w:tc>
          <w:tcPr>
            <w:tcW w:w="1329" w:type="pct"/>
            <w:tcBorders>
              <w:top w:val="single" w:sz="4" w:space="0" w:color="auto"/>
              <w:left w:val="single" w:sz="4" w:space="0" w:color="auto"/>
              <w:bottom w:val="single" w:sz="4" w:space="0" w:color="auto"/>
              <w:right w:val="single" w:sz="4" w:space="0" w:color="auto"/>
            </w:tcBorders>
            <w:vAlign w:val="center"/>
          </w:tcPr>
          <w:p w14:paraId="39883C73" w14:textId="77777777" w:rsidR="00FD6B11" w:rsidRPr="00FD6B11" w:rsidRDefault="00FD6B11" w:rsidP="00FD6B11">
            <w:pPr>
              <w:tabs>
                <w:tab w:val="decimal" w:pos="650"/>
              </w:tabs>
              <w:spacing w:after="0" w:line="240" w:lineRule="auto"/>
              <w:jc w:val="right"/>
              <w:rPr>
                <w:rFonts w:ascii="Times New Roman" w:hAnsi="Times New Roman" w:cs="Times New Roman"/>
              </w:rPr>
            </w:pPr>
            <w:r w:rsidRPr="00FD6B11">
              <w:rPr>
                <w:rFonts w:ascii="Times New Roman" w:hAnsi="Times New Roman" w:cs="Times New Roman"/>
              </w:rPr>
              <w:t>-</w:t>
            </w:r>
          </w:p>
        </w:tc>
      </w:tr>
    </w:tbl>
    <w:p w14:paraId="0AD53E75" w14:textId="77777777" w:rsidR="00FD6B11" w:rsidRPr="00FD6B11" w:rsidRDefault="00FD6B11" w:rsidP="00FD6B11">
      <w:pPr>
        <w:jc w:val="both"/>
        <w:rPr>
          <w:rFonts w:ascii="Times New Roman" w:hAnsi="Times New Roman" w:cs="Times New Roman"/>
          <w:sz w:val="18"/>
          <w:szCs w:val="18"/>
        </w:rPr>
      </w:pPr>
    </w:p>
    <w:p w14:paraId="31C9C9C6" w14:textId="552BAD45" w:rsidR="00FD6B11" w:rsidRDefault="00DD3E87" w:rsidP="00FD6B11">
      <w:pPr>
        <w:jc w:val="both"/>
        <w:rPr>
          <w:rFonts w:ascii="Times New Roman" w:hAnsi="Times New Roman" w:cs="Times New Roman"/>
          <w:sz w:val="24"/>
          <w:szCs w:val="24"/>
        </w:rPr>
      </w:pPr>
      <w:r>
        <w:rPr>
          <w:rFonts w:ascii="Times New Roman" w:hAnsi="Times New Roman" w:cs="Times New Roman"/>
          <w:sz w:val="24"/>
          <w:szCs w:val="24"/>
        </w:rPr>
        <w:t xml:space="preserve">Ročný cieľ pre sledované obdobie bol </w:t>
      </w:r>
      <w:r w:rsidR="00AC19B2">
        <w:rPr>
          <w:rFonts w:ascii="Times New Roman" w:hAnsi="Times New Roman" w:cs="Times New Roman"/>
          <w:sz w:val="24"/>
          <w:szCs w:val="24"/>
        </w:rPr>
        <w:t>stanovený</w:t>
      </w:r>
      <w:r>
        <w:rPr>
          <w:rFonts w:ascii="Times New Roman" w:hAnsi="Times New Roman" w:cs="Times New Roman"/>
          <w:sz w:val="24"/>
          <w:szCs w:val="24"/>
        </w:rPr>
        <w:t xml:space="preserve"> vo výške 3 122 TJ. V prvom trojročnom období 2008-2010 boli plánované úspory vo výške 9 366 TJ. </w:t>
      </w:r>
      <w:r w:rsidRPr="00AC19B2">
        <w:rPr>
          <w:rFonts w:ascii="Times New Roman" w:hAnsi="Times New Roman" w:cs="Times New Roman"/>
          <w:sz w:val="24"/>
          <w:szCs w:val="24"/>
        </w:rPr>
        <w:t>V ďalšom trojročnom období 2011-2013 sa mali pôvodne zabezpečiť úspory taktiež vo výške 9 366 TJ</w:t>
      </w:r>
      <w:r>
        <w:rPr>
          <w:rFonts w:ascii="Times New Roman" w:hAnsi="Times New Roman" w:cs="Times New Roman"/>
          <w:sz w:val="24"/>
          <w:szCs w:val="24"/>
        </w:rPr>
        <w:t xml:space="preserve">, čo sumárne by znamenalo úsporu energie od 2008-2013 vo výške 18 732 TJ. </w:t>
      </w:r>
      <w:r w:rsidR="00FD6B11" w:rsidRPr="00FD6B11">
        <w:rPr>
          <w:rFonts w:ascii="Times New Roman" w:hAnsi="Times New Roman" w:cs="Times New Roman"/>
          <w:sz w:val="24"/>
          <w:szCs w:val="24"/>
        </w:rPr>
        <w:t xml:space="preserve">Avšak vzhľadom na neexistenciu </w:t>
      </w:r>
      <w:r w:rsidR="00FD6B11" w:rsidRPr="00FD6B11">
        <w:rPr>
          <w:rFonts w:ascii="Times New Roman" w:hAnsi="Times New Roman" w:cs="Times New Roman"/>
          <w:sz w:val="24"/>
          <w:szCs w:val="24"/>
        </w:rPr>
        <w:lastRenderedPageBreak/>
        <w:t>stáleho podporného mechanizmu energetickej efektívnosti v danom období bol cieľ v druhom akčnom pláne stanovený iba vo výške 2,7 %</w:t>
      </w:r>
      <w:r>
        <w:rPr>
          <w:rFonts w:ascii="Times New Roman" w:hAnsi="Times New Roman" w:cs="Times New Roman"/>
          <w:sz w:val="24"/>
          <w:szCs w:val="24"/>
        </w:rPr>
        <w:t>, t.</w:t>
      </w:r>
      <w:r w:rsidR="00AC19B2">
        <w:rPr>
          <w:rFonts w:ascii="Times New Roman" w:hAnsi="Times New Roman" w:cs="Times New Roman"/>
          <w:sz w:val="24"/>
          <w:szCs w:val="24"/>
        </w:rPr>
        <w:t xml:space="preserve"> </w:t>
      </w:r>
      <w:r>
        <w:rPr>
          <w:rFonts w:ascii="Times New Roman" w:hAnsi="Times New Roman" w:cs="Times New Roman"/>
          <w:sz w:val="24"/>
          <w:szCs w:val="24"/>
        </w:rPr>
        <w:t>j. zníženie strednodobého</w:t>
      </w:r>
      <w:r w:rsidRPr="00DD3E87">
        <w:rPr>
          <w:rFonts w:ascii="Times New Roman" w:hAnsi="Times New Roman" w:cs="Times New Roman"/>
          <w:sz w:val="24"/>
          <w:szCs w:val="24"/>
        </w:rPr>
        <w:t xml:space="preserve"> cieľ</w:t>
      </w:r>
      <w:r>
        <w:rPr>
          <w:rFonts w:ascii="Times New Roman" w:hAnsi="Times New Roman" w:cs="Times New Roman"/>
          <w:sz w:val="24"/>
          <w:szCs w:val="24"/>
        </w:rPr>
        <w:t>a</w:t>
      </w:r>
      <w:r w:rsidRPr="00DD3E87">
        <w:rPr>
          <w:rFonts w:ascii="Times New Roman" w:hAnsi="Times New Roman" w:cs="Times New Roman"/>
          <w:sz w:val="24"/>
          <w:szCs w:val="24"/>
        </w:rPr>
        <w:t xml:space="preserve"> do roku 2013</w:t>
      </w:r>
      <w:r>
        <w:rPr>
          <w:rFonts w:ascii="Times New Roman" w:hAnsi="Times New Roman" w:cs="Times New Roman"/>
          <w:sz w:val="24"/>
          <w:szCs w:val="24"/>
        </w:rPr>
        <w:t xml:space="preserve"> celkom zo 6 % na 5,7 % z priemernej hodnoty </w:t>
      </w:r>
      <w:r w:rsidR="00FD6B11" w:rsidRPr="00FD6B11">
        <w:rPr>
          <w:rFonts w:ascii="Times New Roman" w:hAnsi="Times New Roman" w:cs="Times New Roman"/>
          <w:sz w:val="24"/>
          <w:szCs w:val="24"/>
        </w:rPr>
        <w:t>KES</w:t>
      </w:r>
      <w:r w:rsidR="00FD6B11" w:rsidRPr="004E746F">
        <w:rPr>
          <w:rFonts w:ascii="Times New Roman" w:hAnsi="Times New Roman" w:cs="Times New Roman"/>
          <w:sz w:val="24"/>
          <w:szCs w:val="24"/>
          <w:vertAlign w:val="subscript"/>
        </w:rPr>
        <w:t>2001-2005</w:t>
      </w:r>
      <w:r>
        <w:rPr>
          <w:rFonts w:ascii="Times New Roman" w:hAnsi="Times New Roman" w:cs="Times New Roman"/>
          <w:sz w:val="24"/>
          <w:szCs w:val="24"/>
        </w:rPr>
        <w:t>.</w:t>
      </w:r>
      <w:r w:rsidR="00FD6B11" w:rsidRPr="00FD6B11">
        <w:rPr>
          <w:rFonts w:ascii="Times New Roman" w:hAnsi="Times New Roman" w:cs="Times New Roman"/>
          <w:sz w:val="24"/>
          <w:szCs w:val="24"/>
        </w:rPr>
        <w:t xml:space="preserve"> </w:t>
      </w:r>
      <w:r>
        <w:rPr>
          <w:rFonts w:ascii="Times New Roman" w:hAnsi="Times New Roman" w:cs="Times New Roman"/>
          <w:sz w:val="24"/>
          <w:szCs w:val="24"/>
        </w:rPr>
        <w:t>Celková plánovaná hodnota od 2008-2013 bola vypočítaná vo výške 17 728 TJ.</w:t>
      </w:r>
    </w:p>
    <w:p w14:paraId="128A3F36" w14:textId="3084A342" w:rsidR="00274656" w:rsidRDefault="00274656" w:rsidP="00074593">
      <w:pPr>
        <w:jc w:val="both"/>
        <w:rPr>
          <w:rFonts w:ascii="Times New Roman" w:hAnsi="Times New Roman" w:cs="Times New Roman"/>
          <w:sz w:val="24"/>
          <w:szCs w:val="24"/>
        </w:rPr>
      </w:pPr>
      <w:r>
        <w:rPr>
          <w:rFonts w:ascii="Times New Roman" w:hAnsi="Times New Roman" w:cs="Times New Roman"/>
          <w:sz w:val="24"/>
          <w:szCs w:val="24"/>
        </w:rPr>
        <w:t xml:space="preserve">Dlhodobý cieľ na roky 2008-2016 vo výške 9 % na základe </w:t>
      </w:r>
      <w:r w:rsidR="00AC19B2">
        <w:rPr>
          <w:rFonts w:ascii="Times New Roman" w:hAnsi="Times New Roman" w:cs="Times New Roman"/>
          <w:sz w:val="24"/>
          <w:szCs w:val="24"/>
        </w:rPr>
        <w:t>stanoveného ročného cieľa úspor</w:t>
      </w:r>
      <w:r>
        <w:rPr>
          <w:rFonts w:ascii="Times New Roman" w:hAnsi="Times New Roman" w:cs="Times New Roman"/>
          <w:sz w:val="24"/>
          <w:szCs w:val="24"/>
        </w:rPr>
        <w:t xml:space="preserve"> predstavuje 28 098 TJ. Skutočná dosiahnutá úspora energie bola vo výške </w:t>
      </w:r>
      <w:r w:rsidR="00AD1953" w:rsidRPr="0093368F">
        <w:rPr>
          <w:rFonts w:ascii="Times New Roman" w:hAnsi="Times New Roman" w:cs="Times New Roman"/>
          <w:sz w:val="24"/>
          <w:szCs w:val="24"/>
        </w:rPr>
        <w:t xml:space="preserve">26 </w:t>
      </w:r>
      <w:r w:rsidR="00A770EA" w:rsidRPr="0093368F">
        <w:rPr>
          <w:rFonts w:ascii="Times New Roman" w:hAnsi="Times New Roman" w:cs="Times New Roman"/>
          <w:sz w:val="24"/>
          <w:szCs w:val="24"/>
        </w:rPr>
        <w:t>178</w:t>
      </w:r>
      <w:r w:rsidR="00A770EA">
        <w:rPr>
          <w:rFonts w:ascii="Times New Roman" w:hAnsi="Times New Roman" w:cs="Times New Roman"/>
          <w:sz w:val="24"/>
          <w:szCs w:val="24"/>
        </w:rPr>
        <w:t xml:space="preserve"> </w:t>
      </w:r>
      <w:r>
        <w:rPr>
          <w:rFonts w:ascii="Times New Roman" w:hAnsi="Times New Roman" w:cs="Times New Roman"/>
          <w:sz w:val="24"/>
          <w:szCs w:val="24"/>
        </w:rPr>
        <w:t>TJ, t.</w:t>
      </w:r>
      <w:r w:rsidR="00F25B12">
        <w:rPr>
          <w:rFonts w:ascii="Times New Roman" w:hAnsi="Times New Roman" w:cs="Times New Roman"/>
          <w:sz w:val="24"/>
          <w:szCs w:val="24"/>
        </w:rPr>
        <w:t xml:space="preserve"> </w:t>
      </w:r>
      <w:r>
        <w:rPr>
          <w:rFonts w:ascii="Times New Roman" w:hAnsi="Times New Roman" w:cs="Times New Roman"/>
          <w:sz w:val="24"/>
          <w:szCs w:val="24"/>
        </w:rPr>
        <w:t xml:space="preserve">j. </w:t>
      </w:r>
      <w:r w:rsidRPr="001B1483">
        <w:rPr>
          <w:rFonts w:ascii="Times New Roman" w:hAnsi="Times New Roman" w:cs="Times New Roman"/>
          <w:b/>
          <w:sz w:val="24"/>
          <w:szCs w:val="24"/>
        </w:rPr>
        <w:t xml:space="preserve">plnenie na úrovni </w:t>
      </w:r>
      <w:r w:rsidR="00AD1953" w:rsidRPr="00AD1953">
        <w:rPr>
          <w:rFonts w:ascii="Times New Roman" w:hAnsi="Times New Roman" w:cs="Times New Roman"/>
          <w:b/>
          <w:sz w:val="24"/>
          <w:szCs w:val="24"/>
        </w:rPr>
        <w:t>93,1</w:t>
      </w:r>
      <w:r w:rsidR="00A770EA">
        <w:rPr>
          <w:rFonts w:ascii="Times New Roman" w:hAnsi="Times New Roman" w:cs="Times New Roman"/>
          <w:b/>
          <w:sz w:val="24"/>
          <w:szCs w:val="24"/>
        </w:rPr>
        <w:t>7</w:t>
      </w:r>
      <w:r w:rsidR="00AD1953" w:rsidRPr="00AD1953">
        <w:rPr>
          <w:rFonts w:ascii="Times New Roman" w:hAnsi="Times New Roman" w:cs="Times New Roman"/>
          <w:b/>
          <w:sz w:val="24"/>
          <w:szCs w:val="24"/>
        </w:rPr>
        <w:t>%</w:t>
      </w:r>
      <w:r w:rsidR="000576BD">
        <w:rPr>
          <w:rFonts w:ascii="Times New Roman" w:hAnsi="Times New Roman" w:cs="Times New Roman"/>
          <w:b/>
          <w:sz w:val="24"/>
          <w:szCs w:val="24"/>
        </w:rPr>
        <w:t xml:space="preserve"> plánovaného cieľa</w:t>
      </w:r>
      <w:r>
        <w:rPr>
          <w:rFonts w:ascii="Times New Roman" w:hAnsi="Times New Roman" w:cs="Times New Roman"/>
          <w:sz w:val="24"/>
          <w:szCs w:val="24"/>
        </w:rPr>
        <w:t xml:space="preserve">. </w:t>
      </w:r>
    </w:p>
    <w:p w14:paraId="6A867700" w14:textId="3B0EDF28" w:rsidR="00074593" w:rsidRDefault="00074593" w:rsidP="00074593">
      <w:pPr>
        <w:jc w:val="both"/>
        <w:rPr>
          <w:rFonts w:ascii="Times New Roman" w:hAnsi="Times New Roman" w:cs="Times New Roman"/>
          <w:sz w:val="24"/>
          <w:szCs w:val="24"/>
        </w:rPr>
      </w:pPr>
      <w:r w:rsidRPr="00856490">
        <w:rPr>
          <w:rFonts w:ascii="Times New Roman" w:hAnsi="Times New Roman" w:cs="Times New Roman"/>
          <w:sz w:val="24"/>
          <w:szCs w:val="24"/>
        </w:rPr>
        <w:t xml:space="preserve">Na základe </w:t>
      </w:r>
      <w:r w:rsidR="00274656">
        <w:rPr>
          <w:rFonts w:ascii="Times New Roman" w:hAnsi="Times New Roman" w:cs="Times New Roman"/>
          <w:sz w:val="24"/>
          <w:szCs w:val="24"/>
        </w:rPr>
        <w:t>uvedeného zhodnotenia je možné konštatovať</w:t>
      </w:r>
      <w:r w:rsidRPr="00856490">
        <w:rPr>
          <w:rFonts w:ascii="Times New Roman" w:hAnsi="Times New Roman" w:cs="Times New Roman"/>
          <w:sz w:val="24"/>
          <w:szCs w:val="24"/>
        </w:rPr>
        <w:t xml:space="preserve">, že </w:t>
      </w:r>
      <w:r w:rsidRPr="001B1483">
        <w:rPr>
          <w:rFonts w:ascii="Times New Roman" w:hAnsi="Times New Roman" w:cs="Times New Roman"/>
          <w:b/>
          <w:sz w:val="24"/>
          <w:szCs w:val="24"/>
          <w:u w:val="single"/>
        </w:rPr>
        <w:t>plánovan</w:t>
      </w:r>
      <w:r w:rsidR="00274656" w:rsidRPr="001B1483">
        <w:rPr>
          <w:rFonts w:ascii="Times New Roman" w:hAnsi="Times New Roman" w:cs="Times New Roman"/>
          <w:b/>
          <w:sz w:val="24"/>
          <w:szCs w:val="24"/>
          <w:u w:val="single"/>
        </w:rPr>
        <w:t>ý</w:t>
      </w:r>
      <w:r w:rsidRPr="001B1483">
        <w:rPr>
          <w:rFonts w:ascii="Times New Roman" w:hAnsi="Times New Roman" w:cs="Times New Roman"/>
          <w:b/>
          <w:sz w:val="24"/>
          <w:szCs w:val="24"/>
          <w:u w:val="single"/>
        </w:rPr>
        <w:t xml:space="preserve"> cieľ</w:t>
      </w:r>
      <w:r w:rsidR="00274656" w:rsidRPr="001B1483">
        <w:rPr>
          <w:rFonts w:ascii="Times New Roman" w:hAnsi="Times New Roman" w:cs="Times New Roman"/>
          <w:b/>
          <w:sz w:val="24"/>
          <w:szCs w:val="24"/>
          <w:u w:val="single"/>
        </w:rPr>
        <w:t xml:space="preserve"> </w:t>
      </w:r>
      <w:r w:rsidR="00DD2A78" w:rsidRPr="001B1483">
        <w:rPr>
          <w:rFonts w:ascii="Times New Roman" w:hAnsi="Times New Roman" w:cs="Times New Roman"/>
          <w:b/>
          <w:sz w:val="24"/>
          <w:szCs w:val="24"/>
          <w:u w:val="single"/>
        </w:rPr>
        <w:t xml:space="preserve">podľa smernice 2006/32/ES </w:t>
      </w:r>
      <w:r w:rsidR="00274656" w:rsidRPr="001B1483">
        <w:rPr>
          <w:rFonts w:ascii="Times New Roman" w:hAnsi="Times New Roman" w:cs="Times New Roman"/>
          <w:b/>
          <w:sz w:val="24"/>
          <w:szCs w:val="24"/>
          <w:u w:val="single"/>
        </w:rPr>
        <w:t>nebol naplnený</w:t>
      </w:r>
      <w:r w:rsidRPr="00856490">
        <w:rPr>
          <w:rFonts w:ascii="Times New Roman" w:hAnsi="Times New Roman" w:cs="Times New Roman"/>
          <w:sz w:val="24"/>
          <w:szCs w:val="24"/>
        </w:rPr>
        <w:t xml:space="preserve">. Táto hodnota bude ešte korigovaná počas roka 2017, keď budú k </w:t>
      </w:r>
      <w:r w:rsidRPr="00550B0C">
        <w:rPr>
          <w:rFonts w:ascii="Times New Roman" w:hAnsi="Times New Roman" w:cs="Times New Roman"/>
          <w:sz w:val="24"/>
          <w:szCs w:val="24"/>
        </w:rPr>
        <w:t>dispozícii všetky relevantné údaje za rok 2016.</w:t>
      </w:r>
      <w:r w:rsidR="00274656" w:rsidRPr="00550B0C">
        <w:rPr>
          <w:rFonts w:ascii="Times New Roman" w:hAnsi="Times New Roman" w:cs="Times New Roman"/>
          <w:sz w:val="24"/>
          <w:szCs w:val="24"/>
        </w:rPr>
        <w:t xml:space="preserve"> Rozdiel plnenia bo</w:t>
      </w:r>
      <w:r w:rsidR="00393905" w:rsidRPr="00550B0C">
        <w:rPr>
          <w:rFonts w:ascii="Times New Roman" w:hAnsi="Times New Roman" w:cs="Times New Roman"/>
          <w:sz w:val="24"/>
          <w:szCs w:val="24"/>
        </w:rPr>
        <w:t xml:space="preserve">l zapríčinený nedostatočnou realizáciou úsporných opatrení </w:t>
      </w:r>
      <w:r w:rsidR="00AC19B2" w:rsidRPr="00550B0C">
        <w:rPr>
          <w:rFonts w:ascii="Times New Roman" w:hAnsi="Times New Roman" w:cs="Times New Roman"/>
          <w:sz w:val="24"/>
          <w:szCs w:val="24"/>
        </w:rPr>
        <w:t xml:space="preserve">najmä </w:t>
      </w:r>
      <w:r w:rsidR="00393905" w:rsidRPr="00550B0C">
        <w:rPr>
          <w:rFonts w:ascii="Times New Roman" w:hAnsi="Times New Roman" w:cs="Times New Roman"/>
          <w:sz w:val="24"/>
          <w:szCs w:val="24"/>
        </w:rPr>
        <w:t>v sektore priemyslu a dopravy.</w:t>
      </w:r>
    </w:p>
    <w:p w14:paraId="391F404D" w14:textId="7F580D5E" w:rsidR="00790F11" w:rsidRPr="00505211" w:rsidRDefault="00790F11" w:rsidP="00FD6B11">
      <w:pPr>
        <w:jc w:val="both"/>
        <w:rPr>
          <w:rFonts w:ascii="Times New Roman" w:hAnsi="Times New Roman" w:cs="Times New Roman"/>
          <w:sz w:val="24"/>
          <w:szCs w:val="24"/>
        </w:rPr>
      </w:pPr>
      <w:r w:rsidRPr="00505211">
        <w:rPr>
          <w:rFonts w:ascii="Times New Roman" w:hAnsi="Times New Roman" w:cs="Times New Roman"/>
          <w:sz w:val="24"/>
          <w:szCs w:val="24"/>
        </w:rPr>
        <w:t xml:space="preserve">Tabuľka č. 2: </w:t>
      </w:r>
      <w:r w:rsidRPr="000578FE">
        <w:rPr>
          <w:rFonts w:ascii="Times New Roman" w:hAnsi="Times New Roman" w:cs="Times New Roman"/>
          <w:sz w:val="24"/>
          <w:szCs w:val="24"/>
        </w:rPr>
        <w:t xml:space="preserve">Úspory energie podľa </w:t>
      </w:r>
      <w:r w:rsidRPr="000578FE">
        <w:rPr>
          <w:rFonts w:ascii="Times New Roman" w:hAnsi="Times New Roman" w:cs="Times New Roman"/>
          <w:color w:val="000000" w:themeColor="text1"/>
          <w:sz w:val="24"/>
          <w:szCs w:val="24"/>
        </w:rPr>
        <w:t xml:space="preserve">smernice 2006/32/ES za roky </w:t>
      </w:r>
      <w:r w:rsidRPr="000578FE">
        <w:rPr>
          <w:rFonts w:ascii="Times New Roman" w:hAnsi="Times New Roman" w:cs="Times New Roman"/>
          <w:sz w:val="24"/>
          <w:szCs w:val="24"/>
        </w:rPr>
        <w:t>2014, 2015 a 2016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4"/>
        <w:gridCol w:w="1680"/>
        <w:gridCol w:w="1680"/>
        <w:gridCol w:w="1488"/>
      </w:tblGrid>
      <w:tr w:rsidR="00FD6B11" w:rsidRPr="00341365" w14:paraId="694F27FD" w14:textId="77777777" w:rsidTr="00341365">
        <w:trPr>
          <w:trHeight w:val="300"/>
        </w:trPr>
        <w:tc>
          <w:tcPr>
            <w:tcW w:w="2325" w:type="pct"/>
            <w:vMerge w:val="restart"/>
            <w:shd w:val="clear" w:color="auto" w:fill="BFBFBF" w:themeFill="background1" w:themeFillShade="BF"/>
            <w:noWrap/>
            <w:vAlign w:val="center"/>
            <w:hideMark/>
          </w:tcPr>
          <w:p w14:paraId="4F542E94" w14:textId="77777777" w:rsidR="00FD6B11" w:rsidRPr="00341365" w:rsidRDefault="00FD6B11" w:rsidP="00FD6B11">
            <w:pPr>
              <w:spacing w:after="0" w:line="240" w:lineRule="auto"/>
              <w:jc w:val="center"/>
              <w:rPr>
                <w:rFonts w:ascii="Times New Roman" w:eastAsia="Times New Roman" w:hAnsi="Times New Roman" w:cs="Times New Roman"/>
                <w:b/>
                <w:color w:val="000000"/>
                <w:lang w:eastAsia="sk-SK"/>
              </w:rPr>
            </w:pPr>
            <w:r w:rsidRPr="00341365">
              <w:rPr>
                <w:rFonts w:ascii="Times New Roman" w:eastAsia="Times New Roman" w:hAnsi="Times New Roman" w:cs="Times New Roman"/>
                <w:b/>
                <w:color w:val="000000"/>
                <w:lang w:eastAsia="sk-SK"/>
              </w:rPr>
              <w:t>Sektor</w:t>
            </w:r>
          </w:p>
        </w:tc>
        <w:tc>
          <w:tcPr>
            <w:tcW w:w="2675" w:type="pct"/>
            <w:gridSpan w:val="3"/>
            <w:shd w:val="clear" w:color="auto" w:fill="BFBFBF" w:themeFill="background1" w:themeFillShade="BF"/>
            <w:noWrap/>
            <w:vAlign w:val="center"/>
            <w:hideMark/>
          </w:tcPr>
          <w:p w14:paraId="6B8BB296" w14:textId="77777777" w:rsidR="00FD6B11" w:rsidRPr="00341365" w:rsidRDefault="00FD6B11" w:rsidP="00FD6B11">
            <w:pPr>
              <w:spacing w:after="0" w:line="240" w:lineRule="auto"/>
              <w:jc w:val="center"/>
              <w:rPr>
                <w:rFonts w:ascii="Times New Roman" w:eastAsia="Times New Roman" w:hAnsi="Times New Roman" w:cs="Times New Roman"/>
                <w:b/>
                <w:color w:val="000000"/>
                <w:lang w:eastAsia="sk-SK"/>
              </w:rPr>
            </w:pPr>
            <w:r w:rsidRPr="00341365">
              <w:rPr>
                <w:rFonts w:ascii="Times New Roman" w:eastAsia="Times New Roman" w:hAnsi="Times New Roman" w:cs="Times New Roman"/>
                <w:b/>
                <w:color w:val="000000" w:themeColor="text1"/>
                <w:lang w:eastAsia="sk-SK"/>
              </w:rPr>
              <w:t xml:space="preserve">Úspory energie </w:t>
            </w:r>
            <w:r w:rsidRPr="00341365">
              <w:rPr>
                <w:rFonts w:ascii="Times New Roman" w:hAnsi="Times New Roman" w:cs="Times New Roman"/>
                <w:b/>
                <w:color w:val="000000" w:themeColor="text1"/>
              </w:rPr>
              <w:t>podľa smernice 2006/32/ES</w:t>
            </w:r>
          </w:p>
        </w:tc>
      </w:tr>
      <w:tr w:rsidR="00FD6B11" w:rsidRPr="00341365" w14:paraId="3AB03466" w14:textId="77777777" w:rsidTr="00341365">
        <w:trPr>
          <w:trHeight w:val="208"/>
        </w:trPr>
        <w:tc>
          <w:tcPr>
            <w:tcW w:w="2325" w:type="pct"/>
            <w:vMerge/>
            <w:shd w:val="clear" w:color="auto" w:fill="BFBFBF" w:themeFill="background1" w:themeFillShade="BF"/>
            <w:noWrap/>
            <w:vAlign w:val="center"/>
            <w:hideMark/>
          </w:tcPr>
          <w:p w14:paraId="1CBE0CB9" w14:textId="77777777" w:rsidR="00FD6B11" w:rsidRPr="00341365" w:rsidRDefault="00FD6B11" w:rsidP="00FD6B11">
            <w:pPr>
              <w:spacing w:after="0" w:line="240" w:lineRule="auto"/>
              <w:jc w:val="center"/>
              <w:rPr>
                <w:rFonts w:ascii="Times New Roman" w:eastAsia="Times New Roman" w:hAnsi="Times New Roman" w:cs="Times New Roman"/>
                <w:b/>
                <w:color w:val="000000"/>
                <w:lang w:eastAsia="sk-SK"/>
              </w:rPr>
            </w:pPr>
          </w:p>
        </w:tc>
        <w:tc>
          <w:tcPr>
            <w:tcW w:w="927" w:type="pct"/>
            <w:shd w:val="clear" w:color="auto" w:fill="BFBFBF" w:themeFill="background1" w:themeFillShade="BF"/>
            <w:noWrap/>
            <w:vAlign w:val="center"/>
            <w:hideMark/>
          </w:tcPr>
          <w:p w14:paraId="41FAD9B1" w14:textId="77777777" w:rsidR="00FD6B11" w:rsidRPr="00341365" w:rsidRDefault="00FD6B11" w:rsidP="00FD6B11">
            <w:pPr>
              <w:spacing w:after="0" w:line="240" w:lineRule="auto"/>
              <w:jc w:val="center"/>
              <w:rPr>
                <w:rFonts w:ascii="Times New Roman" w:eastAsia="Times New Roman" w:hAnsi="Times New Roman" w:cs="Times New Roman"/>
                <w:b/>
                <w:color w:val="000000"/>
                <w:lang w:eastAsia="sk-SK"/>
              </w:rPr>
            </w:pPr>
            <w:r w:rsidRPr="00341365">
              <w:rPr>
                <w:rFonts w:ascii="Times New Roman" w:eastAsia="Times New Roman" w:hAnsi="Times New Roman" w:cs="Times New Roman"/>
                <w:b/>
                <w:color w:val="000000"/>
                <w:lang w:eastAsia="sk-SK"/>
              </w:rPr>
              <w:t>2014</w:t>
            </w:r>
          </w:p>
          <w:p w14:paraId="4F7E35E3" w14:textId="77777777" w:rsidR="00FD6B11" w:rsidRPr="00341365" w:rsidRDefault="00FD6B11" w:rsidP="00FD6B11">
            <w:pPr>
              <w:spacing w:after="0" w:line="240" w:lineRule="auto"/>
              <w:jc w:val="center"/>
              <w:rPr>
                <w:rFonts w:ascii="Times New Roman" w:eastAsia="Times New Roman" w:hAnsi="Times New Roman" w:cs="Times New Roman"/>
                <w:b/>
                <w:color w:val="000000"/>
                <w:lang w:eastAsia="sk-SK"/>
              </w:rPr>
            </w:pPr>
            <w:r w:rsidRPr="00341365">
              <w:rPr>
                <w:rFonts w:ascii="Times New Roman" w:eastAsia="Times New Roman" w:hAnsi="Times New Roman" w:cs="Times New Roman"/>
                <w:b/>
                <w:color w:val="000000"/>
                <w:lang w:eastAsia="sk-SK"/>
              </w:rPr>
              <w:t>[TJ/rok</w:t>
            </w:r>
            <w:r w:rsidRPr="00341365">
              <w:rPr>
                <w:rFonts w:ascii="Times New Roman" w:eastAsia="Times New Roman" w:hAnsi="Times New Roman" w:cs="Times New Roman"/>
                <w:b/>
                <w:color w:val="000000"/>
                <w:lang w:val="en-GB" w:eastAsia="sk-SK"/>
              </w:rPr>
              <w:t>]</w:t>
            </w:r>
          </w:p>
        </w:tc>
        <w:tc>
          <w:tcPr>
            <w:tcW w:w="927" w:type="pct"/>
            <w:shd w:val="clear" w:color="auto" w:fill="BFBFBF" w:themeFill="background1" w:themeFillShade="BF"/>
            <w:noWrap/>
            <w:vAlign w:val="center"/>
            <w:hideMark/>
          </w:tcPr>
          <w:p w14:paraId="37E63675" w14:textId="77777777" w:rsidR="00FD6B11" w:rsidRPr="00341365" w:rsidRDefault="00FD6B11" w:rsidP="00FD6B11">
            <w:pPr>
              <w:spacing w:after="0" w:line="240" w:lineRule="auto"/>
              <w:jc w:val="center"/>
              <w:rPr>
                <w:rFonts w:ascii="Times New Roman" w:eastAsia="Times New Roman" w:hAnsi="Times New Roman" w:cs="Times New Roman"/>
                <w:b/>
                <w:color w:val="000000"/>
                <w:lang w:eastAsia="sk-SK"/>
              </w:rPr>
            </w:pPr>
            <w:r w:rsidRPr="00341365">
              <w:rPr>
                <w:rFonts w:ascii="Times New Roman" w:eastAsia="Times New Roman" w:hAnsi="Times New Roman" w:cs="Times New Roman"/>
                <w:b/>
                <w:color w:val="000000"/>
                <w:lang w:eastAsia="sk-SK"/>
              </w:rPr>
              <w:t>2015</w:t>
            </w:r>
            <w:r w:rsidRPr="00341365">
              <w:rPr>
                <w:rFonts w:ascii="Times New Roman" w:eastAsia="Times New Roman" w:hAnsi="Times New Roman" w:cs="Times New Roman"/>
                <w:b/>
                <w:color w:val="000000"/>
                <w:vertAlign w:val="superscript"/>
                <w:lang w:eastAsia="sk-SK"/>
              </w:rPr>
              <w:footnoteReference w:id="10"/>
            </w:r>
          </w:p>
          <w:p w14:paraId="15C3FD0D" w14:textId="77777777" w:rsidR="00FD6B11" w:rsidRPr="00341365" w:rsidRDefault="00FD6B11" w:rsidP="00FD6B11">
            <w:pPr>
              <w:spacing w:after="0" w:line="240" w:lineRule="auto"/>
              <w:jc w:val="center"/>
              <w:rPr>
                <w:rFonts w:ascii="Times New Roman" w:eastAsia="Times New Roman" w:hAnsi="Times New Roman" w:cs="Times New Roman"/>
                <w:b/>
                <w:color w:val="000000"/>
                <w:lang w:eastAsia="sk-SK"/>
              </w:rPr>
            </w:pPr>
            <w:r w:rsidRPr="00341365">
              <w:rPr>
                <w:rFonts w:ascii="Times New Roman" w:eastAsia="Times New Roman" w:hAnsi="Times New Roman" w:cs="Times New Roman"/>
                <w:b/>
                <w:color w:val="000000"/>
                <w:lang w:eastAsia="sk-SK"/>
              </w:rPr>
              <w:t>[TJ/rok</w:t>
            </w:r>
            <w:r w:rsidRPr="00341365">
              <w:rPr>
                <w:rFonts w:ascii="Times New Roman" w:eastAsia="Times New Roman" w:hAnsi="Times New Roman" w:cs="Times New Roman"/>
                <w:b/>
                <w:color w:val="000000"/>
                <w:lang w:val="en-GB" w:eastAsia="sk-SK"/>
              </w:rPr>
              <w:t>]</w:t>
            </w:r>
          </w:p>
        </w:tc>
        <w:tc>
          <w:tcPr>
            <w:tcW w:w="821" w:type="pct"/>
            <w:shd w:val="clear" w:color="auto" w:fill="BFBFBF" w:themeFill="background1" w:themeFillShade="BF"/>
            <w:vAlign w:val="center"/>
          </w:tcPr>
          <w:p w14:paraId="1ACF8755" w14:textId="77777777" w:rsidR="00FD6B11" w:rsidRPr="00341365" w:rsidRDefault="00FD6B11" w:rsidP="00FD6B11">
            <w:pPr>
              <w:spacing w:after="0" w:line="240" w:lineRule="auto"/>
              <w:jc w:val="center"/>
              <w:rPr>
                <w:rFonts w:ascii="Times New Roman" w:eastAsia="Times New Roman" w:hAnsi="Times New Roman" w:cs="Times New Roman"/>
                <w:b/>
                <w:color w:val="000000"/>
                <w:lang w:eastAsia="sk-SK"/>
              </w:rPr>
            </w:pPr>
            <w:r w:rsidRPr="00341365">
              <w:rPr>
                <w:rFonts w:ascii="Times New Roman" w:eastAsia="Times New Roman" w:hAnsi="Times New Roman" w:cs="Times New Roman"/>
                <w:b/>
                <w:color w:val="000000"/>
                <w:lang w:eastAsia="sk-SK"/>
              </w:rPr>
              <w:t>2016</w:t>
            </w:r>
            <w:r w:rsidRPr="00341365">
              <w:rPr>
                <w:rFonts w:ascii="Times New Roman" w:eastAsia="Times New Roman" w:hAnsi="Times New Roman" w:cs="Times New Roman"/>
                <w:b/>
                <w:color w:val="000000"/>
                <w:vertAlign w:val="superscript"/>
                <w:lang w:eastAsia="sk-SK"/>
              </w:rPr>
              <w:footnoteReference w:id="11"/>
            </w:r>
          </w:p>
          <w:p w14:paraId="268796C8" w14:textId="77777777" w:rsidR="00FD6B11" w:rsidRPr="00341365" w:rsidRDefault="00FD6B11" w:rsidP="00FD6B11">
            <w:pPr>
              <w:spacing w:after="0" w:line="240" w:lineRule="auto"/>
              <w:jc w:val="center"/>
              <w:rPr>
                <w:rFonts w:ascii="Times New Roman" w:eastAsia="Times New Roman" w:hAnsi="Times New Roman" w:cs="Times New Roman"/>
                <w:b/>
                <w:color w:val="000000"/>
                <w:lang w:eastAsia="sk-SK"/>
              </w:rPr>
            </w:pPr>
            <w:r w:rsidRPr="00341365">
              <w:rPr>
                <w:rFonts w:ascii="Times New Roman" w:eastAsia="Times New Roman" w:hAnsi="Times New Roman" w:cs="Times New Roman"/>
                <w:b/>
                <w:color w:val="000000"/>
                <w:lang w:eastAsia="sk-SK"/>
              </w:rPr>
              <w:t>[TJ/rok</w:t>
            </w:r>
            <w:r w:rsidRPr="00341365">
              <w:rPr>
                <w:rFonts w:ascii="Times New Roman" w:eastAsia="Times New Roman" w:hAnsi="Times New Roman" w:cs="Times New Roman"/>
                <w:b/>
                <w:color w:val="000000"/>
                <w:lang w:val="en-GB" w:eastAsia="sk-SK"/>
              </w:rPr>
              <w:t>]</w:t>
            </w:r>
          </w:p>
        </w:tc>
      </w:tr>
      <w:tr w:rsidR="00341365" w:rsidRPr="00341365" w14:paraId="1539BCAB" w14:textId="77777777" w:rsidTr="00AF5415">
        <w:trPr>
          <w:trHeight w:val="300"/>
        </w:trPr>
        <w:tc>
          <w:tcPr>
            <w:tcW w:w="2325" w:type="pct"/>
            <w:shd w:val="clear" w:color="auto" w:fill="auto"/>
            <w:noWrap/>
            <w:vAlign w:val="center"/>
            <w:hideMark/>
          </w:tcPr>
          <w:p w14:paraId="14D6FA4F" w14:textId="77777777" w:rsidR="00341365" w:rsidRPr="00341365" w:rsidRDefault="00341365" w:rsidP="00341365">
            <w:pPr>
              <w:spacing w:after="0" w:line="240" w:lineRule="auto"/>
              <w:rPr>
                <w:rFonts w:ascii="Times New Roman" w:eastAsia="Times New Roman" w:hAnsi="Times New Roman" w:cs="Times New Roman"/>
                <w:color w:val="000000"/>
                <w:lang w:eastAsia="sk-SK"/>
              </w:rPr>
            </w:pPr>
            <w:r w:rsidRPr="00341365">
              <w:rPr>
                <w:rFonts w:ascii="Times New Roman" w:eastAsia="Times New Roman" w:hAnsi="Times New Roman" w:cs="Times New Roman"/>
                <w:color w:val="000000"/>
                <w:lang w:eastAsia="sk-SK"/>
              </w:rPr>
              <w:t>Budovy</w:t>
            </w:r>
          </w:p>
        </w:tc>
        <w:tc>
          <w:tcPr>
            <w:tcW w:w="927" w:type="pct"/>
            <w:shd w:val="clear" w:color="auto" w:fill="auto"/>
            <w:noWrap/>
            <w:vAlign w:val="center"/>
          </w:tcPr>
          <w:p w14:paraId="164D6698" w14:textId="17CAD682" w:rsidR="00341365" w:rsidRPr="00341365" w:rsidRDefault="00341365">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1 616,76</w:t>
            </w:r>
          </w:p>
        </w:tc>
        <w:tc>
          <w:tcPr>
            <w:tcW w:w="927" w:type="pct"/>
            <w:shd w:val="clear" w:color="auto" w:fill="auto"/>
            <w:noWrap/>
            <w:vAlign w:val="center"/>
          </w:tcPr>
          <w:p w14:paraId="32658A0B" w14:textId="107FFE39" w:rsidR="00341365" w:rsidRPr="00341365" w:rsidRDefault="00341365">
            <w:pPr>
              <w:spacing w:after="0" w:line="240" w:lineRule="auto"/>
              <w:jc w:val="right"/>
              <w:rPr>
                <w:rFonts w:ascii="Times New Roman" w:hAnsi="Times New Roman" w:cs="Times New Roman"/>
              </w:rPr>
            </w:pPr>
            <w:r w:rsidRPr="00AF5415">
              <w:rPr>
                <w:rFonts w:ascii="Times New Roman" w:hAnsi="Times New Roman" w:cs="Times New Roman"/>
              </w:rPr>
              <w:t>1 773,30</w:t>
            </w:r>
          </w:p>
        </w:tc>
        <w:tc>
          <w:tcPr>
            <w:tcW w:w="821" w:type="pct"/>
            <w:tcBorders>
              <w:top w:val="nil"/>
              <w:left w:val="single" w:sz="4" w:space="0" w:color="auto"/>
              <w:bottom w:val="single" w:sz="4" w:space="0" w:color="auto"/>
              <w:right w:val="single" w:sz="4" w:space="0" w:color="auto"/>
            </w:tcBorders>
            <w:shd w:val="clear" w:color="auto" w:fill="auto"/>
            <w:vAlign w:val="center"/>
          </w:tcPr>
          <w:p w14:paraId="7C6DA401" w14:textId="72039E19" w:rsidR="00341365" w:rsidRPr="00341365" w:rsidRDefault="00341365">
            <w:pPr>
              <w:spacing w:after="0" w:line="240" w:lineRule="auto"/>
              <w:jc w:val="right"/>
              <w:rPr>
                <w:rFonts w:ascii="Times New Roman" w:hAnsi="Times New Roman" w:cs="Times New Roman"/>
              </w:rPr>
            </w:pPr>
            <w:r w:rsidRPr="00AF5415">
              <w:rPr>
                <w:rFonts w:ascii="Times New Roman" w:hAnsi="Times New Roman" w:cs="Times New Roman"/>
              </w:rPr>
              <w:t>1 66</w:t>
            </w:r>
            <w:r w:rsidR="001D4443">
              <w:rPr>
                <w:rFonts w:ascii="Times New Roman" w:hAnsi="Times New Roman" w:cs="Times New Roman"/>
              </w:rPr>
              <w:t>1</w:t>
            </w:r>
            <w:r w:rsidRPr="00AF5415">
              <w:rPr>
                <w:rFonts w:ascii="Times New Roman" w:hAnsi="Times New Roman" w:cs="Times New Roman"/>
              </w:rPr>
              <w:t>,</w:t>
            </w:r>
            <w:r w:rsidR="001D4443">
              <w:rPr>
                <w:rFonts w:ascii="Times New Roman" w:hAnsi="Times New Roman" w:cs="Times New Roman"/>
              </w:rPr>
              <w:t>17</w:t>
            </w:r>
          </w:p>
        </w:tc>
      </w:tr>
      <w:tr w:rsidR="00341365" w:rsidRPr="00341365" w14:paraId="7A2E51FD" w14:textId="77777777" w:rsidTr="00AF5415">
        <w:trPr>
          <w:trHeight w:val="300"/>
        </w:trPr>
        <w:tc>
          <w:tcPr>
            <w:tcW w:w="2325" w:type="pct"/>
            <w:shd w:val="clear" w:color="auto" w:fill="auto"/>
            <w:noWrap/>
            <w:vAlign w:val="center"/>
            <w:hideMark/>
          </w:tcPr>
          <w:p w14:paraId="63079ACD" w14:textId="77777777" w:rsidR="00341365" w:rsidRPr="00341365" w:rsidRDefault="00341365" w:rsidP="00341365">
            <w:pPr>
              <w:spacing w:after="0" w:line="240" w:lineRule="auto"/>
              <w:rPr>
                <w:rFonts w:ascii="Times New Roman" w:eastAsia="Times New Roman" w:hAnsi="Times New Roman" w:cs="Times New Roman"/>
                <w:color w:val="000000"/>
                <w:lang w:eastAsia="sk-SK"/>
              </w:rPr>
            </w:pPr>
            <w:r w:rsidRPr="00341365">
              <w:rPr>
                <w:rFonts w:ascii="Times New Roman" w:eastAsia="Times New Roman" w:hAnsi="Times New Roman" w:cs="Times New Roman"/>
                <w:color w:val="000000"/>
                <w:lang w:eastAsia="sk-SK"/>
              </w:rPr>
              <w:t>Priemysel</w:t>
            </w:r>
          </w:p>
        </w:tc>
        <w:tc>
          <w:tcPr>
            <w:tcW w:w="927" w:type="pct"/>
            <w:shd w:val="clear" w:color="auto" w:fill="auto"/>
            <w:noWrap/>
            <w:vAlign w:val="center"/>
          </w:tcPr>
          <w:p w14:paraId="35CA8A88" w14:textId="5051A9C3" w:rsidR="00341365" w:rsidRPr="00341365" w:rsidRDefault="00341365">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1 015,08</w:t>
            </w:r>
          </w:p>
        </w:tc>
        <w:tc>
          <w:tcPr>
            <w:tcW w:w="927" w:type="pct"/>
            <w:shd w:val="clear" w:color="auto" w:fill="auto"/>
            <w:noWrap/>
            <w:vAlign w:val="center"/>
          </w:tcPr>
          <w:p w14:paraId="36315800" w14:textId="28099927" w:rsidR="00341365" w:rsidRPr="00341365" w:rsidRDefault="00341365">
            <w:pPr>
              <w:spacing w:after="0" w:line="240" w:lineRule="auto"/>
              <w:jc w:val="right"/>
              <w:rPr>
                <w:rFonts w:ascii="Times New Roman" w:hAnsi="Times New Roman" w:cs="Times New Roman"/>
              </w:rPr>
            </w:pPr>
            <w:r w:rsidRPr="00AF5415">
              <w:rPr>
                <w:rFonts w:ascii="Times New Roman" w:hAnsi="Times New Roman" w:cs="Times New Roman"/>
              </w:rPr>
              <w:t>1 633,02</w:t>
            </w:r>
          </w:p>
        </w:tc>
        <w:tc>
          <w:tcPr>
            <w:tcW w:w="821" w:type="pct"/>
            <w:tcBorders>
              <w:top w:val="nil"/>
              <w:left w:val="single" w:sz="4" w:space="0" w:color="auto"/>
              <w:bottom w:val="single" w:sz="4" w:space="0" w:color="auto"/>
              <w:right w:val="single" w:sz="4" w:space="0" w:color="auto"/>
            </w:tcBorders>
            <w:shd w:val="clear" w:color="auto" w:fill="auto"/>
            <w:vAlign w:val="center"/>
          </w:tcPr>
          <w:p w14:paraId="1E09D49D" w14:textId="0430D60A" w:rsidR="00341365" w:rsidRPr="00341365" w:rsidRDefault="00341365">
            <w:pPr>
              <w:spacing w:after="0" w:line="240" w:lineRule="auto"/>
              <w:jc w:val="right"/>
              <w:rPr>
                <w:rFonts w:ascii="Times New Roman" w:hAnsi="Times New Roman" w:cs="Times New Roman"/>
              </w:rPr>
            </w:pPr>
            <w:r w:rsidRPr="00AF5415">
              <w:rPr>
                <w:rFonts w:ascii="Times New Roman" w:hAnsi="Times New Roman" w:cs="Times New Roman"/>
              </w:rPr>
              <w:t>123,94</w:t>
            </w:r>
          </w:p>
        </w:tc>
      </w:tr>
      <w:tr w:rsidR="00341365" w:rsidRPr="00341365" w14:paraId="3E929C5D" w14:textId="77777777" w:rsidTr="00AF5415">
        <w:trPr>
          <w:trHeight w:val="315"/>
        </w:trPr>
        <w:tc>
          <w:tcPr>
            <w:tcW w:w="2325" w:type="pct"/>
            <w:shd w:val="clear" w:color="auto" w:fill="auto"/>
            <w:noWrap/>
            <w:vAlign w:val="center"/>
            <w:hideMark/>
          </w:tcPr>
          <w:p w14:paraId="5E0C57A3" w14:textId="77777777" w:rsidR="00341365" w:rsidRPr="00341365" w:rsidRDefault="00341365" w:rsidP="00341365">
            <w:pPr>
              <w:spacing w:after="0" w:line="240" w:lineRule="auto"/>
              <w:rPr>
                <w:rFonts w:ascii="Times New Roman" w:eastAsia="Times New Roman" w:hAnsi="Times New Roman" w:cs="Times New Roman"/>
                <w:color w:val="000000"/>
                <w:lang w:eastAsia="sk-SK"/>
              </w:rPr>
            </w:pPr>
            <w:r w:rsidRPr="00341365">
              <w:rPr>
                <w:rFonts w:ascii="Times New Roman" w:eastAsia="Times New Roman" w:hAnsi="Times New Roman" w:cs="Times New Roman"/>
                <w:color w:val="000000"/>
                <w:lang w:eastAsia="sk-SK"/>
              </w:rPr>
              <w:t>Verejný sektor</w:t>
            </w:r>
          </w:p>
        </w:tc>
        <w:tc>
          <w:tcPr>
            <w:tcW w:w="927" w:type="pct"/>
            <w:shd w:val="clear" w:color="auto" w:fill="auto"/>
            <w:noWrap/>
            <w:vAlign w:val="center"/>
          </w:tcPr>
          <w:p w14:paraId="1A8AE474" w14:textId="62AA8701" w:rsidR="00341365" w:rsidRPr="00341365" w:rsidRDefault="00341365">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167,42</w:t>
            </w:r>
          </w:p>
        </w:tc>
        <w:tc>
          <w:tcPr>
            <w:tcW w:w="927" w:type="pct"/>
            <w:shd w:val="clear" w:color="auto" w:fill="auto"/>
            <w:noWrap/>
            <w:vAlign w:val="center"/>
          </w:tcPr>
          <w:p w14:paraId="5D6B009E" w14:textId="7D2CC879" w:rsidR="00341365" w:rsidRPr="00341365" w:rsidRDefault="00A97FC2">
            <w:pPr>
              <w:spacing w:after="0" w:line="240" w:lineRule="auto"/>
              <w:jc w:val="right"/>
              <w:rPr>
                <w:rFonts w:ascii="Times New Roman" w:hAnsi="Times New Roman" w:cs="Times New Roman"/>
              </w:rPr>
            </w:pPr>
            <w:r w:rsidRPr="00AF5415">
              <w:rPr>
                <w:rFonts w:ascii="Times New Roman" w:hAnsi="Times New Roman" w:cs="Times New Roman"/>
              </w:rPr>
              <w:t>40</w:t>
            </w:r>
            <w:r>
              <w:rPr>
                <w:rFonts w:ascii="Times New Roman" w:hAnsi="Times New Roman" w:cs="Times New Roman"/>
              </w:rPr>
              <w:t>9</w:t>
            </w:r>
            <w:r w:rsidR="00341365" w:rsidRPr="00AF5415">
              <w:rPr>
                <w:rFonts w:ascii="Times New Roman" w:hAnsi="Times New Roman" w:cs="Times New Roman"/>
              </w:rPr>
              <w:t>,</w:t>
            </w:r>
            <w:r>
              <w:rPr>
                <w:rFonts w:ascii="Times New Roman" w:hAnsi="Times New Roman" w:cs="Times New Roman"/>
              </w:rPr>
              <w:t>16</w:t>
            </w:r>
          </w:p>
        </w:tc>
        <w:tc>
          <w:tcPr>
            <w:tcW w:w="821" w:type="pct"/>
            <w:tcBorders>
              <w:top w:val="nil"/>
              <w:left w:val="single" w:sz="4" w:space="0" w:color="auto"/>
              <w:bottom w:val="single" w:sz="4" w:space="0" w:color="auto"/>
              <w:right w:val="single" w:sz="4" w:space="0" w:color="auto"/>
            </w:tcBorders>
            <w:shd w:val="clear" w:color="auto" w:fill="auto"/>
            <w:vAlign w:val="center"/>
          </w:tcPr>
          <w:p w14:paraId="6D039C5D" w14:textId="3A13C1FE" w:rsidR="00341365" w:rsidRPr="00341365" w:rsidRDefault="001D4443">
            <w:pPr>
              <w:spacing w:after="0" w:line="240" w:lineRule="auto"/>
              <w:jc w:val="right"/>
              <w:rPr>
                <w:rFonts w:ascii="Times New Roman" w:hAnsi="Times New Roman" w:cs="Times New Roman"/>
              </w:rPr>
            </w:pPr>
            <w:r>
              <w:rPr>
                <w:rFonts w:ascii="Times New Roman" w:hAnsi="Times New Roman" w:cs="Times New Roman"/>
              </w:rPr>
              <w:t>219,15</w:t>
            </w:r>
          </w:p>
        </w:tc>
      </w:tr>
      <w:tr w:rsidR="00341365" w:rsidRPr="00341365" w14:paraId="229978C3" w14:textId="77777777" w:rsidTr="00AF5415">
        <w:trPr>
          <w:trHeight w:val="300"/>
        </w:trPr>
        <w:tc>
          <w:tcPr>
            <w:tcW w:w="2325" w:type="pct"/>
            <w:shd w:val="clear" w:color="auto" w:fill="auto"/>
            <w:noWrap/>
            <w:vAlign w:val="center"/>
            <w:hideMark/>
          </w:tcPr>
          <w:p w14:paraId="198569F0" w14:textId="77777777" w:rsidR="00341365" w:rsidRPr="00341365" w:rsidRDefault="00341365" w:rsidP="00341365">
            <w:pPr>
              <w:spacing w:after="0" w:line="240" w:lineRule="auto"/>
              <w:rPr>
                <w:rFonts w:ascii="Times New Roman" w:eastAsia="Times New Roman" w:hAnsi="Times New Roman" w:cs="Times New Roman"/>
                <w:color w:val="000000"/>
                <w:lang w:eastAsia="sk-SK"/>
              </w:rPr>
            </w:pPr>
            <w:r w:rsidRPr="00341365">
              <w:rPr>
                <w:rFonts w:ascii="Times New Roman" w:eastAsia="Times New Roman" w:hAnsi="Times New Roman" w:cs="Times New Roman"/>
                <w:color w:val="000000"/>
                <w:lang w:eastAsia="sk-SK"/>
              </w:rPr>
              <w:t xml:space="preserve">Doprava </w:t>
            </w:r>
          </w:p>
        </w:tc>
        <w:tc>
          <w:tcPr>
            <w:tcW w:w="927" w:type="pct"/>
            <w:shd w:val="clear" w:color="auto" w:fill="auto"/>
            <w:noWrap/>
            <w:vAlign w:val="center"/>
          </w:tcPr>
          <w:p w14:paraId="2E3DE0F9" w14:textId="7210B73D" w:rsidR="00341365" w:rsidRPr="00341365" w:rsidRDefault="00341365">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77,02</w:t>
            </w:r>
          </w:p>
        </w:tc>
        <w:tc>
          <w:tcPr>
            <w:tcW w:w="927" w:type="pct"/>
            <w:shd w:val="clear" w:color="auto" w:fill="auto"/>
            <w:noWrap/>
            <w:vAlign w:val="center"/>
          </w:tcPr>
          <w:p w14:paraId="16EC808F" w14:textId="0652A403" w:rsidR="00341365" w:rsidRPr="00341365" w:rsidRDefault="00341365">
            <w:pPr>
              <w:spacing w:after="0" w:line="240" w:lineRule="auto"/>
              <w:jc w:val="right"/>
              <w:rPr>
                <w:rFonts w:ascii="Times New Roman" w:hAnsi="Times New Roman" w:cs="Times New Roman"/>
              </w:rPr>
            </w:pPr>
            <w:r w:rsidRPr="00AF5415">
              <w:rPr>
                <w:rFonts w:ascii="Times New Roman" w:hAnsi="Times New Roman" w:cs="Times New Roman"/>
              </w:rPr>
              <w:t>706,16</w:t>
            </w:r>
          </w:p>
        </w:tc>
        <w:tc>
          <w:tcPr>
            <w:tcW w:w="821" w:type="pct"/>
            <w:tcBorders>
              <w:top w:val="nil"/>
              <w:left w:val="single" w:sz="4" w:space="0" w:color="auto"/>
              <w:bottom w:val="single" w:sz="4" w:space="0" w:color="auto"/>
              <w:right w:val="single" w:sz="4" w:space="0" w:color="auto"/>
            </w:tcBorders>
            <w:shd w:val="clear" w:color="auto" w:fill="auto"/>
            <w:vAlign w:val="center"/>
          </w:tcPr>
          <w:p w14:paraId="0A0CA819" w14:textId="2B6ABC84" w:rsidR="00341365" w:rsidRPr="00341365" w:rsidRDefault="00341365">
            <w:pPr>
              <w:spacing w:after="0" w:line="240" w:lineRule="auto"/>
              <w:jc w:val="right"/>
              <w:rPr>
                <w:rFonts w:ascii="Times New Roman" w:hAnsi="Times New Roman" w:cs="Times New Roman"/>
              </w:rPr>
            </w:pPr>
            <w:r w:rsidRPr="00AF5415">
              <w:rPr>
                <w:rFonts w:ascii="Times New Roman" w:hAnsi="Times New Roman" w:cs="Times New Roman"/>
              </w:rPr>
              <w:t>113,33</w:t>
            </w:r>
          </w:p>
        </w:tc>
      </w:tr>
      <w:tr w:rsidR="00341365" w:rsidRPr="00341365" w14:paraId="5C559387" w14:textId="77777777" w:rsidTr="00AF5415">
        <w:trPr>
          <w:trHeight w:val="300"/>
        </w:trPr>
        <w:tc>
          <w:tcPr>
            <w:tcW w:w="2325" w:type="pct"/>
            <w:shd w:val="clear" w:color="auto" w:fill="auto"/>
            <w:noWrap/>
            <w:vAlign w:val="center"/>
            <w:hideMark/>
          </w:tcPr>
          <w:p w14:paraId="74BA94B9" w14:textId="77777777" w:rsidR="00341365" w:rsidRPr="00341365" w:rsidRDefault="00341365" w:rsidP="00341365">
            <w:pPr>
              <w:spacing w:after="0" w:line="240" w:lineRule="auto"/>
              <w:rPr>
                <w:rFonts w:ascii="Times New Roman" w:eastAsia="Times New Roman" w:hAnsi="Times New Roman" w:cs="Times New Roman"/>
                <w:color w:val="000000"/>
                <w:lang w:eastAsia="sk-SK"/>
              </w:rPr>
            </w:pPr>
            <w:r w:rsidRPr="00341365">
              <w:rPr>
                <w:rFonts w:ascii="Times New Roman" w:eastAsia="Times New Roman" w:hAnsi="Times New Roman" w:cs="Times New Roman"/>
                <w:color w:val="000000"/>
                <w:lang w:eastAsia="sk-SK"/>
              </w:rPr>
              <w:t>Spotrebiče</w:t>
            </w:r>
          </w:p>
        </w:tc>
        <w:tc>
          <w:tcPr>
            <w:tcW w:w="927" w:type="pct"/>
            <w:shd w:val="clear" w:color="auto" w:fill="auto"/>
            <w:noWrap/>
            <w:vAlign w:val="center"/>
          </w:tcPr>
          <w:p w14:paraId="34E86CC7" w14:textId="38CEDAFC" w:rsidR="00341365" w:rsidRPr="00341365" w:rsidRDefault="00341365">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143,51</w:t>
            </w:r>
          </w:p>
        </w:tc>
        <w:tc>
          <w:tcPr>
            <w:tcW w:w="927" w:type="pct"/>
            <w:shd w:val="clear" w:color="auto" w:fill="auto"/>
            <w:noWrap/>
            <w:vAlign w:val="center"/>
          </w:tcPr>
          <w:p w14:paraId="53A1D39A" w14:textId="72B3D6E0" w:rsidR="00341365" w:rsidRPr="00341365" w:rsidRDefault="00341365">
            <w:pPr>
              <w:spacing w:after="0" w:line="240" w:lineRule="auto"/>
              <w:jc w:val="right"/>
              <w:rPr>
                <w:rFonts w:ascii="Times New Roman" w:hAnsi="Times New Roman" w:cs="Times New Roman"/>
              </w:rPr>
            </w:pPr>
            <w:r w:rsidRPr="00AF5415">
              <w:rPr>
                <w:rFonts w:ascii="Times New Roman" w:hAnsi="Times New Roman" w:cs="Times New Roman"/>
              </w:rPr>
              <w:t>191,82</w:t>
            </w:r>
          </w:p>
        </w:tc>
        <w:tc>
          <w:tcPr>
            <w:tcW w:w="821" w:type="pct"/>
            <w:tcBorders>
              <w:top w:val="nil"/>
              <w:left w:val="single" w:sz="4" w:space="0" w:color="auto"/>
              <w:bottom w:val="single" w:sz="4" w:space="0" w:color="auto"/>
              <w:right w:val="single" w:sz="4" w:space="0" w:color="auto"/>
            </w:tcBorders>
            <w:shd w:val="clear" w:color="auto" w:fill="auto"/>
            <w:vAlign w:val="center"/>
          </w:tcPr>
          <w:p w14:paraId="023F9576" w14:textId="78474DB3" w:rsidR="00341365" w:rsidRPr="00341365" w:rsidRDefault="00341365">
            <w:pPr>
              <w:spacing w:after="0" w:line="240" w:lineRule="auto"/>
              <w:jc w:val="right"/>
              <w:rPr>
                <w:rFonts w:ascii="Times New Roman" w:hAnsi="Times New Roman" w:cs="Times New Roman"/>
              </w:rPr>
            </w:pPr>
            <w:r w:rsidRPr="00AF5415">
              <w:rPr>
                <w:rFonts w:ascii="Times New Roman" w:hAnsi="Times New Roman" w:cs="Times New Roman"/>
              </w:rPr>
              <w:t>234,44</w:t>
            </w:r>
          </w:p>
        </w:tc>
      </w:tr>
      <w:tr w:rsidR="00341365" w:rsidRPr="00341365" w14:paraId="4D97CF83" w14:textId="77777777" w:rsidTr="00AF5415">
        <w:trPr>
          <w:trHeight w:val="423"/>
        </w:trPr>
        <w:tc>
          <w:tcPr>
            <w:tcW w:w="2325" w:type="pct"/>
            <w:tcBorders>
              <w:bottom w:val="single" w:sz="4" w:space="0" w:color="auto"/>
            </w:tcBorders>
            <w:shd w:val="clear" w:color="auto" w:fill="auto"/>
            <w:noWrap/>
            <w:vAlign w:val="center"/>
            <w:hideMark/>
          </w:tcPr>
          <w:p w14:paraId="5A097CB5" w14:textId="77777777" w:rsidR="00341365" w:rsidRPr="00341365" w:rsidRDefault="00341365" w:rsidP="00341365">
            <w:pPr>
              <w:spacing w:after="0" w:line="240" w:lineRule="auto"/>
              <w:rPr>
                <w:rFonts w:ascii="Times New Roman" w:eastAsia="Times New Roman" w:hAnsi="Times New Roman" w:cs="Times New Roman"/>
                <w:b/>
                <w:color w:val="000000"/>
                <w:lang w:eastAsia="sk-SK"/>
              </w:rPr>
            </w:pPr>
            <w:r w:rsidRPr="00341365">
              <w:rPr>
                <w:rFonts w:ascii="Times New Roman" w:eastAsia="Times New Roman" w:hAnsi="Times New Roman" w:cs="Times New Roman"/>
                <w:b/>
                <w:color w:val="000000"/>
                <w:lang w:eastAsia="sk-SK"/>
              </w:rPr>
              <w:t>SPOLU</w:t>
            </w:r>
          </w:p>
        </w:tc>
        <w:tc>
          <w:tcPr>
            <w:tcW w:w="927" w:type="pct"/>
            <w:tcBorders>
              <w:bottom w:val="single" w:sz="4" w:space="0" w:color="auto"/>
            </w:tcBorders>
            <w:shd w:val="clear" w:color="auto" w:fill="auto"/>
            <w:noWrap/>
            <w:vAlign w:val="center"/>
          </w:tcPr>
          <w:p w14:paraId="3902145B" w14:textId="627CD5D2" w:rsidR="00341365" w:rsidRPr="00341365" w:rsidRDefault="00341365">
            <w:pPr>
              <w:spacing w:after="0" w:line="240" w:lineRule="auto"/>
              <w:jc w:val="right"/>
              <w:rPr>
                <w:rFonts w:ascii="Times New Roman" w:eastAsia="Times New Roman" w:hAnsi="Times New Roman" w:cs="Times New Roman"/>
                <w:b/>
                <w:bCs/>
                <w:color w:val="000000"/>
                <w:lang w:eastAsia="sk-SK"/>
              </w:rPr>
            </w:pPr>
            <w:r w:rsidRPr="00AF5415">
              <w:rPr>
                <w:rFonts w:ascii="Times New Roman" w:hAnsi="Times New Roman" w:cs="Times New Roman"/>
                <w:b/>
              </w:rPr>
              <w:t>3 019,79</w:t>
            </w:r>
          </w:p>
        </w:tc>
        <w:tc>
          <w:tcPr>
            <w:tcW w:w="927" w:type="pct"/>
            <w:tcBorders>
              <w:bottom w:val="single" w:sz="4" w:space="0" w:color="auto"/>
            </w:tcBorders>
            <w:shd w:val="clear" w:color="auto" w:fill="auto"/>
            <w:noWrap/>
            <w:vAlign w:val="center"/>
          </w:tcPr>
          <w:p w14:paraId="1FD3B06A" w14:textId="394035BA" w:rsidR="00341365" w:rsidRPr="00341365" w:rsidRDefault="00341365">
            <w:pPr>
              <w:spacing w:after="0" w:line="240" w:lineRule="auto"/>
              <w:jc w:val="right"/>
              <w:rPr>
                <w:rFonts w:ascii="Times New Roman" w:eastAsia="Times New Roman" w:hAnsi="Times New Roman" w:cs="Times New Roman"/>
                <w:b/>
                <w:bCs/>
                <w:color w:val="000000"/>
                <w:lang w:eastAsia="sk-SK"/>
              </w:rPr>
            </w:pPr>
            <w:r w:rsidRPr="00AF5415">
              <w:rPr>
                <w:rFonts w:ascii="Times New Roman" w:hAnsi="Times New Roman" w:cs="Times New Roman"/>
                <w:b/>
              </w:rPr>
              <w:t xml:space="preserve">4 </w:t>
            </w:r>
            <w:r w:rsidR="00A97FC2" w:rsidRPr="00AF5415">
              <w:rPr>
                <w:rFonts w:ascii="Times New Roman" w:hAnsi="Times New Roman" w:cs="Times New Roman"/>
                <w:b/>
              </w:rPr>
              <w:t>7</w:t>
            </w:r>
            <w:r w:rsidR="00A97FC2">
              <w:rPr>
                <w:rFonts w:ascii="Times New Roman" w:hAnsi="Times New Roman" w:cs="Times New Roman"/>
                <w:b/>
              </w:rPr>
              <w:t>13</w:t>
            </w:r>
            <w:r w:rsidRPr="00AF5415">
              <w:rPr>
                <w:rFonts w:ascii="Times New Roman" w:hAnsi="Times New Roman" w:cs="Times New Roman"/>
                <w:b/>
              </w:rPr>
              <w:t>,</w:t>
            </w:r>
            <w:r w:rsidR="00A97FC2">
              <w:rPr>
                <w:rFonts w:ascii="Times New Roman" w:hAnsi="Times New Roman" w:cs="Times New Roman"/>
                <w:b/>
              </w:rPr>
              <w:t>46</w:t>
            </w:r>
          </w:p>
        </w:tc>
        <w:tc>
          <w:tcPr>
            <w:tcW w:w="821" w:type="pct"/>
            <w:tcBorders>
              <w:top w:val="nil"/>
              <w:left w:val="single" w:sz="4" w:space="0" w:color="auto"/>
              <w:bottom w:val="single" w:sz="4" w:space="0" w:color="auto"/>
              <w:right w:val="single" w:sz="4" w:space="0" w:color="auto"/>
            </w:tcBorders>
            <w:shd w:val="clear" w:color="auto" w:fill="auto"/>
            <w:vAlign w:val="center"/>
          </w:tcPr>
          <w:p w14:paraId="1723A5AE" w14:textId="6F59E414" w:rsidR="00341365" w:rsidRPr="00341365" w:rsidRDefault="001D4443">
            <w:pPr>
              <w:spacing w:after="0" w:line="240" w:lineRule="auto"/>
              <w:jc w:val="right"/>
              <w:rPr>
                <w:rFonts w:ascii="Times New Roman" w:hAnsi="Times New Roman" w:cs="Times New Roman"/>
                <w:b/>
              </w:rPr>
            </w:pPr>
            <w:r>
              <w:rPr>
                <w:rFonts w:ascii="Times New Roman" w:hAnsi="Times New Roman" w:cs="Times New Roman"/>
                <w:b/>
              </w:rPr>
              <w:t>2 352,04</w:t>
            </w:r>
          </w:p>
        </w:tc>
      </w:tr>
    </w:tbl>
    <w:p w14:paraId="423D3AAA" w14:textId="326C7AA7" w:rsidR="00815782" w:rsidRPr="00B40851" w:rsidRDefault="00906729" w:rsidP="00856490">
      <w:pPr>
        <w:jc w:val="both"/>
        <w:rPr>
          <w:rFonts w:ascii="Times New Roman" w:hAnsi="Times New Roman" w:cs="Times New Roman"/>
          <w:sz w:val="24"/>
          <w:szCs w:val="24"/>
        </w:rPr>
      </w:pPr>
      <w:r>
        <w:rPr>
          <w:rFonts w:ascii="Times New Roman" w:hAnsi="Times New Roman" w:cs="Times New Roman"/>
          <w:sz w:val="24"/>
          <w:szCs w:val="24"/>
        </w:rPr>
        <w:br/>
      </w:r>
    </w:p>
    <w:p w14:paraId="09DB84CC" w14:textId="7F2DE953" w:rsidR="00FD6B11" w:rsidRPr="000578FE" w:rsidRDefault="00FD6B11" w:rsidP="00856490">
      <w:pPr>
        <w:jc w:val="both"/>
        <w:rPr>
          <w:rFonts w:ascii="Times New Roman" w:hAnsi="Times New Roman" w:cs="Times New Roman"/>
          <w:b/>
        </w:rPr>
      </w:pPr>
      <w:r w:rsidRPr="000578FE">
        <w:rPr>
          <w:rFonts w:ascii="Times New Roman" w:hAnsi="Times New Roman" w:cs="Times New Roman"/>
          <w:b/>
        </w:rPr>
        <w:t>Metodika merania a/alebo výpočtu úspor energie pre účely smernice 2006/32/ES (príloha XIV časť 2 bod 2 písm. b) druhý odsek v SEE)</w:t>
      </w:r>
    </w:p>
    <w:p w14:paraId="458241FA" w14:textId="7839F63D" w:rsidR="00FD6B11" w:rsidRPr="00856490" w:rsidRDefault="00FD6B11">
      <w:pPr>
        <w:jc w:val="both"/>
        <w:rPr>
          <w:rFonts w:ascii="Times New Roman" w:hAnsi="Times New Roman" w:cs="Times New Roman"/>
          <w:sz w:val="24"/>
          <w:szCs w:val="24"/>
        </w:rPr>
      </w:pPr>
      <w:r w:rsidRPr="00856490">
        <w:rPr>
          <w:rFonts w:ascii="Times New Roman" w:eastAsia="Calibri" w:hAnsi="Times New Roman" w:cs="Times New Roman"/>
          <w:sz w:val="24"/>
          <w:szCs w:val="24"/>
        </w:rPr>
        <w:t xml:space="preserve">Pri výpočte úspor bola použitá metodika, ktorá je detailne popísaná pre každé opatrenie v prílohe č. 5. </w:t>
      </w:r>
      <w:r w:rsidRPr="00856490">
        <w:rPr>
          <w:rFonts w:ascii="Times New Roman" w:hAnsi="Times New Roman" w:cs="Times New Roman"/>
          <w:sz w:val="24"/>
          <w:szCs w:val="24"/>
        </w:rPr>
        <w:t xml:space="preserve">Vstupné  hodnoty, z ktorých boli vyhodnocované úspory </w:t>
      </w:r>
      <w:r w:rsidR="00EB25A4">
        <w:rPr>
          <w:rFonts w:ascii="Times New Roman" w:hAnsi="Times New Roman" w:cs="Times New Roman"/>
          <w:sz w:val="24"/>
          <w:szCs w:val="24"/>
        </w:rPr>
        <w:t xml:space="preserve">sa verifikovali </w:t>
      </w:r>
      <w:r w:rsidRPr="00856490">
        <w:rPr>
          <w:rFonts w:ascii="Times New Roman" w:hAnsi="Times New Roman" w:cs="Times New Roman"/>
          <w:sz w:val="24"/>
          <w:szCs w:val="24"/>
        </w:rPr>
        <w:t xml:space="preserve">postupmi uvedenými v metodickej tabuľke a následne </w:t>
      </w:r>
      <w:r w:rsidR="00EB25A4">
        <w:rPr>
          <w:rFonts w:ascii="Times New Roman" w:hAnsi="Times New Roman" w:cs="Times New Roman"/>
          <w:sz w:val="24"/>
          <w:szCs w:val="24"/>
        </w:rPr>
        <w:t xml:space="preserve">sa použili </w:t>
      </w:r>
      <w:r w:rsidRPr="00856490">
        <w:rPr>
          <w:rFonts w:ascii="Times New Roman" w:hAnsi="Times New Roman" w:cs="Times New Roman"/>
          <w:sz w:val="24"/>
          <w:szCs w:val="24"/>
        </w:rPr>
        <w:t>do výpočtu. Taktiež boli prijaté opatrenia na zamedzenie dvojitého započítania úspor energie v zmysle požiadavky smernice 2012/27/EÚ.</w:t>
      </w:r>
    </w:p>
    <w:p w14:paraId="43D55CEC" w14:textId="77777777" w:rsidR="00FD6B11" w:rsidRDefault="00FD6B11" w:rsidP="00856490">
      <w:pPr>
        <w:rPr>
          <w:rFonts w:ascii="Times New Roman" w:hAnsi="Times New Roman" w:cs="Times New Roman"/>
          <w:sz w:val="24"/>
        </w:rPr>
      </w:pPr>
    </w:p>
    <w:p w14:paraId="6D01208B" w14:textId="271DC304" w:rsidR="001327AD" w:rsidRPr="000578FE" w:rsidRDefault="001327AD" w:rsidP="00AF5415">
      <w:pPr>
        <w:pStyle w:val="Nadpis3"/>
        <w:numPr>
          <w:ilvl w:val="2"/>
          <w:numId w:val="30"/>
        </w:numPr>
        <w:rPr>
          <w:rFonts w:ascii="Times New Roman" w:hAnsi="Times New Roman" w:cs="Times New Roman"/>
          <w:color w:val="auto"/>
        </w:rPr>
      </w:pPr>
      <w:bookmarkStart w:id="9" w:name="_Toc480547220"/>
      <w:r w:rsidRPr="000578FE">
        <w:rPr>
          <w:rFonts w:ascii="Times New Roman" w:hAnsi="Times New Roman" w:cs="Times New Roman"/>
          <w:color w:val="auto"/>
        </w:rPr>
        <w:t>Vyhodnotenie cieľov ú</w:t>
      </w:r>
      <w:r w:rsidR="00804795" w:rsidRPr="000578FE">
        <w:rPr>
          <w:rFonts w:ascii="Times New Roman" w:hAnsi="Times New Roman" w:cs="Times New Roman"/>
          <w:color w:val="auto"/>
        </w:rPr>
        <w:t>spor energie podľa smernice 2012/27/EÚ</w:t>
      </w:r>
      <w:bookmarkEnd w:id="9"/>
    </w:p>
    <w:p w14:paraId="72F47EB2" w14:textId="02C408FB" w:rsidR="00375545" w:rsidRPr="000578FE" w:rsidRDefault="00E21826" w:rsidP="00AF5415">
      <w:pPr>
        <w:pStyle w:val="Nadpis4"/>
        <w:numPr>
          <w:ilvl w:val="3"/>
          <w:numId w:val="30"/>
        </w:numPr>
        <w:rPr>
          <w:rFonts w:ascii="Times New Roman" w:hAnsi="Times New Roman" w:cs="Times New Roman"/>
          <w:i w:val="0"/>
          <w:color w:val="auto"/>
        </w:rPr>
      </w:pPr>
      <w:bookmarkStart w:id="10" w:name="_Toc475460997"/>
      <w:bookmarkStart w:id="11" w:name="_Toc475545477"/>
      <w:bookmarkStart w:id="12" w:name="_Toc475460998"/>
      <w:bookmarkStart w:id="13" w:name="_Toc475545478"/>
      <w:bookmarkStart w:id="14" w:name="_Toc480547221"/>
      <w:bookmarkEnd w:id="10"/>
      <w:bookmarkEnd w:id="11"/>
      <w:bookmarkEnd w:id="12"/>
      <w:bookmarkEnd w:id="13"/>
      <w:r w:rsidRPr="000578FE">
        <w:rPr>
          <w:rFonts w:ascii="Times New Roman" w:hAnsi="Times New Roman" w:cs="Times New Roman"/>
          <w:i w:val="0"/>
          <w:color w:val="auto"/>
        </w:rPr>
        <w:t>N</w:t>
      </w:r>
      <w:r w:rsidR="00375545" w:rsidRPr="000578FE">
        <w:rPr>
          <w:rFonts w:ascii="Times New Roman" w:hAnsi="Times New Roman" w:cs="Times New Roman"/>
          <w:i w:val="0"/>
          <w:color w:val="auto"/>
        </w:rPr>
        <w:t xml:space="preserve">árodný </w:t>
      </w:r>
      <w:r w:rsidRPr="000578FE">
        <w:rPr>
          <w:rFonts w:ascii="Times New Roman" w:hAnsi="Times New Roman" w:cs="Times New Roman"/>
          <w:i w:val="0"/>
          <w:color w:val="auto"/>
        </w:rPr>
        <w:t xml:space="preserve">indikatívny </w:t>
      </w:r>
      <w:r w:rsidR="00375545" w:rsidRPr="000578FE">
        <w:rPr>
          <w:rFonts w:ascii="Times New Roman" w:hAnsi="Times New Roman" w:cs="Times New Roman"/>
          <w:i w:val="0"/>
          <w:color w:val="auto"/>
        </w:rPr>
        <w:t>cieľ energetickej efektívnosti do roku 2020 podľa článku 3 ods. 1 smernice o energetickej efektívnosti</w:t>
      </w:r>
      <w:r w:rsidR="00B72FDD" w:rsidRPr="000578FE">
        <w:rPr>
          <w:rFonts w:ascii="Times New Roman" w:hAnsi="Times New Roman" w:cs="Times New Roman"/>
          <w:i w:val="0"/>
          <w:color w:val="auto"/>
        </w:rPr>
        <w:t xml:space="preserve"> (článok 3 ods. 1 SEE, príloha XIV časť 2 bod 1)</w:t>
      </w:r>
      <w:bookmarkEnd w:id="14"/>
    </w:p>
    <w:p w14:paraId="2AF62B9C" w14:textId="296F177B" w:rsidR="00AC7FF7" w:rsidRDefault="006D138F" w:rsidP="00AC7FF7">
      <w:pPr>
        <w:jc w:val="both"/>
        <w:rPr>
          <w:rFonts w:ascii="Times New Roman" w:hAnsi="Times New Roman" w:cs="Times New Roman"/>
          <w:sz w:val="24"/>
        </w:rPr>
      </w:pPr>
      <w:r w:rsidRPr="007577DE">
        <w:rPr>
          <w:rFonts w:ascii="Times New Roman" w:hAnsi="Times New Roman" w:cs="Times New Roman"/>
          <w:sz w:val="24"/>
        </w:rPr>
        <w:t>Národný indikatívny cieľ energetickej efektívnosti bol stanovený na základe štatistických údajov</w:t>
      </w:r>
      <w:r w:rsidR="00A360A9" w:rsidRPr="007577DE">
        <w:rPr>
          <w:rFonts w:ascii="Times New Roman" w:hAnsi="Times New Roman" w:cs="Times New Roman"/>
          <w:sz w:val="24"/>
        </w:rPr>
        <w:t>,</w:t>
      </w:r>
      <w:r w:rsidR="00766F13" w:rsidRPr="007577DE">
        <w:rPr>
          <w:rFonts w:ascii="Times New Roman" w:hAnsi="Times New Roman" w:cs="Times New Roman"/>
          <w:sz w:val="24"/>
        </w:rPr>
        <w:t xml:space="preserve"> </w:t>
      </w:r>
      <w:r w:rsidR="00A360A9" w:rsidRPr="007577DE">
        <w:rPr>
          <w:rFonts w:ascii="Times New Roman" w:hAnsi="Times New Roman" w:cs="Times New Roman"/>
          <w:sz w:val="24"/>
        </w:rPr>
        <w:t>pričom p</w:t>
      </w:r>
      <w:r w:rsidRPr="007577DE">
        <w:rPr>
          <w:rFonts w:ascii="Times New Roman" w:hAnsi="Times New Roman" w:cs="Times New Roman"/>
          <w:sz w:val="24"/>
        </w:rPr>
        <w:t xml:space="preserve">redbežný cieľ požadovaný podľa smernice 2012/27/EÚ bol zverejnený v Národnom programe reforiem pre rok 2013. Tento bol následne aktualizovaný na základe </w:t>
      </w:r>
      <w:r w:rsidRPr="007577DE">
        <w:rPr>
          <w:rFonts w:ascii="Times New Roman" w:hAnsi="Times New Roman" w:cs="Times New Roman"/>
          <w:sz w:val="24"/>
        </w:rPr>
        <w:lastRenderedPageBreak/>
        <w:t xml:space="preserve">štatistických údajov za rok 2012. Výsledné národné indikatívne ciele energetickej efektívnosti do roku 2020 sú uvedené </w:t>
      </w:r>
      <w:r w:rsidRPr="00AA62B2">
        <w:rPr>
          <w:rFonts w:ascii="Times New Roman" w:hAnsi="Times New Roman" w:cs="Times New Roman"/>
          <w:sz w:val="24"/>
        </w:rPr>
        <w:t>v </w:t>
      </w:r>
      <w:r w:rsidRPr="000578FE">
        <w:rPr>
          <w:rFonts w:ascii="Times New Roman" w:hAnsi="Times New Roman" w:cs="Times New Roman"/>
          <w:sz w:val="24"/>
        </w:rPr>
        <w:t>Tabuľke č.</w:t>
      </w:r>
      <w:r w:rsidR="003F29ED" w:rsidRPr="000578FE">
        <w:rPr>
          <w:rFonts w:ascii="Times New Roman" w:hAnsi="Times New Roman" w:cs="Times New Roman"/>
          <w:sz w:val="24"/>
        </w:rPr>
        <w:t> </w:t>
      </w:r>
      <w:r w:rsidR="00C25D90" w:rsidRPr="00AA62B2">
        <w:rPr>
          <w:rFonts w:ascii="Times New Roman" w:hAnsi="Times New Roman" w:cs="Times New Roman"/>
          <w:sz w:val="24"/>
        </w:rPr>
        <w:t>3</w:t>
      </w:r>
      <w:r w:rsidR="00AC7FF7" w:rsidRPr="00AA62B2">
        <w:rPr>
          <w:rFonts w:ascii="Times New Roman" w:hAnsi="Times New Roman" w:cs="Times New Roman"/>
          <w:sz w:val="24"/>
        </w:rPr>
        <w:t>.</w:t>
      </w:r>
      <w:r w:rsidR="00AC7FF7" w:rsidRPr="007577DE">
        <w:rPr>
          <w:rFonts w:ascii="Times New Roman" w:hAnsi="Times New Roman" w:cs="Times New Roman"/>
          <w:sz w:val="24"/>
        </w:rPr>
        <w:t xml:space="preserve"> </w:t>
      </w:r>
    </w:p>
    <w:p w14:paraId="35B149F1" w14:textId="68DDCB78" w:rsidR="00AC7FF7" w:rsidRPr="009F2998" w:rsidRDefault="00AA62B2" w:rsidP="000578FE">
      <w:pPr>
        <w:jc w:val="both"/>
        <w:rPr>
          <w:rFonts w:ascii="Times New Roman" w:hAnsi="Times New Roman" w:cs="Times New Roman"/>
        </w:rPr>
      </w:pPr>
      <w:r w:rsidRPr="009B3799">
        <w:rPr>
          <w:rFonts w:ascii="Times New Roman" w:hAnsi="Times New Roman" w:cs="Times New Roman"/>
          <w:sz w:val="24"/>
          <w:szCs w:val="24"/>
        </w:rPr>
        <w:t xml:space="preserve">Tabuľka č. 3: </w:t>
      </w:r>
      <w:r w:rsidRPr="000578FE">
        <w:rPr>
          <w:rFonts w:ascii="Times New Roman" w:hAnsi="Times New Roman" w:cs="Times New Roman"/>
          <w:sz w:val="24"/>
          <w:szCs w:val="24"/>
        </w:rPr>
        <w:t>Národné indikatívne ciele energetickej efektívnosti vyjadrené v cieľovej úrovni KES a PES v roku 2020</w:t>
      </w:r>
      <w:r w:rsidR="002365E9">
        <w:rPr>
          <w:rFonts w:ascii="Times New Roman" w:hAnsi="Times New Roman" w:cs="Times New Roman"/>
          <w:sz w:val="24"/>
          <w:szCs w:val="24"/>
        </w:rPr>
        <w:t xml:space="preserve"> a </w:t>
      </w:r>
      <w:r w:rsidR="002365E9" w:rsidRPr="000578FE">
        <w:rPr>
          <w:rFonts w:ascii="Times New Roman" w:eastAsia="Times New Roman" w:hAnsi="Times New Roman" w:cs="Times New Roman"/>
          <w:color w:val="000000"/>
          <w:sz w:val="24"/>
          <w:szCs w:val="24"/>
          <w:lang w:eastAsia="sk-SK"/>
        </w:rPr>
        <w:t>vyhodnotenie za rok</w:t>
      </w:r>
      <w:r w:rsidR="002365E9">
        <w:rPr>
          <w:rFonts w:ascii="Times New Roman" w:eastAsia="Times New Roman" w:hAnsi="Times New Roman" w:cs="Times New Roman"/>
          <w:color w:val="000000"/>
          <w:sz w:val="24"/>
          <w:szCs w:val="24"/>
          <w:lang w:eastAsia="sk-SK"/>
        </w:rPr>
        <w:t>y</w:t>
      </w:r>
      <w:r w:rsidR="002365E9" w:rsidRPr="000578FE">
        <w:rPr>
          <w:rFonts w:ascii="Times New Roman" w:eastAsia="Times New Roman" w:hAnsi="Times New Roman" w:cs="Times New Roman"/>
          <w:color w:val="000000"/>
          <w:sz w:val="24"/>
          <w:szCs w:val="24"/>
          <w:lang w:eastAsia="sk-SK"/>
        </w:rPr>
        <w:t xml:space="preserve"> 2014 a 2015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59"/>
        <w:gridCol w:w="723"/>
        <w:gridCol w:w="795"/>
        <w:gridCol w:w="1432"/>
        <w:gridCol w:w="794"/>
        <w:gridCol w:w="885"/>
        <w:gridCol w:w="762"/>
        <w:gridCol w:w="12"/>
      </w:tblGrid>
      <w:tr w:rsidR="002365E9" w:rsidRPr="002365E9" w14:paraId="3AA2974E" w14:textId="5CCC9E03" w:rsidTr="005F7B58">
        <w:trPr>
          <w:trHeight w:val="330"/>
        </w:trPr>
        <w:tc>
          <w:tcPr>
            <w:tcW w:w="2020" w:type="pct"/>
            <w:vMerge w:val="restart"/>
            <w:shd w:val="clear" w:color="auto" w:fill="BFBFBF" w:themeFill="background1" w:themeFillShade="BF"/>
            <w:vAlign w:val="center"/>
          </w:tcPr>
          <w:p w14:paraId="40F3D012" w14:textId="77777777" w:rsidR="002365E9" w:rsidRPr="005F7B58" w:rsidRDefault="002365E9" w:rsidP="002365E9">
            <w:pPr>
              <w:spacing w:after="0" w:line="240" w:lineRule="auto"/>
              <w:rPr>
                <w:rFonts w:ascii="Times New Roman" w:hAnsi="Times New Roman" w:cs="Times New Roman"/>
                <w:b/>
                <w:sz w:val="20"/>
                <w:szCs w:val="20"/>
              </w:rPr>
            </w:pPr>
            <w:r w:rsidRPr="005F7B58">
              <w:rPr>
                <w:rFonts w:ascii="Times New Roman" w:hAnsi="Times New Roman" w:cs="Times New Roman"/>
                <w:b/>
                <w:sz w:val="20"/>
                <w:szCs w:val="20"/>
              </w:rPr>
              <w:t>Národné indikatívne ciele energetickej efektívnosti</w:t>
            </w:r>
          </w:p>
        </w:tc>
        <w:tc>
          <w:tcPr>
            <w:tcW w:w="400" w:type="pct"/>
            <w:vMerge w:val="restart"/>
            <w:shd w:val="clear" w:color="auto" w:fill="BFBFBF" w:themeFill="background1" w:themeFillShade="BF"/>
            <w:noWrap/>
            <w:vAlign w:val="center"/>
          </w:tcPr>
          <w:p w14:paraId="6482188E" w14:textId="77777777" w:rsidR="002365E9" w:rsidRPr="005F7B58" w:rsidRDefault="002365E9" w:rsidP="002365E9">
            <w:pPr>
              <w:spacing w:after="0" w:line="240" w:lineRule="auto"/>
              <w:jc w:val="center"/>
              <w:rPr>
                <w:rFonts w:ascii="Times New Roman" w:hAnsi="Times New Roman" w:cs="Times New Roman"/>
                <w:b/>
                <w:sz w:val="20"/>
                <w:szCs w:val="20"/>
                <w:lang w:val="en-GB"/>
              </w:rPr>
            </w:pPr>
            <w:r w:rsidRPr="005F7B58">
              <w:rPr>
                <w:rFonts w:ascii="Times New Roman" w:hAnsi="Times New Roman" w:cs="Times New Roman"/>
                <w:b/>
                <w:sz w:val="20"/>
                <w:szCs w:val="20"/>
                <w:lang w:val="en-GB"/>
              </w:rPr>
              <w:t>[TWh]</w:t>
            </w:r>
          </w:p>
        </w:tc>
        <w:tc>
          <w:tcPr>
            <w:tcW w:w="440" w:type="pct"/>
            <w:vMerge w:val="restart"/>
            <w:shd w:val="clear" w:color="auto" w:fill="BFBFBF" w:themeFill="background1" w:themeFillShade="BF"/>
            <w:noWrap/>
            <w:vAlign w:val="center"/>
          </w:tcPr>
          <w:p w14:paraId="6DF4ED81" w14:textId="77777777" w:rsidR="002365E9" w:rsidRPr="005F7B58" w:rsidRDefault="002365E9" w:rsidP="002365E9">
            <w:pPr>
              <w:spacing w:after="0" w:line="240" w:lineRule="auto"/>
              <w:jc w:val="center"/>
              <w:rPr>
                <w:rFonts w:ascii="Times New Roman" w:hAnsi="Times New Roman" w:cs="Times New Roman"/>
                <w:b/>
                <w:sz w:val="20"/>
                <w:szCs w:val="20"/>
              </w:rPr>
            </w:pPr>
            <w:r w:rsidRPr="005F7B58">
              <w:rPr>
                <w:rFonts w:ascii="Times New Roman" w:hAnsi="Times New Roman" w:cs="Times New Roman"/>
                <w:b/>
                <w:sz w:val="20"/>
                <w:szCs w:val="20"/>
              </w:rPr>
              <w:t>[PJ]</w:t>
            </w:r>
          </w:p>
        </w:tc>
        <w:tc>
          <w:tcPr>
            <w:tcW w:w="791" w:type="pct"/>
            <w:vMerge w:val="restart"/>
            <w:shd w:val="clear" w:color="auto" w:fill="BFBFBF" w:themeFill="background1" w:themeFillShade="BF"/>
            <w:vAlign w:val="center"/>
          </w:tcPr>
          <w:p w14:paraId="18454766" w14:textId="1CE20218" w:rsidR="002365E9" w:rsidRPr="005F7B58" w:rsidRDefault="002365E9" w:rsidP="002365E9">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Cieľ v porovnaní so </w:t>
            </w:r>
            <w:r w:rsidRPr="005F7B58">
              <w:rPr>
                <w:rFonts w:ascii="Times New Roman" w:hAnsi="Times New Roman" w:cs="Times New Roman"/>
                <w:b/>
                <w:sz w:val="20"/>
                <w:szCs w:val="20"/>
              </w:rPr>
              <w:t>základn</w:t>
            </w:r>
            <w:r>
              <w:rPr>
                <w:rFonts w:ascii="Times New Roman" w:hAnsi="Times New Roman" w:cs="Times New Roman"/>
                <w:b/>
                <w:sz w:val="20"/>
                <w:szCs w:val="20"/>
              </w:rPr>
              <w:t>ým</w:t>
            </w:r>
            <w:r w:rsidRPr="005F7B58">
              <w:rPr>
                <w:rFonts w:ascii="Times New Roman" w:hAnsi="Times New Roman" w:cs="Times New Roman"/>
                <w:b/>
                <w:sz w:val="20"/>
                <w:szCs w:val="20"/>
              </w:rPr>
              <w:t xml:space="preserve"> scenár</w:t>
            </w:r>
            <w:r>
              <w:rPr>
                <w:rFonts w:ascii="Times New Roman" w:hAnsi="Times New Roman" w:cs="Times New Roman"/>
                <w:b/>
                <w:sz w:val="20"/>
                <w:szCs w:val="20"/>
              </w:rPr>
              <w:t>om</w:t>
            </w:r>
            <w:r w:rsidRPr="005F7B58">
              <w:rPr>
                <w:rFonts w:ascii="Times New Roman" w:hAnsi="Times New Roman" w:cs="Times New Roman"/>
                <w:b/>
                <w:sz w:val="20"/>
                <w:szCs w:val="20"/>
              </w:rPr>
              <w:t xml:space="preserve"> v roku 2020</w:t>
            </w:r>
          </w:p>
          <w:p w14:paraId="6848599C" w14:textId="66C146D4" w:rsidR="002365E9" w:rsidRPr="005F7B58" w:rsidRDefault="002365E9" w:rsidP="002365E9">
            <w:pPr>
              <w:spacing w:after="0" w:line="240" w:lineRule="auto"/>
              <w:jc w:val="center"/>
              <w:rPr>
                <w:rFonts w:ascii="Times New Roman" w:hAnsi="Times New Roman" w:cs="Times New Roman"/>
                <w:b/>
                <w:sz w:val="20"/>
                <w:szCs w:val="20"/>
              </w:rPr>
            </w:pPr>
            <w:r w:rsidRPr="005F7B58">
              <w:rPr>
                <w:rFonts w:ascii="Times New Roman" w:hAnsi="Times New Roman" w:cs="Times New Roman"/>
                <w:b/>
                <w:sz w:val="20"/>
                <w:szCs w:val="20"/>
              </w:rPr>
              <w:t>[%]</w:t>
            </w:r>
          </w:p>
        </w:tc>
        <w:tc>
          <w:tcPr>
            <w:tcW w:w="928" w:type="pct"/>
            <w:gridSpan w:val="2"/>
            <w:shd w:val="clear" w:color="auto" w:fill="BFBFBF" w:themeFill="background1" w:themeFillShade="BF"/>
            <w:vAlign w:val="center"/>
          </w:tcPr>
          <w:p w14:paraId="143E5415" w14:textId="028427AD" w:rsidR="002365E9" w:rsidRPr="005F7B58" w:rsidRDefault="002365E9" w:rsidP="002365E9">
            <w:pPr>
              <w:spacing w:after="0" w:line="240" w:lineRule="auto"/>
              <w:jc w:val="center"/>
              <w:rPr>
                <w:rFonts w:ascii="Times New Roman" w:hAnsi="Times New Roman" w:cs="Times New Roman"/>
                <w:b/>
                <w:sz w:val="20"/>
                <w:szCs w:val="20"/>
              </w:rPr>
            </w:pPr>
            <w:r w:rsidRPr="001D1887">
              <w:rPr>
                <w:rFonts w:ascii="Times New Roman" w:eastAsia="Times New Roman" w:hAnsi="Times New Roman" w:cs="Times New Roman"/>
                <w:b/>
                <w:bCs/>
                <w:color w:val="000000"/>
                <w:sz w:val="20"/>
                <w:szCs w:val="20"/>
                <w:lang w:eastAsia="sk-SK"/>
              </w:rPr>
              <w:t>Plnenie 2014</w:t>
            </w:r>
          </w:p>
        </w:tc>
        <w:tc>
          <w:tcPr>
            <w:tcW w:w="422" w:type="pct"/>
            <w:gridSpan w:val="2"/>
            <w:shd w:val="clear" w:color="auto" w:fill="BFBFBF" w:themeFill="background1" w:themeFillShade="BF"/>
            <w:vAlign w:val="center"/>
          </w:tcPr>
          <w:p w14:paraId="30D6C789" w14:textId="1222CD60" w:rsidR="002365E9" w:rsidRPr="002365E9" w:rsidRDefault="002365E9" w:rsidP="002365E9">
            <w:pPr>
              <w:spacing w:after="0" w:line="240" w:lineRule="auto"/>
              <w:jc w:val="center"/>
              <w:rPr>
                <w:rFonts w:ascii="Times New Roman" w:hAnsi="Times New Roman" w:cs="Times New Roman"/>
                <w:b/>
                <w:sz w:val="20"/>
                <w:szCs w:val="20"/>
              </w:rPr>
            </w:pPr>
            <w:r w:rsidRPr="001D1887">
              <w:rPr>
                <w:rFonts w:ascii="Times New Roman" w:eastAsia="Times New Roman" w:hAnsi="Times New Roman" w:cs="Times New Roman"/>
                <w:b/>
                <w:bCs/>
                <w:color w:val="000000"/>
                <w:sz w:val="20"/>
                <w:szCs w:val="20"/>
                <w:lang w:eastAsia="sk-SK"/>
              </w:rPr>
              <w:t>Plnenie 2015</w:t>
            </w:r>
          </w:p>
        </w:tc>
      </w:tr>
      <w:tr w:rsidR="002365E9" w:rsidRPr="002365E9" w14:paraId="4CA5A978" w14:textId="77777777" w:rsidTr="005F7B58">
        <w:trPr>
          <w:gridAfter w:val="1"/>
          <w:wAfter w:w="7" w:type="pct"/>
          <w:trHeight w:val="330"/>
        </w:trPr>
        <w:tc>
          <w:tcPr>
            <w:tcW w:w="2020" w:type="pct"/>
            <w:vMerge/>
            <w:shd w:val="clear" w:color="auto" w:fill="BFBFBF" w:themeFill="background1" w:themeFillShade="BF"/>
            <w:vAlign w:val="center"/>
          </w:tcPr>
          <w:p w14:paraId="652AF467" w14:textId="77777777" w:rsidR="002365E9" w:rsidRPr="002365E9" w:rsidRDefault="002365E9" w:rsidP="002365E9">
            <w:pPr>
              <w:spacing w:after="0" w:line="240" w:lineRule="auto"/>
              <w:rPr>
                <w:rFonts w:ascii="Times New Roman" w:hAnsi="Times New Roman" w:cs="Times New Roman"/>
                <w:b/>
                <w:sz w:val="20"/>
                <w:szCs w:val="20"/>
              </w:rPr>
            </w:pPr>
          </w:p>
        </w:tc>
        <w:tc>
          <w:tcPr>
            <w:tcW w:w="400" w:type="pct"/>
            <w:vMerge/>
            <w:shd w:val="clear" w:color="auto" w:fill="BFBFBF" w:themeFill="background1" w:themeFillShade="BF"/>
            <w:noWrap/>
            <w:vAlign w:val="center"/>
          </w:tcPr>
          <w:p w14:paraId="3BEEF7D3" w14:textId="77777777" w:rsidR="002365E9" w:rsidRPr="002365E9" w:rsidRDefault="002365E9" w:rsidP="002365E9">
            <w:pPr>
              <w:spacing w:after="0" w:line="240" w:lineRule="auto"/>
              <w:jc w:val="center"/>
              <w:rPr>
                <w:rFonts w:ascii="Times New Roman" w:hAnsi="Times New Roman" w:cs="Times New Roman"/>
                <w:b/>
                <w:sz w:val="20"/>
                <w:szCs w:val="20"/>
                <w:lang w:val="en-GB"/>
              </w:rPr>
            </w:pPr>
          </w:p>
        </w:tc>
        <w:tc>
          <w:tcPr>
            <w:tcW w:w="440" w:type="pct"/>
            <w:vMerge/>
            <w:shd w:val="clear" w:color="auto" w:fill="BFBFBF" w:themeFill="background1" w:themeFillShade="BF"/>
            <w:noWrap/>
            <w:vAlign w:val="center"/>
          </w:tcPr>
          <w:p w14:paraId="59A61C6A" w14:textId="77777777" w:rsidR="002365E9" w:rsidRPr="002365E9" w:rsidRDefault="002365E9" w:rsidP="002365E9">
            <w:pPr>
              <w:spacing w:after="0" w:line="240" w:lineRule="auto"/>
              <w:jc w:val="center"/>
              <w:rPr>
                <w:rFonts w:ascii="Times New Roman" w:hAnsi="Times New Roman" w:cs="Times New Roman"/>
                <w:b/>
                <w:sz w:val="20"/>
                <w:szCs w:val="20"/>
              </w:rPr>
            </w:pPr>
          </w:p>
        </w:tc>
        <w:tc>
          <w:tcPr>
            <w:tcW w:w="791" w:type="pct"/>
            <w:vMerge/>
            <w:shd w:val="clear" w:color="auto" w:fill="BFBFBF" w:themeFill="background1" w:themeFillShade="BF"/>
            <w:vAlign w:val="center"/>
          </w:tcPr>
          <w:p w14:paraId="549CE247" w14:textId="77777777" w:rsidR="002365E9" w:rsidRPr="002365E9" w:rsidRDefault="002365E9" w:rsidP="002365E9">
            <w:pPr>
              <w:spacing w:after="0" w:line="240" w:lineRule="auto"/>
              <w:jc w:val="center"/>
              <w:rPr>
                <w:rFonts w:ascii="Times New Roman" w:hAnsi="Times New Roman" w:cs="Times New Roman"/>
                <w:b/>
                <w:sz w:val="20"/>
                <w:szCs w:val="20"/>
              </w:rPr>
            </w:pPr>
          </w:p>
        </w:tc>
        <w:tc>
          <w:tcPr>
            <w:tcW w:w="439" w:type="pct"/>
            <w:shd w:val="clear" w:color="auto" w:fill="BFBFBF" w:themeFill="background1" w:themeFillShade="BF"/>
            <w:vAlign w:val="center"/>
          </w:tcPr>
          <w:p w14:paraId="21A19A7B" w14:textId="747B8BBF" w:rsidR="002365E9" w:rsidRPr="001D1887" w:rsidRDefault="002365E9" w:rsidP="002365E9">
            <w:pPr>
              <w:spacing w:after="0" w:line="240" w:lineRule="auto"/>
              <w:jc w:val="center"/>
              <w:rPr>
                <w:rFonts w:ascii="Times New Roman" w:eastAsia="Times New Roman" w:hAnsi="Times New Roman" w:cs="Times New Roman"/>
                <w:b/>
                <w:bCs/>
                <w:color w:val="000000"/>
                <w:sz w:val="20"/>
                <w:szCs w:val="20"/>
                <w:lang w:eastAsia="sk-SK"/>
              </w:rPr>
            </w:pPr>
            <w:r w:rsidRPr="001D1887">
              <w:rPr>
                <w:rFonts w:ascii="Times New Roman" w:eastAsia="Times New Roman" w:hAnsi="Times New Roman" w:cs="Times New Roman"/>
                <w:b/>
                <w:bCs/>
                <w:color w:val="000000"/>
                <w:sz w:val="20"/>
                <w:szCs w:val="20"/>
                <w:lang w:eastAsia="sk-SK"/>
              </w:rPr>
              <w:t>ŠÚSR</w:t>
            </w:r>
          </w:p>
        </w:tc>
        <w:tc>
          <w:tcPr>
            <w:tcW w:w="482" w:type="pct"/>
            <w:shd w:val="clear" w:color="auto" w:fill="BFBFBF" w:themeFill="background1" w:themeFillShade="BF"/>
            <w:vAlign w:val="center"/>
          </w:tcPr>
          <w:p w14:paraId="4FB02E9C" w14:textId="42AD25C8" w:rsidR="002365E9" w:rsidRPr="001D1887" w:rsidRDefault="002365E9" w:rsidP="002365E9">
            <w:pPr>
              <w:spacing w:after="0" w:line="240" w:lineRule="auto"/>
              <w:jc w:val="center"/>
              <w:rPr>
                <w:rFonts w:ascii="Times New Roman" w:eastAsia="Times New Roman" w:hAnsi="Times New Roman" w:cs="Times New Roman"/>
                <w:b/>
                <w:bCs/>
                <w:color w:val="000000"/>
                <w:sz w:val="20"/>
                <w:szCs w:val="20"/>
                <w:lang w:eastAsia="sk-SK"/>
              </w:rPr>
            </w:pPr>
            <w:r w:rsidRPr="001D1887">
              <w:rPr>
                <w:rFonts w:ascii="Times New Roman" w:eastAsia="Times New Roman" w:hAnsi="Times New Roman" w:cs="Times New Roman"/>
                <w:b/>
                <w:bCs/>
                <w:color w:val="000000"/>
                <w:sz w:val="20"/>
                <w:szCs w:val="20"/>
                <w:lang w:eastAsia="sk-SK"/>
              </w:rPr>
              <w:t>Eurostat</w:t>
            </w:r>
          </w:p>
        </w:tc>
        <w:tc>
          <w:tcPr>
            <w:tcW w:w="422" w:type="pct"/>
            <w:shd w:val="clear" w:color="auto" w:fill="BFBFBF" w:themeFill="background1" w:themeFillShade="BF"/>
            <w:vAlign w:val="center"/>
          </w:tcPr>
          <w:p w14:paraId="34F8ECEA" w14:textId="078F4C31" w:rsidR="002365E9" w:rsidRPr="001D1887" w:rsidRDefault="002365E9" w:rsidP="002365E9">
            <w:pPr>
              <w:spacing w:after="0" w:line="240" w:lineRule="auto"/>
              <w:jc w:val="center"/>
              <w:rPr>
                <w:rFonts w:ascii="Times New Roman" w:eastAsia="Times New Roman" w:hAnsi="Times New Roman" w:cs="Times New Roman"/>
                <w:b/>
                <w:bCs/>
                <w:color w:val="000000"/>
                <w:sz w:val="20"/>
                <w:szCs w:val="20"/>
                <w:lang w:eastAsia="sk-SK"/>
              </w:rPr>
            </w:pPr>
            <w:r w:rsidRPr="001D1887">
              <w:rPr>
                <w:rFonts w:ascii="Times New Roman" w:eastAsia="Times New Roman" w:hAnsi="Times New Roman" w:cs="Times New Roman"/>
                <w:b/>
                <w:bCs/>
                <w:color w:val="000000"/>
                <w:sz w:val="20"/>
                <w:szCs w:val="20"/>
                <w:lang w:eastAsia="sk-SK"/>
              </w:rPr>
              <w:t>ŠÚSR</w:t>
            </w:r>
          </w:p>
        </w:tc>
      </w:tr>
      <w:tr w:rsidR="002365E9" w:rsidRPr="002365E9" w14:paraId="3ED4338D" w14:textId="3AB1A292" w:rsidTr="005F7B58">
        <w:trPr>
          <w:gridAfter w:val="1"/>
          <w:wAfter w:w="7" w:type="pct"/>
          <w:trHeight w:val="330"/>
        </w:trPr>
        <w:tc>
          <w:tcPr>
            <w:tcW w:w="2020" w:type="pct"/>
            <w:tcBorders>
              <w:bottom w:val="single" w:sz="4" w:space="0" w:color="auto"/>
            </w:tcBorders>
            <w:shd w:val="clear" w:color="auto" w:fill="auto"/>
            <w:vAlign w:val="center"/>
          </w:tcPr>
          <w:p w14:paraId="0A9358D1" w14:textId="77777777" w:rsidR="002365E9" w:rsidRPr="005F7B58" w:rsidRDefault="002365E9" w:rsidP="002365E9">
            <w:pPr>
              <w:spacing w:after="0" w:line="240" w:lineRule="auto"/>
              <w:rPr>
                <w:rFonts w:ascii="Times New Roman" w:hAnsi="Times New Roman" w:cs="Times New Roman"/>
                <w:sz w:val="20"/>
                <w:szCs w:val="20"/>
              </w:rPr>
            </w:pPr>
            <w:r w:rsidRPr="005F7B58">
              <w:rPr>
                <w:rFonts w:ascii="Times New Roman" w:hAnsi="Times New Roman" w:cs="Times New Roman"/>
                <w:sz w:val="20"/>
                <w:szCs w:val="20"/>
              </w:rPr>
              <w:t>Cieľová úroveň konečnej energetickej spotreby v roku 2020</w:t>
            </w:r>
          </w:p>
        </w:tc>
        <w:tc>
          <w:tcPr>
            <w:tcW w:w="400" w:type="pct"/>
            <w:tcBorders>
              <w:bottom w:val="single" w:sz="4" w:space="0" w:color="auto"/>
            </w:tcBorders>
            <w:shd w:val="clear" w:color="auto" w:fill="auto"/>
            <w:noWrap/>
            <w:vAlign w:val="center"/>
          </w:tcPr>
          <w:p w14:paraId="51C2F65C" w14:textId="66A99033" w:rsidR="002365E9" w:rsidRPr="005F7B58" w:rsidRDefault="002365E9" w:rsidP="002365E9">
            <w:pPr>
              <w:spacing w:after="0" w:line="240" w:lineRule="auto"/>
              <w:jc w:val="right"/>
              <w:rPr>
                <w:rFonts w:ascii="Times New Roman" w:hAnsi="Times New Roman" w:cs="Times New Roman"/>
                <w:sz w:val="20"/>
                <w:szCs w:val="20"/>
              </w:rPr>
            </w:pPr>
            <w:r w:rsidRPr="005F7B58">
              <w:rPr>
                <w:rFonts w:ascii="Times New Roman" w:hAnsi="Times New Roman" w:cs="Times New Roman"/>
                <w:sz w:val="20"/>
                <w:szCs w:val="20"/>
              </w:rPr>
              <w:t>105</w:t>
            </w:r>
          </w:p>
        </w:tc>
        <w:tc>
          <w:tcPr>
            <w:tcW w:w="440" w:type="pct"/>
            <w:tcBorders>
              <w:bottom w:val="single" w:sz="4" w:space="0" w:color="auto"/>
            </w:tcBorders>
            <w:shd w:val="clear" w:color="auto" w:fill="auto"/>
            <w:noWrap/>
            <w:vAlign w:val="center"/>
          </w:tcPr>
          <w:p w14:paraId="3F71F63F" w14:textId="120DF52F" w:rsidR="002365E9" w:rsidRPr="005F7B58" w:rsidRDefault="002365E9" w:rsidP="002365E9">
            <w:pPr>
              <w:spacing w:after="0" w:line="240" w:lineRule="auto"/>
              <w:jc w:val="right"/>
              <w:rPr>
                <w:rFonts w:ascii="Times New Roman" w:hAnsi="Times New Roman" w:cs="Times New Roman"/>
                <w:sz w:val="20"/>
                <w:szCs w:val="20"/>
              </w:rPr>
            </w:pPr>
            <w:r w:rsidRPr="005F7B58">
              <w:rPr>
                <w:rFonts w:ascii="Times New Roman" w:hAnsi="Times New Roman" w:cs="Times New Roman"/>
                <w:sz w:val="20"/>
                <w:szCs w:val="20"/>
              </w:rPr>
              <w:t>387</w:t>
            </w:r>
          </w:p>
        </w:tc>
        <w:tc>
          <w:tcPr>
            <w:tcW w:w="791" w:type="pct"/>
            <w:tcBorders>
              <w:bottom w:val="single" w:sz="4" w:space="0" w:color="auto"/>
            </w:tcBorders>
            <w:vAlign w:val="center"/>
          </w:tcPr>
          <w:p w14:paraId="1200AC07" w14:textId="24A33E0B" w:rsidR="002365E9" w:rsidRPr="005F7B58" w:rsidRDefault="002365E9" w:rsidP="002365E9">
            <w:pPr>
              <w:spacing w:after="0" w:line="240" w:lineRule="auto"/>
              <w:jc w:val="right"/>
              <w:rPr>
                <w:rFonts w:ascii="Times New Roman" w:hAnsi="Times New Roman" w:cs="Times New Roman"/>
                <w:sz w:val="20"/>
                <w:szCs w:val="20"/>
              </w:rPr>
            </w:pPr>
            <w:r w:rsidRPr="005F7B58">
              <w:rPr>
                <w:rFonts w:ascii="Times New Roman" w:hAnsi="Times New Roman" w:cs="Times New Roman"/>
                <w:sz w:val="20"/>
                <w:szCs w:val="20"/>
              </w:rPr>
              <w:t>31</w:t>
            </w:r>
            <w:bookmarkStart w:id="15" w:name="_Ref473645811"/>
            <w:r w:rsidRPr="005F7B58">
              <w:rPr>
                <w:rStyle w:val="Odkaznapoznmkupodiarou"/>
                <w:rFonts w:ascii="Times New Roman" w:hAnsi="Times New Roman" w:cs="Times New Roman"/>
                <w:sz w:val="20"/>
                <w:szCs w:val="20"/>
              </w:rPr>
              <w:footnoteReference w:id="12"/>
            </w:r>
            <w:bookmarkEnd w:id="15"/>
          </w:p>
        </w:tc>
        <w:tc>
          <w:tcPr>
            <w:tcW w:w="439" w:type="pct"/>
            <w:tcBorders>
              <w:bottom w:val="single" w:sz="4" w:space="0" w:color="auto"/>
            </w:tcBorders>
            <w:vAlign w:val="center"/>
          </w:tcPr>
          <w:p w14:paraId="1F9B7A45" w14:textId="3822BAC5" w:rsidR="002365E9" w:rsidRPr="005F7B58" w:rsidRDefault="002365E9" w:rsidP="002365E9">
            <w:pPr>
              <w:spacing w:after="0" w:line="240" w:lineRule="auto"/>
              <w:jc w:val="right"/>
              <w:rPr>
                <w:rFonts w:ascii="Times New Roman" w:hAnsi="Times New Roman" w:cs="Times New Roman"/>
                <w:sz w:val="20"/>
                <w:szCs w:val="20"/>
              </w:rPr>
            </w:pPr>
            <w:r w:rsidRPr="007577DE">
              <w:rPr>
                <w:rFonts w:ascii="Times New Roman" w:eastAsia="Times New Roman" w:hAnsi="Times New Roman" w:cs="Times New Roman"/>
                <w:color w:val="000000"/>
                <w:sz w:val="20"/>
                <w:szCs w:val="20"/>
                <w:lang w:eastAsia="sk-SK"/>
              </w:rPr>
              <w:t>367</w:t>
            </w:r>
          </w:p>
        </w:tc>
        <w:tc>
          <w:tcPr>
            <w:tcW w:w="482" w:type="pct"/>
            <w:tcBorders>
              <w:bottom w:val="single" w:sz="4" w:space="0" w:color="auto"/>
            </w:tcBorders>
            <w:vAlign w:val="center"/>
          </w:tcPr>
          <w:p w14:paraId="5DC91451" w14:textId="2763E86A" w:rsidR="002365E9" w:rsidRPr="005F7B58" w:rsidRDefault="002365E9" w:rsidP="002365E9">
            <w:pPr>
              <w:spacing w:after="0" w:line="240" w:lineRule="auto"/>
              <w:jc w:val="right"/>
              <w:rPr>
                <w:rFonts w:ascii="Times New Roman" w:hAnsi="Times New Roman" w:cs="Times New Roman"/>
                <w:sz w:val="20"/>
                <w:szCs w:val="20"/>
              </w:rPr>
            </w:pPr>
            <w:r w:rsidRPr="007577DE">
              <w:rPr>
                <w:rFonts w:ascii="Times New Roman" w:eastAsia="Times New Roman" w:hAnsi="Times New Roman" w:cs="Times New Roman"/>
                <w:color w:val="000000"/>
                <w:sz w:val="20"/>
                <w:szCs w:val="20"/>
                <w:lang w:eastAsia="sk-SK"/>
              </w:rPr>
              <w:t>421</w:t>
            </w:r>
          </w:p>
        </w:tc>
        <w:tc>
          <w:tcPr>
            <w:tcW w:w="422" w:type="pct"/>
            <w:tcBorders>
              <w:bottom w:val="single" w:sz="4" w:space="0" w:color="auto"/>
            </w:tcBorders>
            <w:vAlign w:val="center"/>
          </w:tcPr>
          <w:p w14:paraId="4BB67FAC" w14:textId="3ED803F9" w:rsidR="002365E9" w:rsidRPr="002365E9" w:rsidRDefault="002365E9" w:rsidP="00297B22">
            <w:pPr>
              <w:spacing w:after="0" w:line="240" w:lineRule="auto"/>
              <w:jc w:val="right"/>
              <w:rPr>
                <w:rFonts w:ascii="Times New Roman" w:hAnsi="Times New Roman" w:cs="Times New Roman"/>
                <w:sz w:val="20"/>
                <w:szCs w:val="20"/>
              </w:rPr>
            </w:pPr>
            <w:r w:rsidRPr="007577DE">
              <w:rPr>
                <w:rFonts w:ascii="Times New Roman" w:eastAsia="Times New Roman" w:hAnsi="Times New Roman" w:cs="Times New Roman"/>
                <w:color w:val="000000"/>
                <w:sz w:val="20"/>
                <w:szCs w:val="20"/>
                <w:lang w:eastAsia="sk-SK"/>
              </w:rPr>
              <w:t>383</w:t>
            </w:r>
          </w:p>
        </w:tc>
      </w:tr>
      <w:tr w:rsidR="002365E9" w:rsidRPr="002365E9" w14:paraId="7F2DA934" w14:textId="334CD203" w:rsidTr="00E35AFB">
        <w:trPr>
          <w:gridAfter w:val="1"/>
          <w:wAfter w:w="7" w:type="pct"/>
          <w:trHeight w:val="330"/>
        </w:trPr>
        <w:tc>
          <w:tcPr>
            <w:tcW w:w="2020" w:type="pct"/>
            <w:tcBorders>
              <w:bottom w:val="single" w:sz="4" w:space="0" w:color="auto"/>
            </w:tcBorders>
            <w:shd w:val="clear" w:color="auto" w:fill="auto"/>
            <w:vAlign w:val="center"/>
          </w:tcPr>
          <w:p w14:paraId="6DCA8C19" w14:textId="77777777" w:rsidR="002365E9" w:rsidRPr="005F7B58" w:rsidRDefault="002365E9" w:rsidP="002365E9">
            <w:pPr>
              <w:spacing w:after="0" w:line="240" w:lineRule="auto"/>
              <w:rPr>
                <w:rFonts w:ascii="Times New Roman" w:hAnsi="Times New Roman" w:cs="Times New Roman"/>
                <w:sz w:val="20"/>
                <w:szCs w:val="20"/>
              </w:rPr>
            </w:pPr>
            <w:r w:rsidRPr="005F7B58">
              <w:rPr>
                <w:rFonts w:ascii="Times New Roman" w:hAnsi="Times New Roman" w:cs="Times New Roman"/>
                <w:sz w:val="20"/>
                <w:szCs w:val="20"/>
              </w:rPr>
              <w:t>Cieľová úroveň primárnej energetickej spotreby v roku 2020</w:t>
            </w:r>
          </w:p>
        </w:tc>
        <w:tc>
          <w:tcPr>
            <w:tcW w:w="400" w:type="pct"/>
            <w:tcBorders>
              <w:bottom w:val="single" w:sz="4" w:space="0" w:color="auto"/>
            </w:tcBorders>
            <w:shd w:val="clear" w:color="auto" w:fill="auto"/>
            <w:noWrap/>
            <w:vAlign w:val="center"/>
          </w:tcPr>
          <w:p w14:paraId="0E6DA028" w14:textId="258FFC79" w:rsidR="002365E9" w:rsidRPr="005F7B58" w:rsidRDefault="002365E9" w:rsidP="002365E9">
            <w:pPr>
              <w:spacing w:after="0" w:line="240" w:lineRule="auto"/>
              <w:jc w:val="right"/>
              <w:rPr>
                <w:rFonts w:ascii="Times New Roman" w:hAnsi="Times New Roman" w:cs="Times New Roman"/>
                <w:sz w:val="20"/>
                <w:szCs w:val="20"/>
              </w:rPr>
            </w:pPr>
            <w:r w:rsidRPr="005F7B58">
              <w:rPr>
                <w:rFonts w:ascii="Times New Roman" w:hAnsi="Times New Roman" w:cs="Times New Roman"/>
                <w:sz w:val="20"/>
                <w:szCs w:val="20"/>
              </w:rPr>
              <w:t>191</w:t>
            </w:r>
          </w:p>
        </w:tc>
        <w:tc>
          <w:tcPr>
            <w:tcW w:w="440" w:type="pct"/>
            <w:tcBorders>
              <w:bottom w:val="single" w:sz="4" w:space="0" w:color="auto"/>
            </w:tcBorders>
            <w:shd w:val="clear" w:color="auto" w:fill="auto"/>
            <w:noWrap/>
            <w:vAlign w:val="center"/>
          </w:tcPr>
          <w:p w14:paraId="1EA5E8CA" w14:textId="1FD56495" w:rsidR="002365E9" w:rsidRPr="005F7B58" w:rsidRDefault="002365E9" w:rsidP="002365E9">
            <w:pPr>
              <w:spacing w:after="0" w:line="240" w:lineRule="auto"/>
              <w:jc w:val="right"/>
              <w:rPr>
                <w:rFonts w:ascii="Times New Roman" w:hAnsi="Times New Roman" w:cs="Times New Roman"/>
                <w:sz w:val="20"/>
                <w:szCs w:val="20"/>
              </w:rPr>
            </w:pPr>
            <w:r w:rsidRPr="005F7B58">
              <w:rPr>
                <w:rFonts w:ascii="Times New Roman" w:hAnsi="Times New Roman" w:cs="Times New Roman"/>
                <w:sz w:val="20"/>
                <w:szCs w:val="20"/>
              </w:rPr>
              <w:t>686</w:t>
            </w:r>
          </w:p>
        </w:tc>
        <w:tc>
          <w:tcPr>
            <w:tcW w:w="791" w:type="pct"/>
            <w:tcBorders>
              <w:bottom w:val="single" w:sz="4" w:space="0" w:color="auto"/>
            </w:tcBorders>
            <w:vAlign w:val="center"/>
          </w:tcPr>
          <w:p w14:paraId="5DE04115" w14:textId="7C32FD69" w:rsidR="002365E9" w:rsidRPr="005F7B58" w:rsidRDefault="002365E9" w:rsidP="002365E9">
            <w:pPr>
              <w:spacing w:after="0" w:line="240" w:lineRule="auto"/>
              <w:jc w:val="right"/>
              <w:rPr>
                <w:rFonts w:ascii="Times New Roman" w:hAnsi="Times New Roman" w:cs="Times New Roman"/>
                <w:sz w:val="20"/>
                <w:szCs w:val="20"/>
              </w:rPr>
            </w:pPr>
            <w:r w:rsidRPr="005F7B58">
              <w:rPr>
                <w:rFonts w:ascii="Times New Roman" w:hAnsi="Times New Roman" w:cs="Times New Roman"/>
                <w:sz w:val="20"/>
                <w:szCs w:val="20"/>
              </w:rPr>
              <w:t>20</w:t>
            </w:r>
            <w:r w:rsidRPr="005F7B58">
              <w:rPr>
                <w:rFonts w:ascii="Times New Roman" w:hAnsi="Times New Roman" w:cs="Times New Roman"/>
                <w:sz w:val="20"/>
                <w:szCs w:val="20"/>
              </w:rPr>
              <w:fldChar w:fldCharType="begin"/>
            </w:r>
            <w:r w:rsidRPr="005F7B58">
              <w:rPr>
                <w:rFonts w:ascii="Times New Roman" w:hAnsi="Times New Roman" w:cs="Times New Roman"/>
                <w:sz w:val="20"/>
                <w:szCs w:val="20"/>
              </w:rPr>
              <w:instrText xml:space="preserve"> NOTEREF _Ref473645811 \f \h  \* MERGEFORMAT </w:instrText>
            </w:r>
            <w:r w:rsidRPr="005F7B58">
              <w:rPr>
                <w:rFonts w:ascii="Times New Roman" w:hAnsi="Times New Roman" w:cs="Times New Roman"/>
                <w:sz w:val="20"/>
                <w:szCs w:val="20"/>
              </w:rPr>
            </w:r>
            <w:r w:rsidRPr="005F7B58">
              <w:rPr>
                <w:rFonts w:ascii="Times New Roman" w:hAnsi="Times New Roman" w:cs="Times New Roman"/>
                <w:sz w:val="20"/>
                <w:szCs w:val="20"/>
              </w:rPr>
              <w:fldChar w:fldCharType="separate"/>
            </w:r>
            <w:r w:rsidR="00684C5F" w:rsidRPr="005F7B58">
              <w:rPr>
                <w:rStyle w:val="Odkaznapoznmkupodiarou"/>
              </w:rPr>
              <w:t>12</w:t>
            </w:r>
            <w:r w:rsidRPr="005F7B58">
              <w:rPr>
                <w:rFonts w:ascii="Times New Roman" w:hAnsi="Times New Roman" w:cs="Times New Roman"/>
                <w:sz w:val="20"/>
                <w:szCs w:val="20"/>
              </w:rPr>
              <w:fldChar w:fldCharType="end"/>
            </w:r>
          </w:p>
        </w:tc>
        <w:tc>
          <w:tcPr>
            <w:tcW w:w="439" w:type="pct"/>
            <w:tcBorders>
              <w:bottom w:val="single" w:sz="4" w:space="0" w:color="auto"/>
            </w:tcBorders>
            <w:vAlign w:val="center"/>
          </w:tcPr>
          <w:p w14:paraId="7F578432" w14:textId="25F86B89" w:rsidR="002365E9" w:rsidRPr="005F7B58" w:rsidRDefault="002365E9" w:rsidP="002365E9">
            <w:pPr>
              <w:spacing w:after="0" w:line="240" w:lineRule="auto"/>
              <w:jc w:val="right"/>
              <w:rPr>
                <w:rFonts w:ascii="Times New Roman" w:hAnsi="Times New Roman" w:cs="Times New Roman"/>
                <w:sz w:val="20"/>
                <w:szCs w:val="20"/>
              </w:rPr>
            </w:pPr>
            <w:r w:rsidRPr="007577DE">
              <w:rPr>
                <w:rFonts w:ascii="Times New Roman" w:eastAsia="Times New Roman" w:hAnsi="Times New Roman" w:cs="Times New Roman"/>
                <w:color w:val="000000"/>
                <w:sz w:val="20"/>
                <w:szCs w:val="20"/>
                <w:lang w:eastAsia="sk-SK"/>
              </w:rPr>
              <w:t>627</w:t>
            </w:r>
          </w:p>
        </w:tc>
        <w:tc>
          <w:tcPr>
            <w:tcW w:w="482" w:type="pct"/>
            <w:tcBorders>
              <w:bottom w:val="single" w:sz="4" w:space="0" w:color="auto"/>
            </w:tcBorders>
            <w:vAlign w:val="center"/>
          </w:tcPr>
          <w:p w14:paraId="2E239F6F" w14:textId="4642264F" w:rsidR="002365E9" w:rsidRPr="005F7B58" w:rsidRDefault="002365E9" w:rsidP="002365E9">
            <w:pPr>
              <w:spacing w:after="0" w:line="240" w:lineRule="auto"/>
              <w:jc w:val="right"/>
              <w:rPr>
                <w:rFonts w:ascii="Times New Roman" w:hAnsi="Times New Roman" w:cs="Times New Roman"/>
                <w:sz w:val="20"/>
                <w:szCs w:val="20"/>
              </w:rPr>
            </w:pPr>
            <w:r w:rsidRPr="007577DE">
              <w:rPr>
                <w:rFonts w:ascii="Times New Roman" w:eastAsia="Times New Roman" w:hAnsi="Times New Roman" w:cs="Times New Roman"/>
                <w:color w:val="000000"/>
                <w:sz w:val="20"/>
                <w:szCs w:val="20"/>
                <w:lang w:eastAsia="sk-SK"/>
              </w:rPr>
              <w:t>639</w:t>
            </w:r>
          </w:p>
        </w:tc>
        <w:tc>
          <w:tcPr>
            <w:tcW w:w="422" w:type="pct"/>
            <w:tcBorders>
              <w:bottom w:val="single" w:sz="4" w:space="0" w:color="auto"/>
            </w:tcBorders>
            <w:vAlign w:val="center"/>
          </w:tcPr>
          <w:p w14:paraId="25217F7A" w14:textId="72C47FBC" w:rsidR="002365E9" w:rsidRPr="002365E9" w:rsidRDefault="002365E9" w:rsidP="00297B22">
            <w:pPr>
              <w:spacing w:after="0" w:line="240" w:lineRule="auto"/>
              <w:jc w:val="right"/>
              <w:rPr>
                <w:rFonts w:ascii="Times New Roman" w:hAnsi="Times New Roman" w:cs="Times New Roman"/>
                <w:sz w:val="20"/>
                <w:szCs w:val="20"/>
              </w:rPr>
            </w:pPr>
            <w:r w:rsidRPr="007577DE">
              <w:rPr>
                <w:rFonts w:ascii="Times New Roman" w:eastAsia="Times New Roman" w:hAnsi="Times New Roman" w:cs="Times New Roman"/>
                <w:color w:val="000000"/>
                <w:sz w:val="20"/>
                <w:szCs w:val="20"/>
                <w:lang w:eastAsia="sk-SK"/>
              </w:rPr>
              <w:t>640</w:t>
            </w:r>
          </w:p>
        </w:tc>
      </w:tr>
    </w:tbl>
    <w:p w14:paraId="398ACA30" w14:textId="3AA51864" w:rsidR="00B26755" w:rsidRPr="009F2998" w:rsidRDefault="00B26755" w:rsidP="0049533A">
      <w:pPr>
        <w:rPr>
          <w:rFonts w:ascii="Times New Roman" w:hAnsi="Times New Roman" w:cs="Times New Roman"/>
        </w:rPr>
      </w:pPr>
    </w:p>
    <w:p w14:paraId="490F4845" w14:textId="77777777" w:rsidR="007D0E21" w:rsidRDefault="00A360A9" w:rsidP="00A360A9">
      <w:pPr>
        <w:tabs>
          <w:tab w:val="left" w:pos="1620"/>
        </w:tabs>
        <w:spacing w:line="264" w:lineRule="auto"/>
        <w:jc w:val="both"/>
        <w:rPr>
          <w:rFonts w:ascii="Times New Roman" w:hAnsi="Times New Roman" w:cs="Times New Roman"/>
          <w:sz w:val="24"/>
          <w:szCs w:val="24"/>
        </w:rPr>
      </w:pPr>
      <w:r w:rsidRPr="00DD60BC">
        <w:rPr>
          <w:rFonts w:ascii="Times New Roman" w:hAnsi="Times New Roman" w:cs="Times New Roman"/>
          <w:sz w:val="24"/>
          <w:szCs w:val="24"/>
        </w:rPr>
        <w:t>V roku 201</w:t>
      </w:r>
      <w:r w:rsidR="00621E18" w:rsidRPr="00856490">
        <w:rPr>
          <w:rFonts w:ascii="Times New Roman" w:hAnsi="Times New Roman" w:cs="Times New Roman"/>
          <w:sz w:val="24"/>
          <w:szCs w:val="24"/>
        </w:rPr>
        <w:t>5</w:t>
      </w:r>
      <w:r w:rsidRPr="00DD60BC">
        <w:rPr>
          <w:rFonts w:ascii="Times New Roman" w:hAnsi="Times New Roman" w:cs="Times New Roman"/>
          <w:sz w:val="24"/>
          <w:szCs w:val="24"/>
        </w:rPr>
        <w:t xml:space="preserve"> bola úroveň KES aj PES pod úrovňou stanovených národných indikatívnych cieľov energetickej efektívnosti pre rok </w:t>
      </w:r>
      <w:r w:rsidR="004215C0" w:rsidRPr="00DD60BC">
        <w:rPr>
          <w:rFonts w:ascii="Times New Roman" w:hAnsi="Times New Roman" w:cs="Times New Roman"/>
          <w:sz w:val="24"/>
          <w:szCs w:val="24"/>
        </w:rPr>
        <w:t>2020.</w:t>
      </w:r>
      <w:r w:rsidR="00013057">
        <w:rPr>
          <w:rFonts w:ascii="Times New Roman" w:hAnsi="Times New Roman" w:cs="Times New Roman"/>
          <w:sz w:val="24"/>
          <w:szCs w:val="24"/>
        </w:rPr>
        <w:t xml:space="preserve"> </w:t>
      </w:r>
    </w:p>
    <w:p w14:paraId="08ACE2A4" w14:textId="77777777" w:rsidR="0016691E" w:rsidRPr="007577DE" w:rsidRDefault="0016691E" w:rsidP="0016691E">
      <w:pPr>
        <w:tabs>
          <w:tab w:val="left" w:pos="1620"/>
        </w:tabs>
        <w:spacing w:line="264" w:lineRule="auto"/>
        <w:jc w:val="both"/>
        <w:rPr>
          <w:rFonts w:ascii="Times New Roman" w:hAnsi="Times New Roman" w:cs="Times New Roman"/>
          <w:sz w:val="24"/>
          <w:szCs w:val="24"/>
        </w:rPr>
      </w:pPr>
      <w:r w:rsidRPr="007577DE">
        <w:rPr>
          <w:rFonts w:ascii="Times New Roman" w:hAnsi="Times New Roman" w:cs="Times New Roman"/>
          <w:sz w:val="24"/>
          <w:szCs w:val="24"/>
        </w:rPr>
        <w:t>V oblasti konečnej energetickej spotreby je výrazný rozdiel v ukazovateli ŠÚ SR a Eurostatu. Indikatívny cieľ sa stanovoval na základe údajov ŠÚ SR. Vyhodnotenie plnenia tohto cieľa na základe údajov ŠÚSR preukazuje, že konečná energetická spotreba bola v roku 201</w:t>
      </w:r>
      <w:r>
        <w:rPr>
          <w:rFonts w:ascii="Times New Roman" w:hAnsi="Times New Roman" w:cs="Times New Roman"/>
          <w:sz w:val="24"/>
          <w:szCs w:val="24"/>
        </w:rPr>
        <w:t>5</w:t>
      </w:r>
      <w:r w:rsidRPr="007577DE">
        <w:rPr>
          <w:rFonts w:ascii="Times New Roman" w:hAnsi="Times New Roman" w:cs="Times New Roman"/>
          <w:sz w:val="24"/>
          <w:szCs w:val="24"/>
        </w:rPr>
        <w:t xml:space="preserve"> pod úrovňou cieľa stanoveného pre rok 2020. Ak by cieľ bol stanovený a tiež hodnotený podľa údajov z Eurostatu, cieľ by bol v pôvodnej výške predbežného cieľa 435 PJ, čo znamená, že SR by plnila aj tento cieľ v roku 2014</w:t>
      </w:r>
      <w:r>
        <w:rPr>
          <w:rFonts w:ascii="Times New Roman" w:hAnsi="Times New Roman" w:cs="Times New Roman"/>
          <w:sz w:val="24"/>
          <w:szCs w:val="24"/>
        </w:rPr>
        <w:t xml:space="preserve"> (údaje za rok 2015 nie sú k dispozícii)</w:t>
      </w:r>
      <w:r w:rsidRPr="007577DE">
        <w:rPr>
          <w:rFonts w:ascii="Times New Roman" w:hAnsi="Times New Roman" w:cs="Times New Roman"/>
          <w:sz w:val="24"/>
          <w:szCs w:val="24"/>
        </w:rPr>
        <w:t xml:space="preserve">. </w:t>
      </w:r>
    </w:p>
    <w:p w14:paraId="4883E34A" w14:textId="15E018E7" w:rsidR="001D712C" w:rsidRDefault="001D712C" w:rsidP="004E746F">
      <w:pPr>
        <w:keepNext/>
        <w:tabs>
          <w:tab w:val="left" w:pos="1620"/>
        </w:tabs>
        <w:spacing w:line="264" w:lineRule="auto"/>
        <w:jc w:val="both"/>
        <w:rPr>
          <w:rFonts w:ascii="Times New Roman" w:hAnsi="Times New Roman" w:cs="Times New Roman"/>
          <w:sz w:val="24"/>
          <w:szCs w:val="24"/>
        </w:rPr>
      </w:pPr>
      <w:r w:rsidRPr="000578FE">
        <w:rPr>
          <w:rFonts w:ascii="Times New Roman" w:hAnsi="Times New Roman" w:cs="Times New Roman"/>
          <w:sz w:val="24"/>
          <w:szCs w:val="24"/>
        </w:rPr>
        <w:t xml:space="preserve">Graf č. </w:t>
      </w:r>
      <w:r w:rsidR="00AE42A2">
        <w:rPr>
          <w:rFonts w:ascii="Times New Roman" w:hAnsi="Times New Roman" w:cs="Times New Roman"/>
          <w:sz w:val="24"/>
          <w:szCs w:val="24"/>
        </w:rPr>
        <w:t>2</w:t>
      </w:r>
      <w:r w:rsidRPr="000578FE">
        <w:rPr>
          <w:rFonts w:ascii="Times New Roman" w:hAnsi="Times New Roman" w:cs="Times New Roman"/>
          <w:sz w:val="24"/>
          <w:szCs w:val="24"/>
        </w:rPr>
        <w:t>: Ciele energetickej efektívnosti pre SR 2001 – 2015</w:t>
      </w:r>
      <w:r w:rsidR="0016691E">
        <w:rPr>
          <w:rFonts w:ascii="Times New Roman" w:hAnsi="Times New Roman" w:cs="Times New Roman"/>
          <w:sz w:val="24"/>
          <w:szCs w:val="24"/>
        </w:rPr>
        <w:t xml:space="preserve"> v absolútnej hodnote KES (PES)</w:t>
      </w:r>
    </w:p>
    <w:p w14:paraId="2C68070F" w14:textId="51D9D6D2" w:rsidR="005C5DE4" w:rsidRDefault="005C5DE4" w:rsidP="00A360A9">
      <w:pPr>
        <w:tabs>
          <w:tab w:val="left" w:pos="1620"/>
        </w:tabs>
        <w:spacing w:line="264" w:lineRule="auto"/>
        <w:jc w:val="both"/>
        <w:rPr>
          <w:rFonts w:ascii="Times New Roman" w:hAnsi="Times New Roman" w:cs="Times New Roman"/>
          <w:sz w:val="24"/>
          <w:szCs w:val="24"/>
        </w:rPr>
      </w:pPr>
      <w:r>
        <w:rPr>
          <w:rFonts w:ascii="Times New Roman" w:hAnsi="Times New Roman" w:cs="Times New Roman"/>
          <w:noProof/>
          <w:sz w:val="24"/>
          <w:szCs w:val="24"/>
          <w:lang w:eastAsia="sk-SK"/>
        </w:rPr>
        <w:drawing>
          <wp:inline distT="0" distB="0" distL="0" distR="0" wp14:anchorId="03CB1171" wp14:editId="42EC2AA1">
            <wp:extent cx="5562600" cy="3291775"/>
            <wp:effectExtent l="0" t="0" r="0" b="444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75741" cy="3299551"/>
                    </a:xfrm>
                    <a:prstGeom prst="rect">
                      <a:avLst/>
                    </a:prstGeom>
                    <a:noFill/>
                  </pic:spPr>
                </pic:pic>
              </a:graphicData>
            </a:graphic>
          </wp:inline>
        </w:drawing>
      </w:r>
    </w:p>
    <w:p w14:paraId="06DB3303" w14:textId="3F7952BE" w:rsidR="00804795" w:rsidRPr="000578FE" w:rsidRDefault="00940967" w:rsidP="00A360A9">
      <w:pPr>
        <w:tabs>
          <w:tab w:val="left" w:pos="1620"/>
        </w:tabs>
        <w:spacing w:line="264" w:lineRule="auto"/>
        <w:jc w:val="both"/>
        <w:rPr>
          <w:rFonts w:ascii="Times New Roman" w:hAnsi="Times New Roman" w:cs="Times New Roman"/>
          <w:sz w:val="24"/>
          <w:szCs w:val="24"/>
        </w:rPr>
      </w:pPr>
      <w:r w:rsidRPr="000578FE">
        <w:rPr>
          <w:rFonts w:ascii="Times New Roman" w:hAnsi="Times New Roman" w:cs="Times New Roman"/>
          <w:sz w:val="24"/>
          <w:szCs w:val="24"/>
        </w:rPr>
        <w:t>Zdroj: MH</w:t>
      </w:r>
      <w:r w:rsidR="00804795" w:rsidRPr="000578FE">
        <w:rPr>
          <w:rFonts w:ascii="Times New Roman" w:hAnsi="Times New Roman" w:cs="Times New Roman"/>
          <w:sz w:val="24"/>
          <w:szCs w:val="24"/>
        </w:rPr>
        <w:t xml:space="preserve"> SR</w:t>
      </w:r>
      <w:r w:rsidR="0016691E" w:rsidRPr="000578FE">
        <w:rPr>
          <w:rFonts w:ascii="Times New Roman" w:hAnsi="Times New Roman" w:cs="Times New Roman"/>
          <w:sz w:val="24"/>
          <w:szCs w:val="24"/>
        </w:rPr>
        <w:t>, spracované z údajov ŠÚ SR za roky 2014 a 2015</w:t>
      </w:r>
    </w:p>
    <w:p w14:paraId="0AB77D7F" w14:textId="66397DBA" w:rsidR="00C76805" w:rsidRPr="007577DE" w:rsidRDefault="00C76805" w:rsidP="00C76805">
      <w:pPr>
        <w:tabs>
          <w:tab w:val="left" w:pos="1620"/>
        </w:tabs>
        <w:spacing w:line="264"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Podľa údajov zo ŠÚ SR bol zaznamenaný medziročný nárast spotreby energie. Jednorázový medziročný nárast KES o asi 4% </w:t>
      </w:r>
      <w:r w:rsidRPr="001B1483">
        <w:rPr>
          <w:rFonts w:ascii="Times New Roman" w:hAnsi="Times New Roman" w:cs="Times New Roman"/>
          <w:b/>
          <w:sz w:val="24"/>
          <w:szCs w:val="24"/>
          <w:u w:val="single"/>
        </w:rPr>
        <w:t xml:space="preserve">zatiaľ nemusí negatívne ovplyvniť plnenie </w:t>
      </w:r>
      <w:r w:rsidR="00DD2A78" w:rsidRPr="001B1483">
        <w:rPr>
          <w:rFonts w:ascii="Times New Roman" w:hAnsi="Times New Roman" w:cs="Times New Roman"/>
          <w:b/>
          <w:sz w:val="24"/>
          <w:szCs w:val="24"/>
          <w:u w:val="single"/>
        </w:rPr>
        <w:t xml:space="preserve">národného indikatívneho </w:t>
      </w:r>
      <w:r w:rsidRPr="001B1483">
        <w:rPr>
          <w:rFonts w:ascii="Times New Roman" w:hAnsi="Times New Roman" w:cs="Times New Roman"/>
          <w:b/>
          <w:sz w:val="24"/>
          <w:szCs w:val="24"/>
          <w:u w:val="single"/>
        </w:rPr>
        <w:t xml:space="preserve">cieľa </w:t>
      </w:r>
      <w:r w:rsidR="00DD2A78" w:rsidRPr="001B1483">
        <w:rPr>
          <w:rFonts w:ascii="Times New Roman" w:hAnsi="Times New Roman" w:cs="Times New Roman"/>
          <w:b/>
          <w:sz w:val="24"/>
          <w:szCs w:val="24"/>
          <w:u w:val="single"/>
        </w:rPr>
        <w:t>energetickej efektívnosti do roku 2020 podľa článku 3 smernice 2012/27/EÚ</w:t>
      </w:r>
      <w:r>
        <w:rPr>
          <w:rFonts w:ascii="Times New Roman" w:hAnsi="Times New Roman" w:cs="Times New Roman"/>
          <w:sz w:val="24"/>
          <w:szCs w:val="24"/>
        </w:rPr>
        <w:t xml:space="preserve">, ale v prípade rovnakého každoročného nárastu až do roku 2020 by </w:t>
      </w:r>
      <w:r w:rsidR="0027324F">
        <w:rPr>
          <w:rFonts w:ascii="Times New Roman" w:hAnsi="Times New Roman" w:cs="Times New Roman"/>
          <w:sz w:val="24"/>
          <w:szCs w:val="24"/>
        </w:rPr>
        <w:t>bol plánovaný cieľ vyjadrený</w:t>
      </w:r>
      <w:r>
        <w:rPr>
          <w:rFonts w:ascii="Times New Roman" w:hAnsi="Times New Roman" w:cs="Times New Roman"/>
          <w:sz w:val="24"/>
          <w:szCs w:val="24"/>
        </w:rPr>
        <w:t xml:space="preserve"> v absolútnej hodnote KES (PES)</w:t>
      </w:r>
      <w:r w:rsidR="0027324F">
        <w:rPr>
          <w:rFonts w:ascii="Times New Roman" w:hAnsi="Times New Roman" w:cs="Times New Roman"/>
          <w:sz w:val="24"/>
          <w:szCs w:val="24"/>
        </w:rPr>
        <w:t xml:space="preserve"> prekročený</w:t>
      </w:r>
      <w:r>
        <w:rPr>
          <w:rFonts w:ascii="Times New Roman" w:hAnsi="Times New Roman" w:cs="Times New Roman"/>
          <w:sz w:val="24"/>
          <w:szCs w:val="24"/>
        </w:rPr>
        <w:t xml:space="preserve"> o</w:t>
      </w:r>
      <w:r w:rsidR="0027324F">
        <w:rPr>
          <w:rFonts w:ascii="Times New Roman" w:hAnsi="Times New Roman" w:cs="Times New Roman"/>
          <w:sz w:val="24"/>
          <w:szCs w:val="24"/>
        </w:rPr>
        <w:t> </w:t>
      </w:r>
      <w:r>
        <w:rPr>
          <w:rFonts w:ascii="Times New Roman" w:hAnsi="Times New Roman" w:cs="Times New Roman"/>
          <w:sz w:val="24"/>
          <w:szCs w:val="24"/>
        </w:rPr>
        <w:t>15</w:t>
      </w:r>
      <w:r w:rsidR="0027324F">
        <w:rPr>
          <w:rFonts w:ascii="Times New Roman" w:hAnsi="Times New Roman" w:cs="Times New Roman"/>
          <w:sz w:val="24"/>
          <w:szCs w:val="24"/>
        </w:rPr>
        <w:t xml:space="preserve"> </w:t>
      </w:r>
      <w:r>
        <w:rPr>
          <w:rFonts w:ascii="Times New Roman" w:hAnsi="Times New Roman" w:cs="Times New Roman"/>
          <w:sz w:val="24"/>
          <w:szCs w:val="24"/>
        </w:rPr>
        <w:t>%</w:t>
      </w:r>
      <w:r w:rsidRPr="00804795">
        <w:rPr>
          <w:rFonts w:ascii="Times New Roman" w:hAnsi="Times New Roman" w:cs="Times New Roman"/>
          <w:sz w:val="24"/>
          <w:szCs w:val="24"/>
        </w:rPr>
        <w:t>.</w:t>
      </w:r>
      <w:r>
        <w:rPr>
          <w:rFonts w:ascii="Times New Roman" w:hAnsi="Times New Roman" w:cs="Times New Roman"/>
          <w:sz w:val="24"/>
          <w:szCs w:val="24"/>
        </w:rPr>
        <w:t xml:space="preserve"> </w:t>
      </w:r>
      <w:r w:rsidRPr="007577DE">
        <w:rPr>
          <w:rFonts w:ascii="Times New Roman" w:hAnsi="Times New Roman" w:cs="Times New Roman"/>
          <w:sz w:val="24"/>
          <w:szCs w:val="24"/>
        </w:rPr>
        <w:t xml:space="preserve">Dôležité </w:t>
      </w:r>
      <w:r>
        <w:rPr>
          <w:rFonts w:ascii="Times New Roman" w:hAnsi="Times New Roman" w:cs="Times New Roman"/>
          <w:sz w:val="24"/>
          <w:szCs w:val="24"/>
        </w:rPr>
        <w:t xml:space="preserve">je preto pravidelne sledovať a vyhodnocovať medziročný nárast spotreby energie a to najmä na úrovni KES. </w:t>
      </w:r>
    </w:p>
    <w:p w14:paraId="5E4F2C0A" w14:textId="77777777" w:rsidR="00C76805" w:rsidRPr="009F2998" w:rsidRDefault="00C76805" w:rsidP="0049533A">
      <w:pPr>
        <w:rPr>
          <w:rFonts w:ascii="Times New Roman" w:hAnsi="Times New Roman" w:cs="Times New Roman"/>
        </w:rPr>
      </w:pPr>
    </w:p>
    <w:p w14:paraId="28AD6994" w14:textId="109CFB76" w:rsidR="00375545" w:rsidRPr="000578FE" w:rsidRDefault="00DB12DC" w:rsidP="00856490">
      <w:pPr>
        <w:rPr>
          <w:rFonts w:ascii="Times New Roman" w:hAnsi="Times New Roman" w:cs="Times New Roman"/>
        </w:rPr>
      </w:pPr>
      <w:r w:rsidRPr="000578FE">
        <w:rPr>
          <w:rFonts w:ascii="Times New Roman" w:hAnsi="Times New Roman" w:cs="Times New Roman"/>
          <w:b/>
        </w:rPr>
        <w:t>O</w:t>
      </w:r>
      <w:r w:rsidR="00375545" w:rsidRPr="000578FE">
        <w:rPr>
          <w:rFonts w:ascii="Times New Roman" w:hAnsi="Times New Roman" w:cs="Times New Roman"/>
          <w:b/>
        </w:rPr>
        <w:t>čakávaný vplyv cieľa na celkovú spotrebu primárnej energie a konečnej energie v roku 2020 a vysvet</w:t>
      </w:r>
      <w:r w:rsidR="008A67DD" w:rsidRPr="000578FE">
        <w:rPr>
          <w:rFonts w:ascii="Times New Roman" w:hAnsi="Times New Roman" w:cs="Times New Roman"/>
          <w:b/>
        </w:rPr>
        <w:t>lenie</w:t>
      </w:r>
      <w:r w:rsidR="00375545" w:rsidRPr="000578FE">
        <w:rPr>
          <w:rFonts w:ascii="Times New Roman" w:hAnsi="Times New Roman" w:cs="Times New Roman"/>
          <w:b/>
        </w:rPr>
        <w:t xml:space="preserve">, ako </w:t>
      </w:r>
      <w:r w:rsidR="00B72FDD" w:rsidRPr="000578FE">
        <w:rPr>
          <w:rFonts w:ascii="Times New Roman" w:hAnsi="Times New Roman" w:cs="Times New Roman"/>
          <w:b/>
        </w:rPr>
        <w:t xml:space="preserve">a na základe akých údajov </w:t>
      </w:r>
      <w:r w:rsidR="00375545" w:rsidRPr="000578FE">
        <w:rPr>
          <w:rFonts w:ascii="Times New Roman" w:hAnsi="Times New Roman" w:cs="Times New Roman"/>
          <w:b/>
        </w:rPr>
        <w:t xml:space="preserve">bol tento vplyv vypočítaný (článok </w:t>
      </w:r>
      <w:r w:rsidR="00B72FDD" w:rsidRPr="000578FE">
        <w:rPr>
          <w:rFonts w:ascii="Times New Roman" w:hAnsi="Times New Roman" w:cs="Times New Roman"/>
          <w:b/>
        </w:rPr>
        <w:t>3 ods. 1 SEE</w:t>
      </w:r>
      <w:r w:rsidR="00375545" w:rsidRPr="000578FE">
        <w:rPr>
          <w:rFonts w:ascii="Times New Roman" w:hAnsi="Times New Roman" w:cs="Times New Roman"/>
          <w:b/>
        </w:rPr>
        <w:t>)</w:t>
      </w:r>
    </w:p>
    <w:p w14:paraId="40F1C29F" w14:textId="18FF1FAF" w:rsidR="00011C7A" w:rsidRPr="007577DE" w:rsidRDefault="00EA44E3" w:rsidP="00EA44E3">
      <w:pPr>
        <w:jc w:val="both"/>
        <w:rPr>
          <w:rFonts w:ascii="Times New Roman" w:eastAsiaTheme="majorEastAsia" w:hAnsi="Times New Roman" w:cs="Times New Roman"/>
          <w:bCs/>
          <w:color w:val="5B9BD5" w:themeColor="accent1"/>
          <w:sz w:val="24"/>
          <w:szCs w:val="24"/>
        </w:rPr>
      </w:pPr>
      <w:r w:rsidRPr="007577DE">
        <w:rPr>
          <w:rFonts w:ascii="Times New Roman" w:eastAsiaTheme="majorEastAsia" w:hAnsi="Times New Roman" w:cs="Times New Roman"/>
          <w:bCs/>
          <w:sz w:val="24"/>
          <w:szCs w:val="24"/>
        </w:rPr>
        <w:t xml:space="preserve">Nakoľko národné indikatívne ciele boli stanovené so zohľadnením predpokladaného vývoja spotreby energie v SR vrátane implementácie opatrení energetickej efektívnosti, očakáva sa, že národné indikatívne ciele spätne posilňujú realizáciu opatrení energetickej efektívnosti. Vplyv cieľov je v rovine informatívnej, porovnávajúcej, podporujúcej, a to prierezovo vo všetkých odvetviach. Stanovenie indikatívneho cieľa je dôležité najmä pre </w:t>
      </w:r>
      <w:r w:rsidR="00E167B6" w:rsidRPr="007577DE">
        <w:rPr>
          <w:rFonts w:ascii="Times New Roman" w:eastAsiaTheme="majorEastAsia" w:hAnsi="Times New Roman" w:cs="Times New Roman"/>
          <w:bCs/>
          <w:sz w:val="24"/>
          <w:szCs w:val="24"/>
        </w:rPr>
        <w:t xml:space="preserve">priebežné </w:t>
      </w:r>
      <w:r w:rsidRPr="007577DE">
        <w:rPr>
          <w:rFonts w:ascii="Times New Roman" w:eastAsiaTheme="majorEastAsia" w:hAnsi="Times New Roman" w:cs="Times New Roman"/>
          <w:bCs/>
          <w:sz w:val="24"/>
          <w:szCs w:val="24"/>
        </w:rPr>
        <w:t xml:space="preserve">vyhodnocovanie </w:t>
      </w:r>
      <w:r w:rsidR="00D12DE0" w:rsidRPr="007577DE">
        <w:rPr>
          <w:rFonts w:ascii="Times New Roman" w:eastAsiaTheme="majorEastAsia" w:hAnsi="Times New Roman" w:cs="Times New Roman"/>
          <w:bCs/>
          <w:sz w:val="24"/>
          <w:szCs w:val="24"/>
        </w:rPr>
        <w:t xml:space="preserve">aktuálneho stavu v oblasti energetickej efektívnosti </w:t>
      </w:r>
      <w:r w:rsidRPr="007577DE">
        <w:rPr>
          <w:rFonts w:ascii="Times New Roman" w:eastAsiaTheme="majorEastAsia" w:hAnsi="Times New Roman" w:cs="Times New Roman"/>
          <w:bCs/>
          <w:sz w:val="24"/>
          <w:szCs w:val="24"/>
        </w:rPr>
        <w:t xml:space="preserve">a má informatívnu a koordinačnú  úlohu. Vplyv cieľov na úroveň spotreby energie </w:t>
      </w:r>
      <w:r w:rsidR="00D12DE0" w:rsidRPr="007577DE">
        <w:rPr>
          <w:rFonts w:ascii="Times New Roman" w:eastAsiaTheme="majorEastAsia" w:hAnsi="Times New Roman" w:cs="Times New Roman"/>
          <w:bCs/>
          <w:sz w:val="24"/>
          <w:szCs w:val="24"/>
        </w:rPr>
        <w:t xml:space="preserve">zatiaľ </w:t>
      </w:r>
      <w:r w:rsidRPr="007577DE">
        <w:rPr>
          <w:rFonts w:ascii="Times New Roman" w:eastAsiaTheme="majorEastAsia" w:hAnsi="Times New Roman" w:cs="Times New Roman"/>
          <w:bCs/>
          <w:sz w:val="24"/>
          <w:szCs w:val="24"/>
        </w:rPr>
        <w:t>nebol kvantifikovaný.</w:t>
      </w:r>
      <w:r w:rsidRPr="007577DE">
        <w:rPr>
          <w:rFonts w:ascii="Times New Roman" w:eastAsiaTheme="majorEastAsia" w:hAnsi="Times New Roman" w:cs="Times New Roman"/>
          <w:bCs/>
          <w:color w:val="5B9BD5" w:themeColor="accent1"/>
          <w:sz w:val="24"/>
          <w:szCs w:val="24"/>
        </w:rPr>
        <w:t xml:space="preserve">  </w:t>
      </w:r>
    </w:p>
    <w:p w14:paraId="2497B7BB" w14:textId="77777777" w:rsidR="00E60DE4" w:rsidRDefault="00E60DE4" w:rsidP="00856490"/>
    <w:p w14:paraId="3C96CD77" w14:textId="2C8192B9" w:rsidR="00E60DE4" w:rsidRPr="009B2F02" w:rsidRDefault="00E60DE4" w:rsidP="00AF5415">
      <w:pPr>
        <w:pStyle w:val="Nadpis4"/>
        <w:numPr>
          <w:ilvl w:val="3"/>
          <w:numId w:val="30"/>
        </w:numPr>
        <w:rPr>
          <w:rFonts w:ascii="Times New Roman" w:hAnsi="Times New Roman" w:cs="Times New Roman"/>
          <w:i w:val="0"/>
          <w:color w:val="auto"/>
        </w:rPr>
      </w:pPr>
      <w:bookmarkStart w:id="16" w:name="_Toc480547222"/>
      <w:r w:rsidRPr="009B2F02">
        <w:rPr>
          <w:rFonts w:ascii="Times New Roman" w:hAnsi="Times New Roman" w:cs="Times New Roman"/>
          <w:i w:val="0"/>
          <w:color w:val="auto"/>
        </w:rPr>
        <w:t>Cieľ úspor energie</w:t>
      </w:r>
      <w:r w:rsidR="00DD2A78" w:rsidRPr="009B2F02">
        <w:rPr>
          <w:rFonts w:ascii="Times New Roman" w:hAnsi="Times New Roman" w:cs="Times New Roman"/>
          <w:i w:val="0"/>
          <w:color w:val="auto"/>
        </w:rPr>
        <w:t xml:space="preserve"> </w:t>
      </w:r>
      <w:r w:rsidRPr="009B2F02">
        <w:rPr>
          <w:rFonts w:ascii="Times New Roman" w:hAnsi="Times New Roman" w:cs="Times New Roman"/>
          <w:i w:val="0"/>
          <w:color w:val="auto"/>
        </w:rPr>
        <w:t>budov (čl. 5 SEE)</w:t>
      </w:r>
      <w:bookmarkEnd w:id="16"/>
      <w:r w:rsidRPr="009B2F02">
        <w:rPr>
          <w:rFonts w:ascii="Times New Roman" w:hAnsi="Times New Roman" w:cs="Times New Roman"/>
          <w:i w:val="0"/>
          <w:color w:val="auto"/>
        </w:rPr>
        <w:t xml:space="preserve"> </w:t>
      </w:r>
    </w:p>
    <w:p w14:paraId="00551E2F" w14:textId="77777777" w:rsidR="00E60DE4" w:rsidRDefault="00E60DE4" w:rsidP="00E60DE4">
      <w:pPr>
        <w:jc w:val="both"/>
        <w:rPr>
          <w:rFonts w:ascii="Times New Roman" w:hAnsi="Times New Roman" w:cs="Times New Roman"/>
          <w:sz w:val="24"/>
          <w:szCs w:val="24"/>
        </w:rPr>
      </w:pPr>
      <w:r w:rsidRPr="007577DE">
        <w:rPr>
          <w:rFonts w:ascii="Times New Roman" w:hAnsi="Times New Roman" w:cs="Times New Roman"/>
          <w:sz w:val="24"/>
          <w:szCs w:val="24"/>
        </w:rPr>
        <w:t>Na základe čl. 5 smernice 2012/27/EÚ každá členská krajina musí každoročne obnoviť 3% z celkovej podlahovej plochy  SR si v súlade s čl. 5 (6) smernice 2012/27/EÚ zvolila alternatívny spôsob plnenia cieľa, pričom cieľ úspor energie budov bol stanovený vo výške 52,17 GWh ročne.</w:t>
      </w:r>
      <w:r w:rsidRPr="007577DE">
        <w:rPr>
          <w:rStyle w:val="Odkaznapoznmkupodiarou"/>
          <w:rFonts w:ascii="Times New Roman" w:hAnsi="Times New Roman" w:cs="Times New Roman"/>
          <w:sz w:val="24"/>
          <w:szCs w:val="24"/>
        </w:rPr>
        <w:footnoteReference w:id="13"/>
      </w:r>
      <w:r w:rsidRPr="007577DE">
        <w:rPr>
          <w:rFonts w:ascii="Times New Roman" w:hAnsi="Times New Roman" w:cs="Times New Roman"/>
          <w:sz w:val="24"/>
          <w:szCs w:val="24"/>
        </w:rPr>
        <w:t xml:space="preserve"> </w:t>
      </w:r>
    </w:p>
    <w:p w14:paraId="2476911A" w14:textId="5401817D" w:rsidR="0027324F" w:rsidRPr="00856490" w:rsidRDefault="0027324F" w:rsidP="0027324F">
      <w:pPr>
        <w:jc w:val="both"/>
        <w:rPr>
          <w:rFonts w:ascii="Times New Roman" w:hAnsi="Times New Roman" w:cs="Times New Roman"/>
          <w:sz w:val="24"/>
          <w:szCs w:val="24"/>
        </w:rPr>
      </w:pPr>
      <w:r>
        <w:rPr>
          <w:rFonts w:ascii="Times New Roman" w:hAnsi="Times New Roman" w:cs="Times New Roman"/>
          <w:sz w:val="24"/>
          <w:szCs w:val="24"/>
        </w:rPr>
        <w:t xml:space="preserve">Od roku 2014 bol cieľ splnený len v roku 2015 (54,13 GWh). </w:t>
      </w:r>
      <w:r w:rsidR="00E60DE4" w:rsidRPr="00856490">
        <w:rPr>
          <w:rFonts w:ascii="Times New Roman" w:hAnsi="Times New Roman" w:cs="Times New Roman"/>
          <w:sz w:val="24"/>
          <w:szCs w:val="24"/>
        </w:rPr>
        <w:t xml:space="preserve">V roku 2016 bola dosiahnutá úspora </w:t>
      </w:r>
      <w:r>
        <w:rPr>
          <w:rFonts w:ascii="Times New Roman" w:hAnsi="Times New Roman" w:cs="Times New Roman"/>
          <w:sz w:val="24"/>
          <w:szCs w:val="24"/>
        </w:rPr>
        <w:t xml:space="preserve">iba </w:t>
      </w:r>
      <w:r w:rsidR="00E60DE4" w:rsidRPr="00856490">
        <w:rPr>
          <w:rFonts w:ascii="Times New Roman" w:hAnsi="Times New Roman" w:cs="Times New Roman"/>
          <w:sz w:val="24"/>
          <w:szCs w:val="24"/>
        </w:rPr>
        <w:t xml:space="preserve">vo výške </w:t>
      </w:r>
      <w:r w:rsidR="00637612">
        <w:rPr>
          <w:rFonts w:ascii="Times New Roman" w:hAnsi="Times New Roman" w:cs="Times New Roman"/>
          <w:sz w:val="24"/>
          <w:szCs w:val="24"/>
        </w:rPr>
        <w:t>23,02</w:t>
      </w:r>
      <w:r w:rsidR="00E60DE4">
        <w:rPr>
          <w:rFonts w:ascii="Times New Roman" w:hAnsi="Times New Roman" w:cs="Times New Roman"/>
          <w:sz w:val="24"/>
          <w:szCs w:val="24"/>
        </w:rPr>
        <w:t xml:space="preserve"> GWh</w:t>
      </w:r>
      <w:r w:rsidR="00637612">
        <w:rPr>
          <w:rFonts w:ascii="Times New Roman" w:hAnsi="Times New Roman" w:cs="Times New Roman"/>
          <w:sz w:val="24"/>
          <w:szCs w:val="24"/>
        </w:rPr>
        <w:t>, čo znamená 44</w:t>
      </w:r>
      <w:r>
        <w:rPr>
          <w:rFonts w:ascii="Times New Roman" w:hAnsi="Times New Roman" w:cs="Times New Roman"/>
          <w:sz w:val="24"/>
          <w:szCs w:val="24"/>
        </w:rPr>
        <w:t xml:space="preserve"> </w:t>
      </w:r>
      <w:r w:rsidR="00637612">
        <w:rPr>
          <w:rFonts w:ascii="Times New Roman" w:hAnsi="Times New Roman" w:cs="Times New Roman"/>
          <w:sz w:val="24"/>
          <w:szCs w:val="24"/>
        </w:rPr>
        <w:t>% stanoveného ročného cieľa.</w:t>
      </w:r>
      <w:r>
        <w:rPr>
          <w:rFonts w:ascii="Times New Roman" w:hAnsi="Times New Roman" w:cs="Times New Roman"/>
          <w:sz w:val="24"/>
          <w:szCs w:val="24"/>
        </w:rPr>
        <w:t xml:space="preserve"> </w:t>
      </w:r>
      <w:r w:rsidRPr="0027324F">
        <w:rPr>
          <w:rFonts w:ascii="Times New Roman" w:hAnsi="Times New Roman" w:cs="Times New Roman"/>
          <w:sz w:val="24"/>
          <w:szCs w:val="24"/>
        </w:rPr>
        <w:t xml:space="preserve">Na základe uvedeného zhodnotenia je možné konštatovať, že </w:t>
      </w:r>
      <w:r w:rsidRPr="001B1483">
        <w:rPr>
          <w:rFonts w:ascii="Times New Roman" w:hAnsi="Times New Roman" w:cs="Times New Roman"/>
          <w:b/>
          <w:sz w:val="24"/>
          <w:szCs w:val="24"/>
          <w:u w:val="single"/>
        </w:rPr>
        <w:t>plánovaný cieľ úspor energie v budovách podľa čl. 5 smernice</w:t>
      </w:r>
      <w:r w:rsidR="00DD2A78" w:rsidRPr="001B1483">
        <w:rPr>
          <w:rFonts w:ascii="Times New Roman" w:hAnsi="Times New Roman" w:cs="Times New Roman"/>
          <w:b/>
          <w:sz w:val="24"/>
          <w:szCs w:val="24"/>
          <w:u w:val="single"/>
        </w:rPr>
        <w:t xml:space="preserve"> 2012/27/EÚ</w:t>
      </w:r>
      <w:r w:rsidRPr="001B1483">
        <w:rPr>
          <w:rFonts w:ascii="Times New Roman" w:hAnsi="Times New Roman" w:cs="Times New Roman"/>
          <w:b/>
          <w:sz w:val="24"/>
          <w:szCs w:val="24"/>
          <w:u w:val="single"/>
        </w:rPr>
        <w:t xml:space="preserve"> nebol pre rok 2016 naplnený</w:t>
      </w:r>
      <w:r w:rsidRPr="0027324F">
        <w:rPr>
          <w:rFonts w:ascii="Times New Roman" w:hAnsi="Times New Roman" w:cs="Times New Roman"/>
          <w:sz w:val="24"/>
          <w:szCs w:val="24"/>
        </w:rPr>
        <w:t>.</w:t>
      </w:r>
      <w:r w:rsidR="00F0365E">
        <w:rPr>
          <w:rFonts w:ascii="Times New Roman" w:hAnsi="Times New Roman" w:cs="Times New Roman"/>
          <w:sz w:val="24"/>
          <w:szCs w:val="24"/>
        </w:rPr>
        <w:t xml:space="preserve"> </w:t>
      </w:r>
      <w:r w:rsidRPr="00856490">
        <w:rPr>
          <w:rFonts w:ascii="Times New Roman" w:hAnsi="Times New Roman" w:cs="Times New Roman"/>
          <w:sz w:val="24"/>
          <w:szCs w:val="24"/>
        </w:rPr>
        <w:t xml:space="preserve">Jedným z hlavných dôvodov neplnenia cieľa v roku 2016 je </w:t>
      </w:r>
      <w:r>
        <w:rPr>
          <w:rFonts w:ascii="Times New Roman" w:hAnsi="Times New Roman" w:cs="Times New Roman"/>
          <w:sz w:val="24"/>
          <w:szCs w:val="24"/>
        </w:rPr>
        <w:t xml:space="preserve">pretrvávajúci nedostatok verejných zdrojov, ako aj </w:t>
      </w:r>
      <w:r w:rsidRPr="003B1856">
        <w:rPr>
          <w:rFonts w:ascii="Times New Roman" w:hAnsi="Times New Roman" w:cs="Times New Roman"/>
          <w:sz w:val="24"/>
          <w:szCs w:val="24"/>
        </w:rPr>
        <w:t>oneskorené začatie realizácie projektov obnovy verejných budov zo zdrojov OP KŽP (2014-2020)</w:t>
      </w:r>
      <w:r>
        <w:rPr>
          <w:rFonts w:ascii="Times New Roman" w:hAnsi="Times New Roman" w:cs="Times New Roman"/>
          <w:sz w:val="24"/>
          <w:szCs w:val="24"/>
        </w:rPr>
        <w:t xml:space="preserve">. </w:t>
      </w:r>
      <w:r w:rsidR="008F4A21">
        <w:rPr>
          <w:rFonts w:ascii="Times New Roman" w:hAnsi="Times New Roman" w:cs="Times New Roman"/>
          <w:sz w:val="24"/>
          <w:szCs w:val="24"/>
        </w:rPr>
        <w:t xml:space="preserve">Na základe uvedeného je nevyhnutné, aby Ministerstvo dopravy a výstavby Slovenskej republiky, ktoré je podľa zákona č. 575/2001 Z. z. </w:t>
      </w:r>
      <w:r w:rsidR="008F4A21" w:rsidRPr="008F4A21">
        <w:rPr>
          <w:rFonts w:ascii="Times New Roman" w:hAnsi="Times New Roman" w:cs="Times New Roman"/>
          <w:sz w:val="24"/>
          <w:szCs w:val="24"/>
        </w:rPr>
        <w:t>o organizácii činnosti vlády a organizácii ústrednej štátnej sprá</w:t>
      </w:r>
      <w:r w:rsidR="008F4A21">
        <w:rPr>
          <w:rFonts w:ascii="Times New Roman" w:hAnsi="Times New Roman" w:cs="Times New Roman"/>
          <w:sz w:val="24"/>
          <w:szCs w:val="24"/>
        </w:rPr>
        <w:t xml:space="preserve">vy v znení neskorších predpisov zodpovedné za oblasť energetickej hospodárnosti budov, </w:t>
      </w:r>
      <w:r w:rsidR="00DA2157">
        <w:rPr>
          <w:rFonts w:ascii="Times New Roman" w:hAnsi="Times New Roman" w:cs="Times New Roman"/>
          <w:sz w:val="24"/>
          <w:szCs w:val="24"/>
        </w:rPr>
        <w:t xml:space="preserve">navrhlo </w:t>
      </w:r>
      <w:r w:rsidR="008F4A21" w:rsidRPr="001B1483">
        <w:rPr>
          <w:rFonts w:ascii="Times New Roman" w:hAnsi="Times New Roman" w:cs="Times New Roman"/>
          <w:b/>
          <w:sz w:val="24"/>
          <w:szCs w:val="24"/>
          <w:u w:val="single"/>
        </w:rPr>
        <w:t>adekvátne opatrenia na plnenie tohto cieľa</w:t>
      </w:r>
      <w:r w:rsidR="008F4A21">
        <w:rPr>
          <w:rFonts w:ascii="Times New Roman" w:hAnsi="Times New Roman" w:cs="Times New Roman"/>
          <w:sz w:val="24"/>
          <w:szCs w:val="24"/>
        </w:rPr>
        <w:t xml:space="preserve">. </w:t>
      </w:r>
    </w:p>
    <w:p w14:paraId="52B8A454" w14:textId="2F492FFD" w:rsidR="00E60DE4" w:rsidRDefault="00F0365E" w:rsidP="00856490">
      <w:pPr>
        <w:jc w:val="both"/>
        <w:rPr>
          <w:rFonts w:ascii="Times New Roman" w:hAnsi="Times New Roman" w:cs="Times New Roman"/>
          <w:sz w:val="24"/>
          <w:szCs w:val="24"/>
        </w:rPr>
      </w:pPr>
      <w:r>
        <w:rPr>
          <w:rFonts w:ascii="Times New Roman" w:hAnsi="Times New Roman" w:cs="Times New Roman"/>
          <w:sz w:val="24"/>
          <w:szCs w:val="24"/>
        </w:rPr>
        <w:t xml:space="preserve">Deficit v plnení cieľa bude potrebné kompenzovať úsporami v ďalšom období </w:t>
      </w:r>
      <w:r w:rsidRPr="00B65298">
        <w:rPr>
          <w:rFonts w:ascii="Times New Roman" w:hAnsi="Times New Roman" w:cs="Times New Roman"/>
          <w:sz w:val="24"/>
          <w:szCs w:val="24"/>
        </w:rPr>
        <w:t xml:space="preserve">(pozri graf č. </w:t>
      </w:r>
      <w:r w:rsidR="00AE42A2">
        <w:rPr>
          <w:rFonts w:ascii="Times New Roman" w:hAnsi="Times New Roman" w:cs="Times New Roman"/>
          <w:sz w:val="24"/>
          <w:szCs w:val="24"/>
        </w:rPr>
        <w:t>3</w:t>
      </w:r>
      <w:r w:rsidRPr="000C2919">
        <w:rPr>
          <w:rFonts w:ascii="Times New Roman" w:hAnsi="Times New Roman" w:cs="Times New Roman"/>
          <w:sz w:val="24"/>
          <w:szCs w:val="24"/>
        </w:rPr>
        <w:t>)</w:t>
      </w:r>
      <w:r w:rsidRPr="00B65298">
        <w:rPr>
          <w:rFonts w:ascii="Times New Roman" w:hAnsi="Times New Roman" w:cs="Times New Roman"/>
          <w:sz w:val="24"/>
          <w:szCs w:val="24"/>
        </w:rPr>
        <w:t>.</w:t>
      </w:r>
      <w:r>
        <w:rPr>
          <w:rFonts w:ascii="Times New Roman" w:hAnsi="Times New Roman" w:cs="Times New Roman"/>
          <w:sz w:val="24"/>
          <w:szCs w:val="24"/>
        </w:rPr>
        <w:t xml:space="preserve"> </w:t>
      </w:r>
    </w:p>
    <w:p w14:paraId="1FEA1FE5" w14:textId="0CA830A6" w:rsidR="00F0365E" w:rsidRDefault="00F0365E" w:rsidP="00856490">
      <w:pPr>
        <w:keepNext/>
        <w:rPr>
          <w:rFonts w:ascii="Times New Roman" w:hAnsi="Times New Roman" w:cs="Times New Roman"/>
          <w:sz w:val="24"/>
          <w:szCs w:val="24"/>
        </w:rPr>
      </w:pPr>
      <w:r>
        <w:rPr>
          <w:rFonts w:ascii="Times New Roman" w:hAnsi="Times New Roman" w:cs="Times New Roman"/>
          <w:sz w:val="24"/>
          <w:szCs w:val="24"/>
        </w:rPr>
        <w:lastRenderedPageBreak/>
        <w:t xml:space="preserve">Graf č. </w:t>
      </w:r>
      <w:r w:rsidR="00AE42A2">
        <w:rPr>
          <w:rFonts w:ascii="Times New Roman" w:hAnsi="Times New Roman" w:cs="Times New Roman"/>
          <w:sz w:val="24"/>
          <w:szCs w:val="24"/>
        </w:rPr>
        <w:t>3</w:t>
      </w:r>
      <w:r>
        <w:rPr>
          <w:rFonts w:ascii="Times New Roman" w:hAnsi="Times New Roman" w:cs="Times New Roman"/>
          <w:sz w:val="24"/>
          <w:szCs w:val="24"/>
        </w:rPr>
        <w:t>: Cieľ úspor energie v budovách a jeho plnenie v rokoch 2014-2016</w:t>
      </w:r>
    </w:p>
    <w:p w14:paraId="72C83322" w14:textId="0E1F53A6" w:rsidR="00671B38" w:rsidRDefault="00904F7C" w:rsidP="00856490">
      <w:pPr>
        <w:rPr>
          <w:rFonts w:ascii="Times New Roman" w:hAnsi="Times New Roman" w:cs="Times New Roman"/>
          <w:sz w:val="24"/>
          <w:szCs w:val="24"/>
        </w:rPr>
      </w:pPr>
      <w:r>
        <w:rPr>
          <w:noProof/>
          <w:lang w:eastAsia="sk-SK"/>
        </w:rPr>
        <w:drawing>
          <wp:inline distT="0" distB="0" distL="0" distR="0" wp14:anchorId="0B4B24BC" wp14:editId="2C10CBE4">
            <wp:extent cx="5524500" cy="3009900"/>
            <wp:effectExtent l="0" t="0" r="0" b="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0851824" w14:textId="77777777" w:rsidR="00E60DE4" w:rsidRPr="00856490" w:rsidRDefault="00E60DE4" w:rsidP="00856490"/>
    <w:p w14:paraId="699F0DB9" w14:textId="77777777" w:rsidR="00E97BB6" w:rsidRPr="000578FE" w:rsidRDefault="00E97BB6" w:rsidP="00AF5415">
      <w:pPr>
        <w:pStyle w:val="Nadpis4"/>
        <w:numPr>
          <w:ilvl w:val="3"/>
          <w:numId w:val="30"/>
        </w:numPr>
        <w:rPr>
          <w:rFonts w:ascii="Times New Roman" w:hAnsi="Times New Roman" w:cs="Times New Roman"/>
          <w:i w:val="0"/>
          <w:color w:val="auto"/>
        </w:rPr>
      </w:pPr>
      <w:bookmarkStart w:id="17" w:name="_Toc475461003"/>
      <w:bookmarkStart w:id="18" w:name="_Toc480547223"/>
      <w:bookmarkEnd w:id="17"/>
      <w:r w:rsidRPr="000578FE">
        <w:rPr>
          <w:rFonts w:ascii="Times New Roman" w:hAnsi="Times New Roman" w:cs="Times New Roman"/>
          <w:i w:val="0"/>
          <w:color w:val="auto"/>
        </w:rPr>
        <w:t>Cieľ úspor energie u konečného spotrebiteľa (čl. 7 SEE)</w:t>
      </w:r>
      <w:bookmarkEnd w:id="18"/>
    </w:p>
    <w:p w14:paraId="63C3585D" w14:textId="77777777" w:rsidR="00D73888" w:rsidRDefault="00D73888" w:rsidP="00D73888">
      <w:pPr>
        <w:tabs>
          <w:tab w:val="left" w:pos="1620"/>
        </w:tabs>
        <w:spacing w:line="264" w:lineRule="auto"/>
        <w:jc w:val="both"/>
        <w:rPr>
          <w:rFonts w:ascii="Times New Roman" w:hAnsi="Times New Roman" w:cs="Times New Roman"/>
          <w:sz w:val="24"/>
          <w:szCs w:val="24"/>
        </w:rPr>
      </w:pPr>
    </w:p>
    <w:p w14:paraId="7A8EDFFF" w14:textId="7A4D062A" w:rsidR="007B1B1D" w:rsidRDefault="00D73888" w:rsidP="00D73888">
      <w:pPr>
        <w:tabs>
          <w:tab w:val="left" w:pos="1620"/>
        </w:tabs>
        <w:spacing w:line="264" w:lineRule="auto"/>
        <w:jc w:val="both"/>
        <w:rPr>
          <w:rFonts w:ascii="Times New Roman" w:hAnsi="Times New Roman" w:cs="Times New Roman"/>
          <w:bCs/>
          <w:sz w:val="24"/>
          <w:szCs w:val="24"/>
        </w:rPr>
      </w:pPr>
      <w:r w:rsidRPr="007577DE">
        <w:rPr>
          <w:rFonts w:ascii="Times New Roman" w:hAnsi="Times New Roman" w:cs="Times New Roman"/>
          <w:sz w:val="24"/>
          <w:szCs w:val="24"/>
        </w:rPr>
        <w:t xml:space="preserve">Ročný cieľ úspor energie </w:t>
      </w:r>
      <w:r w:rsidR="007B1B1D" w:rsidRPr="007577DE">
        <w:rPr>
          <w:rFonts w:ascii="Times New Roman" w:hAnsi="Times New Roman" w:cs="Times New Roman"/>
          <w:sz w:val="24"/>
          <w:szCs w:val="24"/>
        </w:rPr>
        <w:t>u konečného spotrebiteľa</w:t>
      </w:r>
      <w:r w:rsidR="007B1B1D">
        <w:rPr>
          <w:rFonts w:ascii="Times New Roman" w:hAnsi="Times New Roman" w:cs="Times New Roman"/>
          <w:sz w:val="24"/>
          <w:szCs w:val="24"/>
        </w:rPr>
        <w:t xml:space="preserve"> na roky 2014-2020 bol v zmysle metodiky smernice vypočítaný </w:t>
      </w:r>
      <w:r w:rsidRPr="007577DE">
        <w:rPr>
          <w:rFonts w:ascii="Times New Roman" w:hAnsi="Times New Roman" w:cs="Times New Roman"/>
          <w:sz w:val="24"/>
          <w:szCs w:val="24"/>
        </w:rPr>
        <w:t xml:space="preserve">vo výške </w:t>
      </w:r>
      <w:r w:rsidRPr="001B1483">
        <w:rPr>
          <w:rFonts w:ascii="Times New Roman" w:hAnsi="Times New Roman" w:cs="Times New Roman"/>
          <w:b/>
          <w:sz w:val="24"/>
          <w:szCs w:val="24"/>
        </w:rPr>
        <w:t>948,75 GWh/rok</w:t>
      </w:r>
      <w:r w:rsidRPr="007577DE">
        <w:rPr>
          <w:rFonts w:ascii="Times New Roman" w:hAnsi="Times New Roman" w:cs="Times New Roman"/>
          <w:sz w:val="24"/>
          <w:szCs w:val="24"/>
        </w:rPr>
        <w:t xml:space="preserve"> (3 415,5 TJ</w:t>
      </w:r>
      <w:r>
        <w:rPr>
          <w:rFonts w:ascii="Times New Roman" w:hAnsi="Times New Roman" w:cs="Times New Roman"/>
          <w:sz w:val="24"/>
          <w:szCs w:val="24"/>
        </w:rPr>
        <w:t>/rok</w:t>
      </w:r>
      <w:r w:rsidRPr="007577DE">
        <w:rPr>
          <w:rFonts w:ascii="Times New Roman" w:hAnsi="Times New Roman" w:cs="Times New Roman"/>
          <w:sz w:val="24"/>
          <w:szCs w:val="24"/>
        </w:rPr>
        <w:t>)</w:t>
      </w:r>
      <w:r w:rsidR="007B1B1D">
        <w:rPr>
          <w:rFonts w:ascii="Times New Roman" w:hAnsi="Times New Roman" w:cs="Times New Roman"/>
          <w:sz w:val="24"/>
          <w:szCs w:val="24"/>
        </w:rPr>
        <w:t>, t.</w:t>
      </w:r>
      <w:r w:rsidR="00AC19B2">
        <w:rPr>
          <w:rFonts w:ascii="Times New Roman" w:hAnsi="Times New Roman" w:cs="Times New Roman"/>
          <w:sz w:val="24"/>
          <w:szCs w:val="24"/>
        </w:rPr>
        <w:t xml:space="preserve"> </w:t>
      </w:r>
      <w:r w:rsidR="007B1B1D">
        <w:rPr>
          <w:rFonts w:ascii="Times New Roman" w:hAnsi="Times New Roman" w:cs="Times New Roman"/>
          <w:sz w:val="24"/>
          <w:szCs w:val="24"/>
        </w:rPr>
        <w:t xml:space="preserve">j. výška </w:t>
      </w:r>
      <w:r w:rsidRPr="007577DE">
        <w:rPr>
          <w:rFonts w:ascii="Times New Roman" w:hAnsi="Times New Roman" w:cs="Times New Roman"/>
          <w:sz w:val="24"/>
          <w:szCs w:val="24"/>
        </w:rPr>
        <w:t xml:space="preserve"> </w:t>
      </w:r>
      <w:r w:rsidRPr="001B1483">
        <w:rPr>
          <w:rFonts w:ascii="Times New Roman" w:hAnsi="Times New Roman" w:cs="Times New Roman"/>
          <w:b/>
          <w:sz w:val="24"/>
          <w:szCs w:val="24"/>
        </w:rPr>
        <w:t>kumulatívn</w:t>
      </w:r>
      <w:r w:rsidR="007B1B1D" w:rsidRPr="001B1483">
        <w:rPr>
          <w:rFonts w:ascii="Times New Roman" w:hAnsi="Times New Roman" w:cs="Times New Roman"/>
          <w:b/>
          <w:sz w:val="24"/>
          <w:szCs w:val="24"/>
        </w:rPr>
        <w:t>eho</w:t>
      </w:r>
      <w:r w:rsidRPr="001B1483">
        <w:rPr>
          <w:rFonts w:ascii="Times New Roman" w:hAnsi="Times New Roman" w:cs="Times New Roman"/>
          <w:b/>
          <w:sz w:val="24"/>
          <w:szCs w:val="24"/>
        </w:rPr>
        <w:t xml:space="preserve"> cieľ</w:t>
      </w:r>
      <w:r w:rsidR="007B1B1D" w:rsidRPr="001B1483">
        <w:rPr>
          <w:rFonts w:ascii="Times New Roman" w:hAnsi="Times New Roman" w:cs="Times New Roman"/>
          <w:b/>
          <w:sz w:val="24"/>
          <w:szCs w:val="24"/>
        </w:rPr>
        <w:t>a</w:t>
      </w:r>
      <w:r w:rsidRPr="001B1483">
        <w:rPr>
          <w:rFonts w:ascii="Times New Roman" w:hAnsi="Times New Roman" w:cs="Times New Roman"/>
          <w:b/>
          <w:sz w:val="24"/>
          <w:szCs w:val="24"/>
        </w:rPr>
        <w:t xml:space="preserve"> </w:t>
      </w:r>
      <w:r w:rsidR="007B1B1D" w:rsidRPr="001B1483">
        <w:rPr>
          <w:rFonts w:ascii="Times New Roman" w:hAnsi="Times New Roman" w:cs="Times New Roman"/>
          <w:b/>
          <w:sz w:val="24"/>
          <w:szCs w:val="24"/>
        </w:rPr>
        <w:t>na roky</w:t>
      </w:r>
      <w:r w:rsidRPr="001B1483">
        <w:rPr>
          <w:rFonts w:ascii="Times New Roman" w:hAnsi="Times New Roman" w:cs="Times New Roman"/>
          <w:b/>
          <w:sz w:val="24"/>
          <w:szCs w:val="24"/>
        </w:rPr>
        <w:t xml:space="preserve"> 2014-2020</w:t>
      </w:r>
      <w:r w:rsidRPr="007577DE">
        <w:rPr>
          <w:rFonts w:ascii="Times New Roman" w:hAnsi="Times New Roman" w:cs="Times New Roman"/>
          <w:sz w:val="24"/>
          <w:szCs w:val="24"/>
        </w:rPr>
        <w:t xml:space="preserve"> </w:t>
      </w:r>
      <w:r w:rsidR="007B1B1D" w:rsidRPr="001B1483">
        <w:rPr>
          <w:rFonts w:ascii="Times New Roman" w:hAnsi="Times New Roman" w:cs="Times New Roman"/>
          <w:b/>
          <w:sz w:val="24"/>
          <w:szCs w:val="24"/>
        </w:rPr>
        <w:t>má hodnotu</w:t>
      </w:r>
      <w:r w:rsidRPr="001B1483">
        <w:rPr>
          <w:rFonts w:ascii="Times New Roman" w:hAnsi="Times New Roman" w:cs="Times New Roman"/>
          <w:b/>
          <w:sz w:val="24"/>
          <w:szCs w:val="24"/>
        </w:rPr>
        <w:t xml:space="preserve"> 26 565 GWh</w:t>
      </w:r>
      <w:r w:rsidRPr="007577DE">
        <w:rPr>
          <w:rFonts w:ascii="Times New Roman" w:hAnsi="Times New Roman" w:cs="Times New Roman"/>
          <w:sz w:val="24"/>
          <w:szCs w:val="24"/>
        </w:rPr>
        <w:t xml:space="preserve"> (95 634 TJ).</w:t>
      </w:r>
      <w:r w:rsidRPr="007577DE">
        <w:rPr>
          <w:rStyle w:val="Odkaznapoznmkupodiarou"/>
          <w:rFonts w:ascii="Times New Roman" w:hAnsi="Times New Roman" w:cs="Times New Roman"/>
          <w:sz w:val="24"/>
          <w:szCs w:val="24"/>
        </w:rPr>
        <w:footnoteReference w:id="14"/>
      </w:r>
      <w:r w:rsidRPr="007577DE">
        <w:rPr>
          <w:rFonts w:ascii="Times New Roman" w:hAnsi="Times New Roman" w:cs="Times New Roman"/>
          <w:sz w:val="24"/>
          <w:szCs w:val="24"/>
        </w:rPr>
        <w:t xml:space="preserve"> </w:t>
      </w:r>
      <w:r w:rsidRPr="007577DE">
        <w:rPr>
          <w:rFonts w:ascii="Times New Roman" w:hAnsi="Times New Roman" w:cs="Times New Roman"/>
          <w:bCs/>
          <w:sz w:val="24"/>
          <w:szCs w:val="24"/>
        </w:rPr>
        <w:t xml:space="preserve">Tento cieľ sa </w:t>
      </w:r>
      <w:r w:rsidR="007B1B1D">
        <w:rPr>
          <w:rFonts w:ascii="Times New Roman" w:hAnsi="Times New Roman" w:cs="Times New Roman"/>
          <w:bCs/>
          <w:sz w:val="24"/>
          <w:szCs w:val="24"/>
        </w:rPr>
        <w:t xml:space="preserve">každoročne </w:t>
      </w:r>
      <w:r w:rsidRPr="007577DE">
        <w:rPr>
          <w:rFonts w:ascii="Times New Roman" w:hAnsi="Times New Roman" w:cs="Times New Roman"/>
          <w:bCs/>
          <w:sz w:val="24"/>
          <w:szCs w:val="24"/>
        </w:rPr>
        <w:t xml:space="preserve">upravuje podľa </w:t>
      </w:r>
      <w:r w:rsidR="007B1B1D">
        <w:rPr>
          <w:rFonts w:ascii="Times New Roman" w:hAnsi="Times New Roman" w:cs="Times New Roman"/>
          <w:bCs/>
          <w:sz w:val="24"/>
          <w:szCs w:val="24"/>
        </w:rPr>
        <w:t>úrovne plnenia za predchádzajúce obdobie tak, aby bola dosiahnutá cieľová kumulatívna hodnota.</w:t>
      </w:r>
    </w:p>
    <w:p w14:paraId="1378661B" w14:textId="2EE99828" w:rsidR="00D73888" w:rsidRPr="001B1483" w:rsidRDefault="00D73888" w:rsidP="00D73888">
      <w:pPr>
        <w:tabs>
          <w:tab w:val="left" w:pos="1620"/>
        </w:tabs>
        <w:spacing w:line="264" w:lineRule="auto"/>
        <w:jc w:val="both"/>
        <w:rPr>
          <w:rFonts w:ascii="Times New Roman" w:hAnsi="Times New Roman" w:cs="Times New Roman"/>
          <w:sz w:val="24"/>
          <w:szCs w:val="24"/>
        </w:rPr>
      </w:pPr>
      <w:r w:rsidRPr="007B1B1D">
        <w:rPr>
          <w:rFonts w:ascii="Times New Roman" w:hAnsi="Times New Roman" w:cs="Times New Roman"/>
          <w:sz w:val="24"/>
          <w:szCs w:val="24"/>
        </w:rPr>
        <w:t xml:space="preserve">Na základe vyhodnotenia </w:t>
      </w:r>
      <w:r w:rsidR="000576BD">
        <w:rPr>
          <w:rFonts w:ascii="Times New Roman" w:hAnsi="Times New Roman" w:cs="Times New Roman"/>
          <w:sz w:val="24"/>
          <w:szCs w:val="24"/>
        </w:rPr>
        <w:t>plnenia cieľa v predchádzajúcich rokoch</w:t>
      </w:r>
      <w:r w:rsidR="007B1B1D">
        <w:rPr>
          <w:rFonts w:ascii="Times New Roman" w:hAnsi="Times New Roman" w:cs="Times New Roman"/>
          <w:sz w:val="24"/>
          <w:szCs w:val="24"/>
        </w:rPr>
        <w:t xml:space="preserve"> (2014-2015)</w:t>
      </w:r>
      <w:r w:rsidRPr="007B1B1D">
        <w:rPr>
          <w:rFonts w:ascii="Times New Roman" w:hAnsi="Times New Roman" w:cs="Times New Roman"/>
          <w:sz w:val="24"/>
          <w:szCs w:val="24"/>
        </w:rPr>
        <w:t xml:space="preserve"> </w:t>
      </w:r>
      <w:r w:rsidR="007B1B1D" w:rsidRPr="007B1B1D">
        <w:rPr>
          <w:rFonts w:ascii="Times New Roman" w:hAnsi="Times New Roman" w:cs="Times New Roman"/>
          <w:sz w:val="24"/>
          <w:szCs w:val="24"/>
        </w:rPr>
        <w:t xml:space="preserve">bol </w:t>
      </w:r>
      <w:r w:rsidRPr="001B1483">
        <w:rPr>
          <w:rFonts w:ascii="Times New Roman" w:hAnsi="Times New Roman" w:cs="Times New Roman"/>
          <w:sz w:val="24"/>
          <w:szCs w:val="24"/>
        </w:rPr>
        <w:t xml:space="preserve">ročný cieľ </w:t>
      </w:r>
      <w:r w:rsidR="007B1B1D" w:rsidRPr="001B1483">
        <w:rPr>
          <w:rFonts w:ascii="Times New Roman" w:hAnsi="Times New Roman" w:cs="Times New Roman"/>
          <w:sz w:val="24"/>
          <w:szCs w:val="24"/>
        </w:rPr>
        <w:t>na rok</w:t>
      </w:r>
      <w:r w:rsidR="000576BD">
        <w:rPr>
          <w:rFonts w:ascii="Times New Roman" w:hAnsi="Times New Roman" w:cs="Times New Roman"/>
          <w:sz w:val="24"/>
          <w:szCs w:val="24"/>
        </w:rPr>
        <w:t>y 2016-2020</w:t>
      </w:r>
      <w:r w:rsidR="007B1B1D" w:rsidRPr="001B1483">
        <w:rPr>
          <w:rFonts w:ascii="Times New Roman" w:hAnsi="Times New Roman" w:cs="Times New Roman"/>
          <w:sz w:val="24"/>
          <w:szCs w:val="24"/>
        </w:rPr>
        <w:t xml:space="preserve"> upravený</w:t>
      </w:r>
      <w:r w:rsidRPr="007B1B1D">
        <w:rPr>
          <w:rFonts w:ascii="Times New Roman" w:hAnsi="Times New Roman" w:cs="Times New Roman"/>
          <w:sz w:val="24"/>
          <w:szCs w:val="24"/>
        </w:rPr>
        <w:t xml:space="preserve"> na </w:t>
      </w:r>
      <w:r w:rsidR="000576BD">
        <w:rPr>
          <w:rFonts w:ascii="Times New Roman" w:hAnsi="Times New Roman" w:cs="Times New Roman"/>
          <w:sz w:val="24"/>
          <w:szCs w:val="24"/>
        </w:rPr>
        <w:t>h</w:t>
      </w:r>
      <w:r w:rsidRPr="007B1B1D">
        <w:rPr>
          <w:rFonts w:ascii="Times New Roman" w:hAnsi="Times New Roman" w:cs="Times New Roman"/>
          <w:sz w:val="24"/>
          <w:szCs w:val="24"/>
        </w:rPr>
        <w:t xml:space="preserve">odnotu </w:t>
      </w:r>
      <w:r w:rsidRPr="00EC14E2">
        <w:rPr>
          <w:rFonts w:ascii="Times New Roman" w:hAnsi="Times New Roman" w:cs="Times New Roman"/>
          <w:b/>
          <w:sz w:val="24"/>
          <w:szCs w:val="24"/>
        </w:rPr>
        <w:t>959,84 GWh/rok</w:t>
      </w:r>
      <w:r w:rsidR="007B1B1D">
        <w:rPr>
          <w:rFonts w:ascii="Times New Roman" w:hAnsi="Times New Roman" w:cs="Times New Roman"/>
          <w:sz w:val="24"/>
          <w:szCs w:val="24"/>
        </w:rPr>
        <w:t xml:space="preserve"> (</w:t>
      </w:r>
      <w:r w:rsidR="00AC19B2">
        <w:rPr>
          <w:rFonts w:ascii="Times New Roman" w:hAnsi="Times New Roman" w:cs="Times New Roman"/>
          <w:sz w:val="24"/>
          <w:szCs w:val="24"/>
        </w:rPr>
        <w:t xml:space="preserve">ročná </w:t>
      </w:r>
      <w:r w:rsidR="007B1B1D">
        <w:rPr>
          <w:rFonts w:ascii="Times New Roman" w:hAnsi="Times New Roman" w:cs="Times New Roman"/>
          <w:sz w:val="24"/>
          <w:szCs w:val="24"/>
        </w:rPr>
        <w:t>správa</w:t>
      </w:r>
      <w:r w:rsidR="007B1B1D" w:rsidRPr="00186024">
        <w:rPr>
          <w:rFonts w:ascii="Times New Roman" w:hAnsi="Times New Roman" w:cs="Times New Roman"/>
          <w:sz w:val="24"/>
          <w:szCs w:val="24"/>
        </w:rPr>
        <w:t xml:space="preserve"> za rok 2015)</w:t>
      </w:r>
      <w:r w:rsidRPr="001B1483">
        <w:rPr>
          <w:rFonts w:ascii="Times New Roman" w:hAnsi="Times New Roman" w:cs="Times New Roman"/>
          <w:sz w:val="24"/>
          <w:szCs w:val="24"/>
        </w:rPr>
        <w:t>.</w:t>
      </w:r>
      <w:r w:rsidRPr="001B1483">
        <w:rPr>
          <w:rFonts w:ascii="Times New Roman" w:hAnsi="Times New Roman" w:cs="Times New Roman"/>
          <w:bCs/>
          <w:sz w:val="24"/>
          <w:szCs w:val="24"/>
        </w:rPr>
        <w:t xml:space="preserve"> </w:t>
      </w:r>
    </w:p>
    <w:p w14:paraId="29F20157" w14:textId="5654B527" w:rsidR="00CB6891" w:rsidRDefault="00CB6891" w:rsidP="00CB6891">
      <w:pPr>
        <w:keepNext/>
        <w:rPr>
          <w:rFonts w:ascii="Times New Roman" w:hAnsi="Times New Roman" w:cs="Times New Roman"/>
        </w:rPr>
      </w:pPr>
      <w:r w:rsidRPr="000578FE">
        <w:rPr>
          <w:rFonts w:ascii="Times New Roman" w:hAnsi="Times New Roman" w:cs="Times New Roman"/>
        </w:rPr>
        <w:lastRenderedPageBreak/>
        <w:t xml:space="preserve">Graf č. </w:t>
      </w:r>
      <w:r w:rsidR="00AE42A2">
        <w:rPr>
          <w:rFonts w:ascii="Times New Roman" w:hAnsi="Times New Roman" w:cs="Times New Roman"/>
        </w:rPr>
        <w:t>4</w:t>
      </w:r>
      <w:r w:rsidRPr="000578FE">
        <w:rPr>
          <w:rFonts w:ascii="Times New Roman" w:hAnsi="Times New Roman" w:cs="Times New Roman"/>
        </w:rPr>
        <w:t>: Predikcia vývoja kumulovaných úspor energie (GWh)</w:t>
      </w:r>
      <w:r>
        <w:rPr>
          <w:rFonts w:ascii="Times New Roman" w:hAnsi="Times New Roman" w:cs="Times New Roman"/>
        </w:rPr>
        <w:t xml:space="preserve"> </w:t>
      </w:r>
    </w:p>
    <w:p w14:paraId="017C7B84" w14:textId="3C9F0EFA" w:rsidR="00B26989" w:rsidRDefault="0064155A" w:rsidP="00AF5415">
      <w:pPr>
        <w:keepNext/>
        <w:rPr>
          <w:rFonts w:ascii="Times New Roman" w:eastAsiaTheme="majorEastAsia" w:hAnsi="Times New Roman" w:cs="Times New Roman"/>
          <w:bCs/>
          <w:sz w:val="24"/>
          <w:szCs w:val="24"/>
        </w:rPr>
      </w:pPr>
      <w:r>
        <w:rPr>
          <w:noProof/>
          <w:lang w:eastAsia="sk-SK"/>
        </w:rPr>
        <w:drawing>
          <wp:inline distT="0" distB="0" distL="0" distR="0" wp14:anchorId="2779EEDE" wp14:editId="27E9FCE9">
            <wp:extent cx="5760720" cy="3219450"/>
            <wp:effectExtent l="0" t="0" r="11430" b="0"/>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4CC390F" w14:textId="77777777" w:rsidR="002365E9" w:rsidRDefault="002365E9" w:rsidP="00AF5415">
      <w:pPr>
        <w:keepNext/>
        <w:rPr>
          <w:rFonts w:ascii="Times New Roman" w:hAnsi="Times New Roman" w:cs="Times New Roman"/>
        </w:rPr>
      </w:pPr>
    </w:p>
    <w:p w14:paraId="3D0E72E0" w14:textId="1E42A6C5" w:rsidR="002365E9" w:rsidRDefault="002365E9" w:rsidP="00AF5415">
      <w:pPr>
        <w:keepNext/>
        <w:rPr>
          <w:rFonts w:ascii="Times New Roman" w:eastAsiaTheme="majorEastAsia" w:hAnsi="Times New Roman" w:cs="Times New Roman"/>
          <w:bCs/>
          <w:sz w:val="24"/>
          <w:szCs w:val="24"/>
        </w:rPr>
      </w:pPr>
      <w:r>
        <w:rPr>
          <w:rFonts w:ascii="Times New Roman" w:hAnsi="Times New Roman" w:cs="Times New Roman"/>
        </w:rPr>
        <w:t xml:space="preserve">Tabuľka č. 4: Vývoj stanovenia ročného cieľa úspor energie (čl. 7) a vyhodnotenie jeho plnenia </w:t>
      </w:r>
    </w:p>
    <w:tbl>
      <w:tblPr>
        <w:tblpPr w:leftFromText="141" w:rightFromText="141" w:vertAnchor="text" w:horzAnchor="margin" w:tblpY="126"/>
        <w:tblW w:w="5000" w:type="pct"/>
        <w:tblLayout w:type="fixed"/>
        <w:tblCellMar>
          <w:left w:w="70" w:type="dxa"/>
          <w:right w:w="70" w:type="dxa"/>
        </w:tblCellMar>
        <w:tblLook w:val="04A0" w:firstRow="1" w:lastRow="0" w:firstColumn="1" w:lastColumn="0" w:noHBand="0" w:noVBand="1"/>
      </w:tblPr>
      <w:tblGrid>
        <w:gridCol w:w="2689"/>
        <w:gridCol w:w="784"/>
        <w:gridCol w:w="931"/>
        <w:gridCol w:w="932"/>
        <w:gridCol w:w="930"/>
        <w:gridCol w:w="932"/>
        <w:gridCol w:w="932"/>
        <w:gridCol w:w="932"/>
      </w:tblGrid>
      <w:tr w:rsidR="00CB6891" w:rsidRPr="00121D42" w14:paraId="72DFC87B" w14:textId="77777777" w:rsidTr="00CB6891">
        <w:trPr>
          <w:trHeight w:val="130"/>
        </w:trPr>
        <w:tc>
          <w:tcPr>
            <w:tcW w:w="1484"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5649D00B" w14:textId="77777777" w:rsidR="00CB6891" w:rsidRPr="00121D42" w:rsidRDefault="00CB6891" w:rsidP="00CB6891">
            <w:pPr>
              <w:spacing w:after="0" w:line="240" w:lineRule="auto"/>
              <w:rPr>
                <w:rFonts w:ascii="Times New Roman" w:eastAsia="Times New Roman" w:hAnsi="Times New Roman" w:cs="Times New Roman"/>
                <w:b/>
                <w:lang w:eastAsia="sk-SK"/>
              </w:rPr>
            </w:pPr>
            <w:r w:rsidRPr="00121D42">
              <w:rPr>
                <w:rFonts w:ascii="Times New Roman" w:eastAsia="Times New Roman" w:hAnsi="Times New Roman" w:cs="Times New Roman"/>
                <w:b/>
                <w:lang w:eastAsia="sk-SK"/>
              </w:rPr>
              <w:t>Cieľ úspor energie</w:t>
            </w:r>
          </w:p>
          <w:p w14:paraId="68BF28A3" w14:textId="77777777" w:rsidR="00CB6891" w:rsidRPr="00121D42" w:rsidRDefault="00CB6891" w:rsidP="00CB6891">
            <w:pPr>
              <w:spacing w:after="0" w:line="240" w:lineRule="auto"/>
              <w:rPr>
                <w:rFonts w:ascii="Times New Roman" w:eastAsia="Times New Roman" w:hAnsi="Times New Roman" w:cs="Times New Roman"/>
                <w:b/>
                <w:lang w:eastAsia="sk-SK"/>
              </w:rPr>
            </w:pPr>
            <w:r w:rsidRPr="00121D42">
              <w:rPr>
                <w:rFonts w:ascii="Times New Roman" w:eastAsia="Times New Roman" w:hAnsi="Times New Roman" w:cs="Times New Roman"/>
                <w:b/>
                <w:lang w:eastAsia="sk-SK"/>
              </w:rPr>
              <w:t xml:space="preserve"> (GWh)</w:t>
            </w:r>
          </w:p>
        </w:tc>
        <w:tc>
          <w:tcPr>
            <w:tcW w:w="433"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886E29D" w14:textId="77777777" w:rsidR="00CB6891" w:rsidRPr="00121D42" w:rsidRDefault="00CB6891" w:rsidP="00CB6891">
            <w:pPr>
              <w:spacing w:after="0" w:line="240" w:lineRule="auto"/>
              <w:jc w:val="center"/>
              <w:rPr>
                <w:rFonts w:ascii="Times New Roman" w:eastAsia="Times New Roman" w:hAnsi="Times New Roman" w:cs="Times New Roman"/>
                <w:b/>
                <w:color w:val="000000"/>
                <w:lang w:eastAsia="sk-SK"/>
              </w:rPr>
            </w:pPr>
            <w:r w:rsidRPr="00121D42">
              <w:rPr>
                <w:rFonts w:ascii="Times New Roman" w:eastAsia="Times New Roman" w:hAnsi="Times New Roman" w:cs="Times New Roman"/>
                <w:b/>
                <w:color w:val="000000"/>
                <w:lang w:eastAsia="sk-SK"/>
              </w:rPr>
              <w:t>2014</w:t>
            </w:r>
          </w:p>
        </w:tc>
        <w:tc>
          <w:tcPr>
            <w:tcW w:w="514"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39B05C01" w14:textId="77777777" w:rsidR="00CB6891" w:rsidRPr="00121D42" w:rsidRDefault="00CB6891" w:rsidP="00CB6891">
            <w:pPr>
              <w:spacing w:after="0" w:line="240" w:lineRule="auto"/>
              <w:jc w:val="center"/>
              <w:rPr>
                <w:rFonts w:ascii="Times New Roman" w:eastAsia="Times New Roman" w:hAnsi="Times New Roman" w:cs="Times New Roman"/>
                <w:b/>
                <w:color w:val="000000"/>
                <w:lang w:eastAsia="sk-SK"/>
              </w:rPr>
            </w:pPr>
            <w:r w:rsidRPr="00121D42">
              <w:rPr>
                <w:rFonts w:ascii="Times New Roman" w:eastAsia="Times New Roman" w:hAnsi="Times New Roman" w:cs="Times New Roman"/>
                <w:b/>
                <w:color w:val="000000"/>
                <w:lang w:eastAsia="sk-SK"/>
              </w:rPr>
              <w:t>2015</w:t>
            </w:r>
          </w:p>
        </w:tc>
        <w:tc>
          <w:tcPr>
            <w:tcW w:w="514"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3DC66A54" w14:textId="77777777" w:rsidR="00CB6891" w:rsidRPr="00121D42" w:rsidRDefault="00CB6891" w:rsidP="00CB6891">
            <w:pPr>
              <w:spacing w:after="0" w:line="240" w:lineRule="auto"/>
              <w:jc w:val="center"/>
              <w:rPr>
                <w:rFonts w:ascii="Times New Roman" w:eastAsia="Times New Roman" w:hAnsi="Times New Roman" w:cs="Times New Roman"/>
                <w:b/>
                <w:color w:val="000000"/>
                <w:lang w:eastAsia="sk-SK"/>
              </w:rPr>
            </w:pPr>
            <w:r w:rsidRPr="00121D42">
              <w:rPr>
                <w:rFonts w:ascii="Times New Roman" w:eastAsia="Times New Roman" w:hAnsi="Times New Roman" w:cs="Times New Roman"/>
                <w:b/>
                <w:color w:val="000000"/>
                <w:lang w:eastAsia="sk-SK"/>
              </w:rPr>
              <w:t>2016</w:t>
            </w:r>
          </w:p>
        </w:tc>
        <w:tc>
          <w:tcPr>
            <w:tcW w:w="513"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FE9FBCB" w14:textId="77777777" w:rsidR="00CB6891" w:rsidRPr="00121D42" w:rsidRDefault="00CB6891" w:rsidP="00CB6891">
            <w:pPr>
              <w:spacing w:after="0" w:line="240" w:lineRule="auto"/>
              <w:jc w:val="center"/>
              <w:rPr>
                <w:rFonts w:ascii="Times New Roman" w:eastAsia="Times New Roman" w:hAnsi="Times New Roman" w:cs="Times New Roman"/>
                <w:b/>
                <w:color w:val="000000"/>
                <w:lang w:eastAsia="sk-SK"/>
              </w:rPr>
            </w:pPr>
            <w:r w:rsidRPr="00121D42">
              <w:rPr>
                <w:rFonts w:ascii="Times New Roman" w:eastAsia="Times New Roman" w:hAnsi="Times New Roman" w:cs="Times New Roman"/>
                <w:b/>
                <w:color w:val="000000"/>
                <w:lang w:eastAsia="sk-SK"/>
              </w:rPr>
              <w:t>2017</w:t>
            </w:r>
          </w:p>
        </w:tc>
        <w:tc>
          <w:tcPr>
            <w:tcW w:w="514"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4E6D8E6F" w14:textId="77777777" w:rsidR="00CB6891" w:rsidRPr="00121D42" w:rsidRDefault="00CB6891" w:rsidP="00CB6891">
            <w:pPr>
              <w:spacing w:after="0" w:line="240" w:lineRule="auto"/>
              <w:jc w:val="center"/>
              <w:rPr>
                <w:rFonts w:ascii="Times New Roman" w:eastAsia="Times New Roman" w:hAnsi="Times New Roman" w:cs="Times New Roman"/>
                <w:b/>
                <w:color w:val="000000"/>
                <w:lang w:eastAsia="sk-SK"/>
              </w:rPr>
            </w:pPr>
            <w:r w:rsidRPr="00121D42">
              <w:rPr>
                <w:rFonts w:ascii="Times New Roman" w:eastAsia="Times New Roman" w:hAnsi="Times New Roman" w:cs="Times New Roman"/>
                <w:b/>
                <w:color w:val="000000"/>
                <w:lang w:eastAsia="sk-SK"/>
              </w:rPr>
              <w:t>2018</w:t>
            </w:r>
          </w:p>
        </w:tc>
        <w:tc>
          <w:tcPr>
            <w:tcW w:w="514"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5BFE238C" w14:textId="77777777" w:rsidR="00CB6891" w:rsidRPr="00121D42" w:rsidRDefault="00CB6891" w:rsidP="00CB6891">
            <w:pPr>
              <w:spacing w:after="0" w:line="240" w:lineRule="auto"/>
              <w:jc w:val="center"/>
              <w:rPr>
                <w:rFonts w:ascii="Times New Roman" w:eastAsia="Times New Roman" w:hAnsi="Times New Roman" w:cs="Times New Roman"/>
                <w:b/>
                <w:color w:val="000000"/>
                <w:lang w:eastAsia="sk-SK"/>
              </w:rPr>
            </w:pPr>
            <w:r w:rsidRPr="00121D42">
              <w:rPr>
                <w:rFonts w:ascii="Times New Roman" w:eastAsia="Times New Roman" w:hAnsi="Times New Roman" w:cs="Times New Roman"/>
                <w:b/>
                <w:color w:val="000000"/>
                <w:lang w:eastAsia="sk-SK"/>
              </w:rPr>
              <w:t>2019</w:t>
            </w:r>
          </w:p>
        </w:tc>
        <w:tc>
          <w:tcPr>
            <w:tcW w:w="514"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3FA688ED" w14:textId="77777777" w:rsidR="00CB6891" w:rsidRPr="00121D42" w:rsidRDefault="00CB6891" w:rsidP="00CB6891">
            <w:pPr>
              <w:spacing w:after="0" w:line="240" w:lineRule="auto"/>
              <w:jc w:val="center"/>
              <w:rPr>
                <w:rFonts w:ascii="Times New Roman" w:eastAsia="Times New Roman" w:hAnsi="Times New Roman" w:cs="Times New Roman"/>
                <w:b/>
                <w:color w:val="000000"/>
                <w:lang w:eastAsia="sk-SK"/>
              </w:rPr>
            </w:pPr>
            <w:r w:rsidRPr="00121D42">
              <w:rPr>
                <w:rFonts w:ascii="Times New Roman" w:eastAsia="Times New Roman" w:hAnsi="Times New Roman" w:cs="Times New Roman"/>
                <w:b/>
                <w:color w:val="000000"/>
                <w:lang w:eastAsia="sk-SK"/>
              </w:rPr>
              <w:t>2020</w:t>
            </w:r>
          </w:p>
        </w:tc>
      </w:tr>
      <w:tr w:rsidR="00CB6891" w:rsidRPr="00121D42" w14:paraId="4B69A307" w14:textId="77777777" w:rsidTr="00CB6891">
        <w:trPr>
          <w:trHeight w:val="130"/>
        </w:trPr>
        <w:tc>
          <w:tcPr>
            <w:tcW w:w="14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1B1577" w14:textId="77777777" w:rsidR="00CB6891" w:rsidRPr="00121D42" w:rsidRDefault="00CB6891" w:rsidP="00CB6891">
            <w:pPr>
              <w:spacing w:after="0" w:line="240" w:lineRule="auto"/>
              <w:rPr>
                <w:rFonts w:ascii="Times New Roman" w:eastAsia="Times New Roman" w:hAnsi="Times New Roman" w:cs="Times New Roman"/>
                <w:b/>
                <w:lang w:eastAsia="sk-SK"/>
              </w:rPr>
            </w:pPr>
            <w:r w:rsidRPr="00121D42">
              <w:rPr>
                <w:rFonts w:ascii="Times New Roman" w:hAnsi="Times New Roman" w:cs="Times New Roman"/>
              </w:rPr>
              <w:t>Pôvodný cieľ pre čl. 7</w:t>
            </w:r>
          </w:p>
        </w:tc>
        <w:tc>
          <w:tcPr>
            <w:tcW w:w="4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133698" w14:textId="77777777" w:rsidR="00CB6891" w:rsidRPr="00121D42" w:rsidRDefault="00CB6891" w:rsidP="00CB6891">
            <w:pPr>
              <w:spacing w:after="0" w:line="240" w:lineRule="auto"/>
              <w:jc w:val="right"/>
              <w:rPr>
                <w:rFonts w:ascii="Times New Roman" w:eastAsia="Times New Roman" w:hAnsi="Times New Roman" w:cs="Times New Roman"/>
                <w:b/>
                <w:color w:val="000000"/>
                <w:lang w:eastAsia="sk-SK"/>
              </w:rPr>
            </w:pPr>
            <w:r w:rsidRPr="00121D42">
              <w:rPr>
                <w:rFonts w:ascii="Times New Roman" w:eastAsia="Times New Roman" w:hAnsi="Times New Roman" w:cs="Times New Roman"/>
                <w:color w:val="000000"/>
                <w:lang w:eastAsia="sk-SK"/>
              </w:rPr>
              <w:t>948,75</w:t>
            </w:r>
          </w:p>
        </w:tc>
        <w:tc>
          <w:tcPr>
            <w:tcW w:w="5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22402F" w14:textId="77777777" w:rsidR="00CB6891" w:rsidRPr="00121D42" w:rsidRDefault="00CB6891" w:rsidP="00CB6891">
            <w:pPr>
              <w:spacing w:after="0" w:line="240" w:lineRule="auto"/>
              <w:jc w:val="right"/>
              <w:rPr>
                <w:rFonts w:ascii="Times New Roman" w:eastAsia="Times New Roman" w:hAnsi="Times New Roman" w:cs="Times New Roman"/>
                <w:b/>
                <w:color w:val="000000"/>
                <w:lang w:eastAsia="sk-SK"/>
              </w:rPr>
            </w:pPr>
            <w:r w:rsidRPr="00121D42">
              <w:rPr>
                <w:rFonts w:ascii="Times New Roman" w:eastAsia="Times New Roman" w:hAnsi="Times New Roman" w:cs="Times New Roman"/>
                <w:color w:val="000000"/>
                <w:lang w:eastAsia="sk-SK"/>
              </w:rPr>
              <w:t>948,75</w:t>
            </w:r>
          </w:p>
        </w:tc>
        <w:tc>
          <w:tcPr>
            <w:tcW w:w="5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05122F" w14:textId="77777777" w:rsidR="00CB6891" w:rsidRPr="00121D42" w:rsidRDefault="00CB6891" w:rsidP="00CB6891">
            <w:pPr>
              <w:spacing w:after="0" w:line="240" w:lineRule="auto"/>
              <w:jc w:val="right"/>
              <w:rPr>
                <w:rFonts w:ascii="Times New Roman" w:eastAsia="Times New Roman" w:hAnsi="Times New Roman" w:cs="Times New Roman"/>
                <w:b/>
                <w:color w:val="000000"/>
                <w:lang w:eastAsia="sk-SK"/>
              </w:rPr>
            </w:pPr>
            <w:r w:rsidRPr="00121D42">
              <w:rPr>
                <w:rFonts w:ascii="Times New Roman" w:eastAsia="Times New Roman" w:hAnsi="Times New Roman" w:cs="Times New Roman"/>
                <w:color w:val="000000"/>
                <w:lang w:eastAsia="sk-SK"/>
              </w:rPr>
              <w:t>948,75</w:t>
            </w:r>
          </w:p>
        </w:tc>
        <w:tc>
          <w:tcPr>
            <w:tcW w:w="5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975703" w14:textId="77777777" w:rsidR="00CB6891" w:rsidRPr="00121D42" w:rsidRDefault="00CB6891" w:rsidP="00CB6891">
            <w:pPr>
              <w:spacing w:after="0" w:line="240" w:lineRule="auto"/>
              <w:jc w:val="right"/>
              <w:rPr>
                <w:rFonts w:ascii="Times New Roman" w:eastAsia="Times New Roman" w:hAnsi="Times New Roman" w:cs="Times New Roman"/>
                <w:b/>
                <w:color w:val="000000"/>
                <w:lang w:eastAsia="sk-SK"/>
              </w:rPr>
            </w:pPr>
            <w:r w:rsidRPr="00121D42">
              <w:rPr>
                <w:rFonts w:ascii="Times New Roman" w:eastAsia="Times New Roman" w:hAnsi="Times New Roman" w:cs="Times New Roman"/>
                <w:color w:val="000000"/>
                <w:lang w:eastAsia="sk-SK"/>
              </w:rPr>
              <w:t>948,75</w:t>
            </w:r>
          </w:p>
        </w:tc>
        <w:tc>
          <w:tcPr>
            <w:tcW w:w="5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F1E1F0" w14:textId="77777777" w:rsidR="00CB6891" w:rsidRPr="00121D42" w:rsidRDefault="00CB6891" w:rsidP="00CB6891">
            <w:pPr>
              <w:spacing w:after="0" w:line="240" w:lineRule="auto"/>
              <w:jc w:val="right"/>
              <w:rPr>
                <w:rFonts w:ascii="Times New Roman" w:eastAsia="Times New Roman" w:hAnsi="Times New Roman" w:cs="Times New Roman"/>
                <w:b/>
                <w:color w:val="000000"/>
                <w:lang w:eastAsia="sk-SK"/>
              </w:rPr>
            </w:pPr>
            <w:r w:rsidRPr="00121D42">
              <w:rPr>
                <w:rFonts w:ascii="Times New Roman" w:eastAsia="Times New Roman" w:hAnsi="Times New Roman" w:cs="Times New Roman"/>
                <w:color w:val="000000"/>
                <w:lang w:eastAsia="sk-SK"/>
              </w:rPr>
              <w:t>948,75</w:t>
            </w:r>
          </w:p>
        </w:tc>
        <w:tc>
          <w:tcPr>
            <w:tcW w:w="5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75717B" w14:textId="77777777" w:rsidR="00CB6891" w:rsidRPr="00121D42" w:rsidRDefault="00CB6891" w:rsidP="00CB6891">
            <w:pPr>
              <w:spacing w:after="0" w:line="240" w:lineRule="auto"/>
              <w:jc w:val="right"/>
              <w:rPr>
                <w:rFonts w:ascii="Times New Roman" w:eastAsia="Times New Roman" w:hAnsi="Times New Roman" w:cs="Times New Roman"/>
                <w:b/>
                <w:color w:val="000000"/>
                <w:lang w:eastAsia="sk-SK"/>
              </w:rPr>
            </w:pPr>
            <w:r w:rsidRPr="00121D42">
              <w:rPr>
                <w:rFonts w:ascii="Times New Roman" w:eastAsia="Times New Roman" w:hAnsi="Times New Roman" w:cs="Times New Roman"/>
                <w:color w:val="000000"/>
                <w:lang w:eastAsia="sk-SK"/>
              </w:rPr>
              <w:t>948,75</w:t>
            </w:r>
          </w:p>
        </w:tc>
        <w:tc>
          <w:tcPr>
            <w:tcW w:w="5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8F457E" w14:textId="77777777" w:rsidR="00CB6891" w:rsidRPr="00121D42" w:rsidRDefault="00CB6891" w:rsidP="00CB6891">
            <w:pPr>
              <w:spacing w:after="0" w:line="240" w:lineRule="auto"/>
              <w:jc w:val="right"/>
              <w:rPr>
                <w:rFonts w:ascii="Times New Roman" w:eastAsia="Times New Roman" w:hAnsi="Times New Roman" w:cs="Times New Roman"/>
                <w:b/>
                <w:color w:val="000000"/>
                <w:lang w:eastAsia="sk-SK"/>
              </w:rPr>
            </w:pPr>
            <w:r w:rsidRPr="00121D42">
              <w:rPr>
                <w:rFonts w:ascii="Times New Roman" w:eastAsia="Times New Roman" w:hAnsi="Times New Roman" w:cs="Times New Roman"/>
                <w:color w:val="000000"/>
                <w:lang w:eastAsia="sk-SK"/>
              </w:rPr>
              <w:t>948,75</w:t>
            </w:r>
          </w:p>
        </w:tc>
      </w:tr>
      <w:tr w:rsidR="00192844" w:rsidRPr="00121D42" w14:paraId="4D8B79AF" w14:textId="77777777" w:rsidTr="00CB6891">
        <w:trPr>
          <w:trHeight w:val="130"/>
        </w:trPr>
        <w:tc>
          <w:tcPr>
            <w:tcW w:w="14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A01C7C" w14:textId="77777777" w:rsidR="00192844" w:rsidRPr="00121D42" w:rsidRDefault="00192844" w:rsidP="00192844">
            <w:pPr>
              <w:spacing w:after="0" w:line="240" w:lineRule="auto"/>
              <w:rPr>
                <w:rFonts w:ascii="Times New Roman" w:hAnsi="Times New Roman" w:cs="Times New Roman"/>
              </w:rPr>
            </w:pPr>
            <w:r w:rsidRPr="00121D42">
              <w:rPr>
                <w:rFonts w:ascii="Times New Roman" w:hAnsi="Times New Roman" w:cs="Times New Roman"/>
              </w:rPr>
              <w:t>Aktualizovaný cieľ v r. 2016</w:t>
            </w:r>
          </w:p>
        </w:tc>
        <w:tc>
          <w:tcPr>
            <w:tcW w:w="4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718BD3" w14:textId="77777777" w:rsidR="00192844" w:rsidRPr="00121D42" w:rsidRDefault="00192844" w:rsidP="00192844">
            <w:pPr>
              <w:spacing w:after="0" w:line="240" w:lineRule="auto"/>
              <w:jc w:val="right"/>
              <w:rPr>
                <w:rFonts w:ascii="Times New Roman" w:eastAsia="Times New Roman" w:hAnsi="Times New Roman" w:cs="Times New Roman"/>
                <w:color w:val="000000"/>
                <w:lang w:eastAsia="sk-SK"/>
              </w:rPr>
            </w:pPr>
          </w:p>
        </w:tc>
        <w:tc>
          <w:tcPr>
            <w:tcW w:w="5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0E0221" w14:textId="77777777" w:rsidR="00192844" w:rsidRPr="00121D42" w:rsidRDefault="00192844" w:rsidP="00192844">
            <w:pPr>
              <w:spacing w:after="0" w:line="240" w:lineRule="auto"/>
              <w:jc w:val="right"/>
              <w:rPr>
                <w:rFonts w:ascii="Times New Roman" w:eastAsia="Times New Roman" w:hAnsi="Times New Roman" w:cs="Times New Roman"/>
                <w:color w:val="000000"/>
                <w:lang w:eastAsia="sk-SK"/>
              </w:rPr>
            </w:pPr>
          </w:p>
        </w:tc>
        <w:tc>
          <w:tcPr>
            <w:tcW w:w="5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749C14" w14:textId="4BF979E0" w:rsidR="00192844" w:rsidRPr="00121D42" w:rsidRDefault="00192844" w:rsidP="00192844">
            <w:pPr>
              <w:spacing w:after="0" w:line="240" w:lineRule="auto"/>
              <w:jc w:val="right"/>
              <w:rPr>
                <w:rFonts w:ascii="Times New Roman" w:eastAsia="Times New Roman" w:hAnsi="Times New Roman" w:cs="Times New Roman"/>
                <w:color w:val="000000"/>
                <w:lang w:eastAsia="sk-SK"/>
              </w:rPr>
            </w:pPr>
            <w:r w:rsidRPr="00121D42">
              <w:rPr>
                <w:rFonts w:ascii="Times New Roman" w:eastAsia="Times New Roman" w:hAnsi="Times New Roman" w:cs="Times New Roman"/>
                <w:bCs/>
                <w:color w:val="000000"/>
                <w:lang w:eastAsia="sk-SK"/>
              </w:rPr>
              <w:t>959,84</w:t>
            </w:r>
          </w:p>
        </w:tc>
        <w:tc>
          <w:tcPr>
            <w:tcW w:w="5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94A147" w14:textId="77777777" w:rsidR="00192844" w:rsidRPr="00121D42" w:rsidRDefault="00192844" w:rsidP="00192844">
            <w:pPr>
              <w:spacing w:after="0" w:line="240" w:lineRule="auto"/>
              <w:jc w:val="right"/>
              <w:rPr>
                <w:rFonts w:ascii="Times New Roman" w:eastAsia="Times New Roman" w:hAnsi="Times New Roman" w:cs="Times New Roman"/>
                <w:color w:val="000000"/>
                <w:lang w:eastAsia="sk-SK"/>
              </w:rPr>
            </w:pPr>
            <w:r w:rsidRPr="00121D42">
              <w:rPr>
                <w:rFonts w:ascii="Times New Roman" w:eastAsia="Times New Roman" w:hAnsi="Times New Roman" w:cs="Times New Roman"/>
                <w:bCs/>
                <w:color w:val="000000"/>
                <w:lang w:eastAsia="sk-SK"/>
              </w:rPr>
              <w:t>959,84</w:t>
            </w:r>
          </w:p>
        </w:tc>
        <w:tc>
          <w:tcPr>
            <w:tcW w:w="5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FBFDEF" w14:textId="77777777" w:rsidR="00192844" w:rsidRPr="00121D42" w:rsidRDefault="00192844" w:rsidP="00192844">
            <w:pPr>
              <w:spacing w:after="0" w:line="240" w:lineRule="auto"/>
              <w:jc w:val="right"/>
              <w:rPr>
                <w:rFonts w:ascii="Times New Roman" w:eastAsia="Times New Roman" w:hAnsi="Times New Roman" w:cs="Times New Roman"/>
                <w:color w:val="000000"/>
                <w:lang w:eastAsia="sk-SK"/>
              </w:rPr>
            </w:pPr>
            <w:r w:rsidRPr="00121D42">
              <w:rPr>
                <w:rFonts w:ascii="Times New Roman" w:eastAsia="Times New Roman" w:hAnsi="Times New Roman" w:cs="Times New Roman"/>
                <w:bCs/>
                <w:color w:val="000000"/>
                <w:lang w:eastAsia="sk-SK"/>
              </w:rPr>
              <w:t>959,84</w:t>
            </w:r>
          </w:p>
        </w:tc>
        <w:tc>
          <w:tcPr>
            <w:tcW w:w="5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4964D5" w14:textId="77777777" w:rsidR="00192844" w:rsidRPr="00121D42" w:rsidRDefault="00192844" w:rsidP="00192844">
            <w:pPr>
              <w:spacing w:after="0" w:line="240" w:lineRule="auto"/>
              <w:jc w:val="right"/>
              <w:rPr>
                <w:rFonts w:ascii="Times New Roman" w:eastAsia="Times New Roman" w:hAnsi="Times New Roman" w:cs="Times New Roman"/>
                <w:color w:val="000000"/>
                <w:lang w:eastAsia="sk-SK"/>
              </w:rPr>
            </w:pPr>
            <w:r w:rsidRPr="00121D42">
              <w:rPr>
                <w:rFonts w:ascii="Times New Roman" w:eastAsia="Times New Roman" w:hAnsi="Times New Roman" w:cs="Times New Roman"/>
                <w:bCs/>
                <w:color w:val="000000"/>
                <w:lang w:eastAsia="sk-SK"/>
              </w:rPr>
              <w:t>959,84</w:t>
            </w:r>
          </w:p>
        </w:tc>
        <w:tc>
          <w:tcPr>
            <w:tcW w:w="5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AE2342" w14:textId="77777777" w:rsidR="00192844" w:rsidRPr="00121D42" w:rsidRDefault="00192844" w:rsidP="00192844">
            <w:pPr>
              <w:spacing w:after="0" w:line="240" w:lineRule="auto"/>
              <w:jc w:val="right"/>
              <w:rPr>
                <w:rFonts w:ascii="Times New Roman" w:eastAsia="Times New Roman" w:hAnsi="Times New Roman" w:cs="Times New Roman"/>
                <w:color w:val="000000"/>
                <w:lang w:eastAsia="sk-SK"/>
              </w:rPr>
            </w:pPr>
            <w:r w:rsidRPr="00121D42">
              <w:rPr>
                <w:rFonts w:ascii="Times New Roman" w:eastAsia="Times New Roman" w:hAnsi="Times New Roman" w:cs="Times New Roman"/>
                <w:bCs/>
                <w:color w:val="000000"/>
                <w:lang w:eastAsia="sk-SK"/>
              </w:rPr>
              <w:t>959,79</w:t>
            </w:r>
          </w:p>
        </w:tc>
      </w:tr>
      <w:tr w:rsidR="00A01FD8" w:rsidRPr="00121D42" w14:paraId="1445E1F1" w14:textId="77777777" w:rsidTr="005F7B58">
        <w:trPr>
          <w:trHeight w:val="130"/>
        </w:trPr>
        <w:tc>
          <w:tcPr>
            <w:tcW w:w="14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C81F30" w14:textId="0AB681D9" w:rsidR="00A01FD8" w:rsidRPr="00121D42" w:rsidRDefault="00A01FD8" w:rsidP="00742DEE">
            <w:pPr>
              <w:spacing w:after="0" w:line="240" w:lineRule="auto"/>
              <w:rPr>
                <w:rFonts w:ascii="Times New Roman" w:eastAsia="Times New Roman" w:hAnsi="Times New Roman" w:cs="Times New Roman"/>
                <w:b/>
                <w:lang w:eastAsia="sk-SK"/>
              </w:rPr>
            </w:pPr>
            <w:r w:rsidRPr="00121D42">
              <w:rPr>
                <w:rFonts w:ascii="Times New Roman" w:hAnsi="Times New Roman" w:cs="Times New Roman"/>
              </w:rPr>
              <w:t>Aktuálne plnenie cieľa</w:t>
            </w:r>
            <w:r w:rsidR="002365E9">
              <w:rPr>
                <w:rStyle w:val="Odkaznapoznmkupodiarou"/>
                <w:rFonts w:ascii="Times New Roman" w:hAnsi="Times New Roman" w:cs="Times New Roman"/>
              </w:rPr>
              <w:footnoteReference w:id="15"/>
            </w:r>
            <w:r w:rsidRPr="00121D42">
              <w:rPr>
                <w:rFonts w:ascii="Times New Roman" w:hAnsi="Times New Roman" w:cs="Times New Roman"/>
              </w:rPr>
              <w:t xml:space="preserve"> </w:t>
            </w:r>
          </w:p>
        </w:tc>
        <w:tc>
          <w:tcPr>
            <w:tcW w:w="4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6174DD" w14:textId="439D6A16" w:rsidR="00A01FD8" w:rsidRPr="00121D42" w:rsidRDefault="00A01FD8" w:rsidP="00A01FD8">
            <w:pPr>
              <w:spacing w:after="0" w:line="240" w:lineRule="auto"/>
              <w:jc w:val="right"/>
              <w:rPr>
                <w:rFonts w:ascii="Times New Roman" w:eastAsia="Times New Roman" w:hAnsi="Times New Roman" w:cs="Times New Roman"/>
                <w:b/>
                <w:color w:val="000000"/>
                <w:lang w:eastAsia="sk-SK"/>
              </w:rPr>
            </w:pPr>
            <w:r w:rsidRPr="00AF5415">
              <w:rPr>
                <w:rFonts w:ascii="Times New Roman" w:hAnsi="Times New Roman" w:cs="Times New Roman"/>
                <w:b/>
              </w:rPr>
              <w:t>837,67</w:t>
            </w:r>
          </w:p>
        </w:tc>
        <w:tc>
          <w:tcPr>
            <w:tcW w:w="5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CD2903" w14:textId="16A00BCB" w:rsidR="00A01FD8" w:rsidRPr="00A01FD8" w:rsidRDefault="00A01FD8" w:rsidP="008A2E69">
            <w:pPr>
              <w:spacing w:after="0" w:line="240" w:lineRule="auto"/>
              <w:jc w:val="right"/>
              <w:rPr>
                <w:rFonts w:ascii="Times New Roman" w:eastAsia="Times New Roman" w:hAnsi="Times New Roman" w:cs="Times New Roman"/>
                <w:b/>
                <w:color w:val="000000"/>
                <w:lang w:eastAsia="sk-SK"/>
              </w:rPr>
            </w:pPr>
            <w:r w:rsidRPr="005F7B58">
              <w:rPr>
                <w:rFonts w:ascii="Times New Roman" w:hAnsi="Times New Roman" w:cs="Times New Roman"/>
                <w:b/>
                <w:color w:val="000000"/>
              </w:rPr>
              <w:t>1 308,78</w:t>
            </w:r>
          </w:p>
        </w:tc>
        <w:tc>
          <w:tcPr>
            <w:tcW w:w="514" w:type="pct"/>
            <w:tcBorders>
              <w:top w:val="single" w:sz="4" w:space="0" w:color="auto"/>
              <w:left w:val="nil"/>
              <w:bottom w:val="single" w:sz="4" w:space="0" w:color="auto"/>
              <w:right w:val="single" w:sz="4" w:space="0" w:color="auto"/>
            </w:tcBorders>
            <w:shd w:val="clear" w:color="auto" w:fill="auto"/>
            <w:noWrap/>
            <w:vAlign w:val="center"/>
          </w:tcPr>
          <w:p w14:paraId="54AB330D" w14:textId="14F139CC" w:rsidR="00A01FD8" w:rsidRPr="00A01FD8" w:rsidRDefault="00A01FD8" w:rsidP="00DB18C0">
            <w:pPr>
              <w:spacing w:after="0" w:line="240" w:lineRule="auto"/>
              <w:jc w:val="right"/>
              <w:rPr>
                <w:rFonts w:ascii="Times New Roman" w:eastAsia="Times New Roman" w:hAnsi="Times New Roman" w:cs="Times New Roman"/>
                <w:b/>
                <w:color w:val="000000"/>
                <w:lang w:eastAsia="sk-SK"/>
              </w:rPr>
            </w:pPr>
            <w:r w:rsidRPr="005F7B58">
              <w:rPr>
                <w:rFonts w:ascii="Times New Roman" w:hAnsi="Times New Roman" w:cs="Times New Roman"/>
                <w:b/>
                <w:bCs/>
                <w:color w:val="000000"/>
              </w:rPr>
              <w:t>653,21</w:t>
            </w:r>
          </w:p>
        </w:tc>
        <w:tc>
          <w:tcPr>
            <w:tcW w:w="513" w:type="pct"/>
            <w:tcBorders>
              <w:top w:val="single" w:sz="4" w:space="0" w:color="auto"/>
              <w:left w:val="nil"/>
              <w:bottom w:val="single" w:sz="4" w:space="0" w:color="auto"/>
              <w:right w:val="single" w:sz="4" w:space="0" w:color="auto"/>
            </w:tcBorders>
            <w:shd w:val="clear" w:color="auto" w:fill="auto"/>
            <w:noWrap/>
            <w:vAlign w:val="center"/>
          </w:tcPr>
          <w:p w14:paraId="46D26731" w14:textId="453335FB" w:rsidR="00A01FD8" w:rsidRPr="00A01FD8" w:rsidRDefault="00A01FD8" w:rsidP="00DB18C0">
            <w:pPr>
              <w:spacing w:after="0" w:line="240" w:lineRule="auto"/>
              <w:jc w:val="right"/>
              <w:rPr>
                <w:rFonts w:ascii="Times New Roman" w:eastAsia="Times New Roman" w:hAnsi="Times New Roman" w:cs="Times New Roman"/>
                <w:b/>
                <w:color w:val="000000"/>
                <w:lang w:eastAsia="sk-SK"/>
              </w:rPr>
            </w:pPr>
            <w:r w:rsidRPr="005F7B58">
              <w:rPr>
                <w:rFonts w:ascii="Times New Roman" w:hAnsi="Times New Roman" w:cs="Times New Roman"/>
                <w:color w:val="000000"/>
              </w:rPr>
              <w:t> </w:t>
            </w:r>
          </w:p>
        </w:tc>
        <w:tc>
          <w:tcPr>
            <w:tcW w:w="514" w:type="pct"/>
            <w:tcBorders>
              <w:top w:val="single" w:sz="4" w:space="0" w:color="auto"/>
              <w:left w:val="nil"/>
              <w:bottom w:val="single" w:sz="4" w:space="0" w:color="auto"/>
              <w:right w:val="single" w:sz="4" w:space="0" w:color="auto"/>
            </w:tcBorders>
            <w:shd w:val="clear" w:color="auto" w:fill="auto"/>
            <w:noWrap/>
            <w:vAlign w:val="center"/>
          </w:tcPr>
          <w:p w14:paraId="10CDAB1B" w14:textId="58AAC788" w:rsidR="00A01FD8" w:rsidRPr="00A01FD8" w:rsidRDefault="00A01FD8" w:rsidP="00DB18C0">
            <w:pPr>
              <w:spacing w:after="0" w:line="240" w:lineRule="auto"/>
              <w:jc w:val="right"/>
              <w:rPr>
                <w:rFonts w:ascii="Times New Roman" w:eastAsia="Times New Roman" w:hAnsi="Times New Roman" w:cs="Times New Roman"/>
                <w:b/>
                <w:color w:val="000000"/>
                <w:lang w:eastAsia="sk-SK"/>
              </w:rPr>
            </w:pPr>
            <w:r w:rsidRPr="005F7B58">
              <w:rPr>
                <w:rFonts w:ascii="Times New Roman" w:hAnsi="Times New Roman" w:cs="Times New Roman"/>
                <w:color w:val="000000"/>
              </w:rPr>
              <w:t> </w:t>
            </w:r>
          </w:p>
        </w:tc>
        <w:tc>
          <w:tcPr>
            <w:tcW w:w="514" w:type="pct"/>
            <w:tcBorders>
              <w:top w:val="single" w:sz="4" w:space="0" w:color="auto"/>
              <w:left w:val="nil"/>
              <w:bottom w:val="single" w:sz="4" w:space="0" w:color="auto"/>
              <w:right w:val="single" w:sz="4" w:space="0" w:color="auto"/>
            </w:tcBorders>
            <w:shd w:val="clear" w:color="auto" w:fill="auto"/>
            <w:noWrap/>
            <w:vAlign w:val="center"/>
          </w:tcPr>
          <w:p w14:paraId="3D29D84A" w14:textId="2AB59515" w:rsidR="00A01FD8" w:rsidRPr="00A01FD8" w:rsidRDefault="00A01FD8" w:rsidP="00901B09">
            <w:pPr>
              <w:spacing w:after="0" w:line="240" w:lineRule="auto"/>
              <w:jc w:val="right"/>
              <w:rPr>
                <w:rFonts w:ascii="Times New Roman" w:eastAsia="Times New Roman" w:hAnsi="Times New Roman" w:cs="Times New Roman"/>
                <w:b/>
                <w:color w:val="000000"/>
                <w:lang w:eastAsia="sk-SK"/>
              </w:rPr>
            </w:pPr>
            <w:r w:rsidRPr="005F7B58">
              <w:rPr>
                <w:rFonts w:ascii="Times New Roman" w:hAnsi="Times New Roman" w:cs="Times New Roman"/>
                <w:color w:val="000000"/>
              </w:rPr>
              <w:t> </w:t>
            </w:r>
          </w:p>
        </w:tc>
        <w:tc>
          <w:tcPr>
            <w:tcW w:w="514" w:type="pct"/>
            <w:tcBorders>
              <w:top w:val="single" w:sz="4" w:space="0" w:color="auto"/>
              <w:left w:val="nil"/>
              <w:bottom w:val="single" w:sz="4" w:space="0" w:color="auto"/>
              <w:right w:val="single" w:sz="4" w:space="0" w:color="auto"/>
            </w:tcBorders>
            <w:shd w:val="clear" w:color="auto" w:fill="auto"/>
            <w:noWrap/>
            <w:vAlign w:val="center"/>
          </w:tcPr>
          <w:p w14:paraId="095B728B" w14:textId="132516F5" w:rsidR="00A01FD8" w:rsidRPr="00A01FD8" w:rsidRDefault="00A01FD8" w:rsidP="000D1519">
            <w:pPr>
              <w:spacing w:after="0" w:line="240" w:lineRule="auto"/>
              <w:jc w:val="right"/>
              <w:rPr>
                <w:rFonts w:ascii="Times New Roman" w:eastAsia="Times New Roman" w:hAnsi="Times New Roman" w:cs="Times New Roman"/>
                <w:b/>
                <w:color w:val="000000"/>
                <w:lang w:eastAsia="sk-SK"/>
              </w:rPr>
            </w:pPr>
            <w:r w:rsidRPr="005F7B58">
              <w:rPr>
                <w:rFonts w:ascii="Times New Roman" w:hAnsi="Times New Roman" w:cs="Times New Roman"/>
                <w:color w:val="000000"/>
              </w:rPr>
              <w:t> </w:t>
            </w:r>
          </w:p>
        </w:tc>
      </w:tr>
      <w:tr w:rsidR="00A01FD8" w:rsidRPr="00121D42" w14:paraId="73A76584" w14:textId="77777777" w:rsidTr="005F7B58">
        <w:trPr>
          <w:trHeight w:val="130"/>
        </w:trPr>
        <w:tc>
          <w:tcPr>
            <w:tcW w:w="14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F98ACE" w14:textId="77777777" w:rsidR="00A01FD8" w:rsidRPr="00121D42" w:rsidRDefault="00A01FD8" w:rsidP="00A01FD8">
            <w:pPr>
              <w:spacing w:after="0" w:line="240" w:lineRule="auto"/>
              <w:rPr>
                <w:rFonts w:ascii="Times New Roman" w:eastAsia="Times New Roman" w:hAnsi="Times New Roman" w:cs="Times New Roman"/>
                <w:color w:val="000000"/>
                <w:lang w:eastAsia="sk-SK"/>
              </w:rPr>
            </w:pPr>
            <w:r w:rsidRPr="00121D42">
              <w:rPr>
                <w:rFonts w:ascii="Times New Roman" w:hAnsi="Times New Roman" w:cs="Times New Roman"/>
              </w:rPr>
              <w:t>Aktualizovaný cieľ v r. 2017</w:t>
            </w:r>
          </w:p>
        </w:tc>
        <w:tc>
          <w:tcPr>
            <w:tcW w:w="4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4ED9C7" w14:textId="77777777" w:rsidR="00A01FD8" w:rsidRPr="00121D42" w:rsidRDefault="00A01FD8" w:rsidP="00A01FD8">
            <w:pPr>
              <w:spacing w:after="0" w:line="240" w:lineRule="auto"/>
              <w:jc w:val="right"/>
              <w:rPr>
                <w:rFonts w:ascii="Times New Roman" w:eastAsia="Times New Roman" w:hAnsi="Times New Roman" w:cs="Times New Roman"/>
                <w:b/>
                <w:color w:val="000000"/>
                <w:lang w:eastAsia="sk-SK"/>
              </w:rPr>
            </w:pPr>
          </w:p>
        </w:tc>
        <w:tc>
          <w:tcPr>
            <w:tcW w:w="514" w:type="pct"/>
            <w:tcBorders>
              <w:top w:val="nil"/>
              <w:left w:val="single" w:sz="4" w:space="0" w:color="auto"/>
              <w:bottom w:val="single" w:sz="4" w:space="0" w:color="auto"/>
              <w:right w:val="single" w:sz="4" w:space="0" w:color="auto"/>
            </w:tcBorders>
            <w:shd w:val="clear" w:color="auto" w:fill="auto"/>
            <w:noWrap/>
            <w:vAlign w:val="center"/>
          </w:tcPr>
          <w:p w14:paraId="3B057212" w14:textId="10EE5DB1" w:rsidR="00A01FD8" w:rsidRPr="00A01FD8" w:rsidRDefault="00A01FD8" w:rsidP="008A2E69">
            <w:pPr>
              <w:spacing w:after="0" w:line="240" w:lineRule="auto"/>
              <w:jc w:val="right"/>
              <w:rPr>
                <w:rFonts w:ascii="Times New Roman" w:eastAsia="Times New Roman" w:hAnsi="Times New Roman" w:cs="Times New Roman"/>
                <w:b/>
                <w:color w:val="000000"/>
                <w:lang w:eastAsia="sk-SK"/>
              </w:rPr>
            </w:pPr>
            <w:r w:rsidRPr="005F7B58">
              <w:rPr>
                <w:rFonts w:ascii="Times New Roman" w:hAnsi="Times New Roman" w:cs="Times New Roman"/>
                <w:color w:val="000000"/>
              </w:rPr>
              <w:t> </w:t>
            </w:r>
          </w:p>
        </w:tc>
        <w:tc>
          <w:tcPr>
            <w:tcW w:w="514" w:type="pct"/>
            <w:tcBorders>
              <w:top w:val="nil"/>
              <w:left w:val="nil"/>
              <w:bottom w:val="single" w:sz="4" w:space="0" w:color="auto"/>
              <w:right w:val="single" w:sz="4" w:space="0" w:color="auto"/>
            </w:tcBorders>
            <w:shd w:val="clear" w:color="auto" w:fill="auto"/>
            <w:noWrap/>
            <w:vAlign w:val="center"/>
          </w:tcPr>
          <w:p w14:paraId="5AF60104" w14:textId="238D1AFB" w:rsidR="00A01FD8" w:rsidRPr="00A01FD8" w:rsidRDefault="00A01FD8" w:rsidP="00DB18C0">
            <w:pPr>
              <w:spacing w:after="0" w:line="240" w:lineRule="auto"/>
              <w:jc w:val="right"/>
              <w:rPr>
                <w:rFonts w:ascii="Times New Roman" w:eastAsia="Times New Roman" w:hAnsi="Times New Roman" w:cs="Times New Roman"/>
                <w:b/>
                <w:bCs/>
                <w:color w:val="000000"/>
                <w:lang w:eastAsia="sk-SK"/>
              </w:rPr>
            </w:pPr>
            <w:r w:rsidRPr="005F7B58">
              <w:rPr>
                <w:rFonts w:ascii="Times New Roman" w:hAnsi="Times New Roman" w:cs="Times New Roman"/>
                <w:color w:val="000000"/>
              </w:rPr>
              <w:t> </w:t>
            </w:r>
          </w:p>
        </w:tc>
        <w:tc>
          <w:tcPr>
            <w:tcW w:w="513" w:type="pct"/>
            <w:tcBorders>
              <w:top w:val="nil"/>
              <w:left w:val="nil"/>
              <w:bottom w:val="single" w:sz="4" w:space="0" w:color="auto"/>
              <w:right w:val="single" w:sz="4" w:space="0" w:color="auto"/>
            </w:tcBorders>
            <w:shd w:val="clear" w:color="auto" w:fill="auto"/>
            <w:noWrap/>
            <w:vAlign w:val="center"/>
          </w:tcPr>
          <w:p w14:paraId="2A91E68C" w14:textId="054312CA" w:rsidR="00A01FD8" w:rsidRPr="00A01FD8" w:rsidRDefault="00A01FD8" w:rsidP="00DB18C0">
            <w:pPr>
              <w:spacing w:after="0" w:line="240" w:lineRule="auto"/>
              <w:jc w:val="right"/>
              <w:rPr>
                <w:rFonts w:ascii="Times New Roman" w:eastAsia="Times New Roman" w:hAnsi="Times New Roman" w:cs="Times New Roman"/>
                <w:b/>
                <w:color w:val="000000"/>
                <w:lang w:eastAsia="sk-SK"/>
              </w:rPr>
            </w:pPr>
            <w:r w:rsidRPr="005F7B58">
              <w:rPr>
                <w:rFonts w:ascii="Times New Roman" w:hAnsi="Times New Roman" w:cs="Times New Roman"/>
                <w:b/>
                <w:bCs/>
                <w:color w:val="000000"/>
              </w:rPr>
              <w:t>1 019,49</w:t>
            </w:r>
          </w:p>
        </w:tc>
        <w:tc>
          <w:tcPr>
            <w:tcW w:w="514" w:type="pct"/>
            <w:tcBorders>
              <w:top w:val="nil"/>
              <w:left w:val="nil"/>
              <w:bottom w:val="single" w:sz="4" w:space="0" w:color="auto"/>
              <w:right w:val="single" w:sz="4" w:space="0" w:color="auto"/>
            </w:tcBorders>
            <w:shd w:val="clear" w:color="auto" w:fill="auto"/>
            <w:noWrap/>
            <w:vAlign w:val="center"/>
          </w:tcPr>
          <w:p w14:paraId="3A465882" w14:textId="79349463" w:rsidR="00A01FD8" w:rsidRPr="00A01FD8" w:rsidRDefault="00A01FD8" w:rsidP="00DB18C0">
            <w:pPr>
              <w:spacing w:after="0" w:line="240" w:lineRule="auto"/>
              <w:jc w:val="right"/>
              <w:rPr>
                <w:rFonts w:ascii="Times New Roman" w:eastAsia="Times New Roman" w:hAnsi="Times New Roman" w:cs="Times New Roman"/>
                <w:b/>
                <w:color w:val="000000"/>
                <w:lang w:eastAsia="sk-SK"/>
              </w:rPr>
            </w:pPr>
            <w:r w:rsidRPr="005F7B58">
              <w:rPr>
                <w:rFonts w:ascii="Times New Roman" w:hAnsi="Times New Roman" w:cs="Times New Roman"/>
                <w:b/>
                <w:bCs/>
                <w:color w:val="000000"/>
              </w:rPr>
              <w:t>1 019,49</w:t>
            </w:r>
          </w:p>
        </w:tc>
        <w:tc>
          <w:tcPr>
            <w:tcW w:w="514" w:type="pct"/>
            <w:tcBorders>
              <w:top w:val="nil"/>
              <w:left w:val="nil"/>
              <w:bottom w:val="single" w:sz="4" w:space="0" w:color="auto"/>
              <w:right w:val="single" w:sz="4" w:space="0" w:color="auto"/>
            </w:tcBorders>
            <w:shd w:val="clear" w:color="auto" w:fill="auto"/>
            <w:noWrap/>
            <w:vAlign w:val="center"/>
          </w:tcPr>
          <w:p w14:paraId="37BE504A" w14:textId="712DA554" w:rsidR="00A01FD8" w:rsidRPr="00A01FD8" w:rsidRDefault="00A01FD8" w:rsidP="00901B09">
            <w:pPr>
              <w:spacing w:after="0" w:line="240" w:lineRule="auto"/>
              <w:jc w:val="right"/>
              <w:rPr>
                <w:rFonts w:ascii="Times New Roman" w:eastAsia="Times New Roman" w:hAnsi="Times New Roman" w:cs="Times New Roman"/>
                <w:b/>
                <w:color w:val="000000"/>
                <w:lang w:eastAsia="sk-SK"/>
              </w:rPr>
            </w:pPr>
            <w:r w:rsidRPr="005F7B58">
              <w:rPr>
                <w:rFonts w:ascii="Times New Roman" w:hAnsi="Times New Roman" w:cs="Times New Roman"/>
                <w:b/>
                <w:bCs/>
                <w:color w:val="000000"/>
              </w:rPr>
              <w:t>1 019,49</w:t>
            </w:r>
          </w:p>
        </w:tc>
        <w:tc>
          <w:tcPr>
            <w:tcW w:w="514" w:type="pct"/>
            <w:tcBorders>
              <w:top w:val="nil"/>
              <w:left w:val="nil"/>
              <w:bottom w:val="single" w:sz="4" w:space="0" w:color="auto"/>
              <w:right w:val="single" w:sz="4" w:space="0" w:color="auto"/>
            </w:tcBorders>
            <w:shd w:val="clear" w:color="auto" w:fill="auto"/>
            <w:noWrap/>
            <w:vAlign w:val="center"/>
          </w:tcPr>
          <w:p w14:paraId="1B1AF14A" w14:textId="6984F96B" w:rsidR="00A01FD8" w:rsidRPr="00A01FD8" w:rsidRDefault="00A01FD8" w:rsidP="000D1519">
            <w:pPr>
              <w:spacing w:after="0" w:line="240" w:lineRule="auto"/>
              <w:jc w:val="right"/>
              <w:rPr>
                <w:rFonts w:ascii="Times New Roman" w:eastAsia="Times New Roman" w:hAnsi="Times New Roman" w:cs="Times New Roman"/>
                <w:b/>
                <w:color w:val="000000"/>
                <w:lang w:eastAsia="sk-SK"/>
              </w:rPr>
            </w:pPr>
            <w:r w:rsidRPr="005F7B58">
              <w:rPr>
                <w:rFonts w:ascii="Times New Roman" w:hAnsi="Times New Roman" w:cs="Times New Roman"/>
                <w:b/>
                <w:bCs/>
                <w:color w:val="000000"/>
              </w:rPr>
              <w:t>1 019,4</w:t>
            </w:r>
            <w:r w:rsidR="00D9171B">
              <w:rPr>
                <w:rFonts w:ascii="Times New Roman" w:hAnsi="Times New Roman" w:cs="Times New Roman"/>
                <w:b/>
                <w:bCs/>
                <w:color w:val="000000"/>
              </w:rPr>
              <w:t>9</w:t>
            </w:r>
          </w:p>
        </w:tc>
      </w:tr>
    </w:tbl>
    <w:p w14:paraId="7D6D89A3" w14:textId="77777777" w:rsidR="00121D42" w:rsidRPr="00AF5415" w:rsidRDefault="00121D42" w:rsidP="00D73888">
      <w:pPr>
        <w:jc w:val="both"/>
        <w:rPr>
          <w:rFonts w:ascii="Times New Roman" w:eastAsiaTheme="majorEastAsia" w:hAnsi="Times New Roman" w:cs="Times New Roman"/>
          <w:bCs/>
          <w:sz w:val="24"/>
          <w:szCs w:val="24"/>
          <w:lang w:val="en-US"/>
        </w:rPr>
      </w:pPr>
    </w:p>
    <w:p w14:paraId="300AD1A3" w14:textId="0C5D1C8C" w:rsidR="000576BD" w:rsidRDefault="00CB6891" w:rsidP="00D73888">
      <w:pPr>
        <w:jc w:val="both"/>
        <w:rPr>
          <w:rFonts w:ascii="Times New Roman" w:hAnsi="Times New Roman" w:cs="Times New Roman"/>
          <w:b/>
          <w:sz w:val="24"/>
          <w:szCs w:val="24"/>
          <w:u w:val="single"/>
        </w:rPr>
      </w:pPr>
      <w:r>
        <w:rPr>
          <w:rFonts w:ascii="Times New Roman" w:eastAsiaTheme="majorEastAsia" w:hAnsi="Times New Roman" w:cs="Times New Roman"/>
          <w:bCs/>
          <w:sz w:val="24"/>
          <w:szCs w:val="24"/>
        </w:rPr>
        <w:t>V</w:t>
      </w:r>
      <w:r w:rsidR="00D73888" w:rsidRPr="001B1483">
        <w:rPr>
          <w:rFonts w:ascii="Times New Roman" w:eastAsiaTheme="majorEastAsia" w:hAnsi="Times New Roman" w:cs="Times New Roman"/>
          <w:bCs/>
          <w:sz w:val="24"/>
          <w:szCs w:val="24"/>
        </w:rPr>
        <w:t> roku 2016</w:t>
      </w:r>
      <w:r w:rsidR="00D73888" w:rsidRPr="000576BD">
        <w:rPr>
          <w:rFonts w:ascii="Times New Roman" w:eastAsiaTheme="majorEastAsia" w:hAnsi="Times New Roman" w:cs="Times New Roman"/>
          <w:bCs/>
          <w:sz w:val="24"/>
          <w:szCs w:val="24"/>
        </w:rPr>
        <w:t xml:space="preserve"> v podmienkach SR </w:t>
      </w:r>
      <w:r w:rsidR="00192844">
        <w:rPr>
          <w:rFonts w:ascii="Times New Roman" w:eastAsiaTheme="majorEastAsia" w:hAnsi="Times New Roman" w:cs="Times New Roman"/>
          <w:bCs/>
          <w:sz w:val="24"/>
          <w:szCs w:val="24"/>
        </w:rPr>
        <w:t xml:space="preserve">boli </w:t>
      </w:r>
      <w:r w:rsidR="00D73888" w:rsidRPr="001B1483">
        <w:rPr>
          <w:rFonts w:ascii="Times New Roman" w:eastAsiaTheme="majorEastAsia" w:hAnsi="Times New Roman" w:cs="Times New Roman"/>
          <w:bCs/>
          <w:sz w:val="24"/>
          <w:szCs w:val="24"/>
        </w:rPr>
        <w:t xml:space="preserve">identifikované úspory energie vo výške </w:t>
      </w:r>
      <w:r w:rsidR="009A2DF2" w:rsidRPr="005F7B58">
        <w:rPr>
          <w:rFonts w:ascii="Times New Roman" w:eastAsiaTheme="majorEastAsia" w:hAnsi="Times New Roman" w:cs="Times New Roman"/>
          <w:b/>
          <w:bCs/>
          <w:sz w:val="24"/>
          <w:szCs w:val="24"/>
        </w:rPr>
        <w:t>653,21</w:t>
      </w:r>
      <w:r w:rsidR="00EB601D" w:rsidRPr="00AF5415">
        <w:rPr>
          <w:rFonts w:ascii="Times New Roman" w:eastAsiaTheme="majorEastAsia" w:hAnsi="Times New Roman" w:cs="Times New Roman"/>
          <w:b/>
          <w:bCs/>
          <w:sz w:val="24"/>
          <w:szCs w:val="24"/>
        </w:rPr>
        <w:t xml:space="preserve"> </w:t>
      </w:r>
      <w:r w:rsidR="00D73888" w:rsidRPr="00AF5415">
        <w:rPr>
          <w:rFonts w:ascii="Times New Roman" w:eastAsiaTheme="majorEastAsia" w:hAnsi="Times New Roman" w:cs="Times New Roman"/>
          <w:b/>
          <w:bCs/>
          <w:sz w:val="24"/>
          <w:szCs w:val="24"/>
        </w:rPr>
        <w:t>GWh/rok</w:t>
      </w:r>
      <w:r w:rsidR="000576BD">
        <w:rPr>
          <w:rFonts w:ascii="Times New Roman" w:eastAsiaTheme="majorEastAsia" w:hAnsi="Times New Roman" w:cs="Times New Roman"/>
          <w:bCs/>
          <w:sz w:val="24"/>
          <w:szCs w:val="24"/>
        </w:rPr>
        <w:t>, t.</w:t>
      </w:r>
      <w:r w:rsidR="00AC19B2">
        <w:rPr>
          <w:rFonts w:ascii="Times New Roman" w:eastAsiaTheme="majorEastAsia" w:hAnsi="Times New Roman" w:cs="Times New Roman"/>
          <w:bCs/>
          <w:sz w:val="24"/>
          <w:szCs w:val="24"/>
        </w:rPr>
        <w:t xml:space="preserve"> </w:t>
      </w:r>
      <w:r w:rsidR="000576BD">
        <w:rPr>
          <w:rFonts w:ascii="Times New Roman" w:eastAsiaTheme="majorEastAsia" w:hAnsi="Times New Roman" w:cs="Times New Roman"/>
          <w:bCs/>
          <w:sz w:val="24"/>
          <w:szCs w:val="24"/>
        </w:rPr>
        <w:t>j.</w:t>
      </w:r>
      <w:r w:rsidR="00D73888" w:rsidRPr="000576BD">
        <w:rPr>
          <w:rFonts w:ascii="Times New Roman" w:eastAsiaTheme="majorEastAsia" w:hAnsi="Times New Roman" w:cs="Times New Roman"/>
          <w:bCs/>
          <w:sz w:val="24"/>
          <w:szCs w:val="24"/>
        </w:rPr>
        <w:t xml:space="preserve"> </w:t>
      </w:r>
      <w:r w:rsidR="000576BD" w:rsidRPr="001B1483">
        <w:rPr>
          <w:rFonts w:ascii="Times New Roman" w:eastAsiaTheme="majorEastAsia" w:hAnsi="Times New Roman" w:cs="Times New Roman"/>
          <w:b/>
          <w:bCs/>
          <w:sz w:val="24"/>
          <w:szCs w:val="24"/>
        </w:rPr>
        <w:t xml:space="preserve">na úrovni </w:t>
      </w:r>
      <w:r w:rsidR="009A2DF2">
        <w:rPr>
          <w:rFonts w:ascii="Times New Roman" w:eastAsiaTheme="majorEastAsia" w:hAnsi="Times New Roman" w:cs="Times New Roman"/>
          <w:b/>
          <w:bCs/>
          <w:sz w:val="24"/>
          <w:szCs w:val="24"/>
        </w:rPr>
        <w:t>68,1</w:t>
      </w:r>
      <w:r w:rsidR="00D311ED" w:rsidRPr="00D311ED">
        <w:rPr>
          <w:rFonts w:ascii="Times New Roman" w:eastAsiaTheme="majorEastAsia" w:hAnsi="Times New Roman" w:cs="Times New Roman"/>
          <w:b/>
          <w:bCs/>
          <w:sz w:val="24"/>
          <w:szCs w:val="24"/>
        </w:rPr>
        <w:t>%</w:t>
      </w:r>
      <w:r w:rsidR="000576BD" w:rsidRPr="001B1483">
        <w:rPr>
          <w:rFonts w:ascii="Times New Roman" w:eastAsiaTheme="majorEastAsia" w:hAnsi="Times New Roman" w:cs="Times New Roman"/>
          <w:b/>
          <w:bCs/>
          <w:sz w:val="24"/>
          <w:szCs w:val="24"/>
        </w:rPr>
        <w:t xml:space="preserve"> </w:t>
      </w:r>
      <w:r w:rsidR="007C54F1">
        <w:rPr>
          <w:rFonts w:ascii="Times New Roman" w:eastAsiaTheme="majorEastAsia" w:hAnsi="Times New Roman" w:cs="Times New Roman"/>
          <w:b/>
          <w:bCs/>
          <w:sz w:val="24"/>
          <w:szCs w:val="24"/>
        </w:rPr>
        <w:t xml:space="preserve">aktualizovaného </w:t>
      </w:r>
      <w:r w:rsidR="000576BD" w:rsidRPr="001B1483">
        <w:rPr>
          <w:rFonts w:ascii="Times New Roman" w:eastAsiaTheme="majorEastAsia" w:hAnsi="Times New Roman" w:cs="Times New Roman"/>
          <w:b/>
          <w:bCs/>
          <w:sz w:val="24"/>
          <w:szCs w:val="24"/>
        </w:rPr>
        <w:t>cieľa</w:t>
      </w:r>
      <w:r w:rsidR="00D73888" w:rsidRPr="0036379D">
        <w:rPr>
          <w:rFonts w:ascii="Times New Roman" w:eastAsiaTheme="majorEastAsia" w:hAnsi="Times New Roman" w:cs="Times New Roman"/>
          <w:bCs/>
          <w:sz w:val="24"/>
          <w:szCs w:val="24"/>
        </w:rPr>
        <w:t>.</w:t>
      </w:r>
      <w:r w:rsidR="00765FF8">
        <w:rPr>
          <w:rStyle w:val="Odkaznapoznmkupodiarou"/>
          <w:rFonts w:ascii="Times New Roman" w:eastAsiaTheme="majorEastAsia" w:hAnsi="Times New Roman" w:cs="Times New Roman"/>
          <w:bCs/>
          <w:sz w:val="24"/>
          <w:szCs w:val="24"/>
        </w:rPr>
        <w:footnoteReference w:id="16"/>
      </w:r>
      <w:r w:rsidR="00D73888" w:rsidRPr="0036379D">
        <w:rPr>
          <w:rFonts w:ascii="Times New Roman" w:eastAsiaTheme="majorEastAsia" w:hAnsi="Times New Roman" w:cs="Times New Roman"/>
          <w:bCs/>
          <w:sz w:val="24"/>
          <w:szCs w:val="24"/>
        </w:rPr>
        <w:t xml:space="preserve"> </w:t>
      </w:r>
      <w:r w:rsidR="000576BD" w:rsidRPr="000576BD">
        <w:rPr>
          <w:rFonts w:ascii="Times New Roman" w:hAnsi="Times New Roman" w:cs="Times New Roman"/>
          <w:sz w:val="24"/>
          <w:szCs w:val="24"/>
        </w:rPr>
        <w:t xml:space="preserve">Na základe uvedeného </w:t>
      </w:r>
      <w:r w:rsidR="00AC19B2">
        <w:rPr>
          <w:rFonts w:ascii="Times New Roman" w:hAnsi="Times New Roman" w:cs="Times New Roman"/>
          <w:sz w:val="24"/>
          <w:szCs w:val="24"/>
        </w:rPr>
        <w:t>vy</w:t>
      </w:r>
      <w:r w:rsidR="000576BD" w:rsidRPr="000576BD">
        <w:rPr>
          <w:rFonts w:ascii="Times New Roman" w:hAnsi="Times New Roman" w:cs="Times New Roman"/>
          <w:sz w:val="24"/>
          <w:szCs w:val="24"/>
        </w:rPr>
        <w:t>hodnotenia je možné konštatovať</w:t>
      </w:r>
      <w:r w:rsidR="000576BD">
        <w:rPr>
          <w:rFonts w:ascii="Times New Roman" w:hAnsi="Times New Roman" w:cs="Times New Roman"/>
          <w:sz w:val="24"/>
          <w:szCs w:val="24"/>
        </w:rPr>
        <w:t xml:space="preserve">, že </w:t>
      </w:r>
      <w:r w:rsidR="000576BD" w:rsidRPr="001B1483">
        <w:rPr>
          <w:rFonts w:ascii="Times New Roman" w:hAnsi="Times New Roman" w:cs="Times New Roman"/>
          <w:b/>
          <w:sz w:val="24"/>
          <w:szCs w:val="24"/>
          <w:u w:val="single"/>
        </w:rPr>
        <w:t xml:space="preserve">cieľ </w:t>
      </w:r>
      <w:r w:rsidR="000576BD" w:rsidRPr="001B1483">
        <w:rPr>
          <w:rFonts w:ascii="Times New Roman" w:eastAsiaTheme="majorEastAsia" w:hAnsi="Times New Roman" w:cs="Times New Roman"/>
          <w:b/>
          <w:bCs/>
          <w:sz w:val="24"/>
          <w:szCs w:val="24"/>
          <w:u w:val="single"/>
        </w:rPr>
        <w:t>úspor energie u konečného spotrebiteľa podľa čl. 7 smernice 2012/27/EÚ</w:t>
      </w:r>
      <w:r w:rsidR="000576BD" w:rsidRPr="001B1483">
        <w:rPr>
          <w:rFonts w:ascii="Times New Roman" w:hAnsi="Times New Roman" w:cs="Times New Roman"/>
          <w:b/>
          <w:sz w:val="24"/>
          <w:szCs w:val="24"/>
          <w:u w:val="single"/>
        </w:rPr>
        <w:t xml:space="preserve"> nebol v roku 2016 splnený</w:t>
      </w:r>
      <w:r w:rsidR="000576BD">
        <w:rPr>
          <w:rFonts w:ascii="Times New Roman" w:hAnsi="Times New Roman" w:cs="Times New Roman"/>
          <w:b/>
          <w:sz w:val="24"/>
          <w:szCs w:val="24"/>
          <w:u w:val="single"/>
        </w:rPr>
        <w:t>.</w:t>
      </w:r>
    </w:p>
    <w:p w14:paraId="63436A7E" w14:textId="4FE20508" w:rsidR="00CB6891" w:rsidRDefault="000576BD" w:rsidP="00D73888">
      <w:pPr>
        <w:jc w:val="both"/>
        <w:rPr>
          <w:rFonts w:ascii="Times New Roman" w:hAnsi="Times New Roman" w:cs="Times New Roman"/>
          <w:sz w:val="24"/>
          <w:szCs w:val="24"/>
        </w:rPr>
      </w:pPr>
      <w:r>
        <w:rPr>
          <w:rFonts w:ascii="Times New Roman" w:hAnsi="Times New Roman" w:cs="Times New Roman"/>
          <w:sz w:val="24"/>
          <w:szCs w:val="24"/>
        </w:rPr>
        <w:t xml:space="preserve">Z toho </w:t>
      </w:r>
      <w:r w:rsidR="00D73888" w:rsidRPr="001B1483">
        <w:rPr>
          <w:rFonts w:ascii="Times New Roman" w:eastAsiaTheme="majorEastAsia" w:hAnsi="Times New Roman" w:cs="Times New Roman"/>
          <w:bCs/>
          <w:sz w:val="24"/>
          <w:szCs w:val="24"/>
        </w:rPr>
        <w:t xml:space="preserve">dôvodu </w:t>
      </w:r>
      <w:r>
        <w:rPr>
          <w:rFonts w:ascii="Times New Roman" w:eastAsiaTheme="majorEastAsia" w:hAnsi="Times New Roman" w:cs="Times New Roman"/>
          <w:bCs/>
          <w:sz w:val="24"/>
          <w:szCs w:val="24"/>
        </w:rPr>
        <w:t xml:space="preserve">bolo potrebné opäť prepočítať hodnotu ročného cieľa </w:t>
      </w:r>
      <w:r w:rsidR="00D73888" w:rsidRPr="001B1483">
        <w:rPr>
          <w:rFonts w:ascii="Times New Roman" w:eastAsiaTheme="majorEastAsia" w:hAnsi="Times New Roman" w:cs="Times New Roman"/>
          <w:bCs/>
          <w:sz w:val="24"/>
          <w:szCs w:val="24"/>
        </w:rPr>
        <w:t>na obdobie rokov</w:t>
      </w:r>
      <w:r>
        <w:rPr>
          <w:rFonts w:ascii="Times New Roman" w:eastAsiaTheme="majorEastAsia" w:hAnsi="Times New Roman" w:cs="Times New Roman"/>
          <w:bCs/>
          <w:sz w:val="24"/>
          <w:szCs w:val="24"/>
        </w:rPr>
        <w:t xml:space="preserve"> </w:t>
      </w:r>
      <w:r w:rsidR="00CB6891">
        <w:rPr>
          <w:rFonts w:ascii="Times New Roman" w:eastAsiaTheme="majorEastAsia" w:hAnsi="Times New Roman" w:cs="Times New Roman"/>
          <w:bCs/>
          <w:sz w:val="24"/>
          <w:szCs w:val="24"/>
        </w:rPr>
        <w:t xml:space="preserve">        </w:t>
      </w:r>
      <w:r w:rsidR="00D73888" w:rsidRPr="001B1483">
        <w:rPr>
          <w:rFonts w:ascii="Times New Roman" w:eastAsiaTheme="majorEastAsia" w:hAnsi="Times New Roman" w:cs="Times New Roman"/>
          <w:bCs/>
          <w:sz w:val="24"/>
          <w:szCs w:val="24"/>
        </w:rPr>
        <w:t>2017</w:t>
      </w:r>
      <w:r>
        <w:rPr>
          <w:rFonts w:ascii="Times New Roman" w:eastAsiaTheme="majorEastAsia" w:hAnsi="Times New Roman" w:cs="Times New Roman"/>
          <w:bCs/>
          <w:sz w:val="24"/>
          <w:szCs w:val="24"/>
        </w:rPr>
        <w:t>-</w:t>
      </w:r>
      <w:r w:rsidR="00D73888" w:rsidRPr="001B1483">
        <w:rPr>
          <w:rFonts w:ascii="Times New Roman" w:eastAsiaTheme="majorEastAsia" w:hAnsi="Times New Roman" w:cs="Times New Roman"/>
          <w:bCs/>
          <w:sz w:val="24"/>
          <w:szCs w:val="24"/>
        </w:rPr>
        <w:t>2020</w:t>
      </w:r>
      <w:r w:rsidR="00AC19B2">
        <w:rPr>
          <w:rFonts w:ascii="Times New Roman" w:eastAsiaTheme="majorEastAsia" w:hAnsi="Times New Roman" w:cs="Times New Roman"/>
          <w:bCs/>
          <w:sz w:val="24"/>
          <w:szCs w:val="24"/>
        </w:rPr>
        <w:t>,</w:t>
      </w:r>
      <w:r w:rsidR="00D73888" w:rsidRPr="001B1483">
        <w:rPr>
          <w:rFonts w:ascii="Times New Roman" w:eastAsiaTheme="majorEastAsia" w:hAnsi="Times New Roman" w:cs="Times New Roman"/>
          <w:bCs/>
          <w:sz w:val="24"/>
          <w:szCs w:val="24"/>
        </w:rPr>
        <w:t xml:space="preserve"> a to na hodnotu</w:t>
      </w:r>
      <w:r w:rsidR="00D73888" w:rsidRPr="001B1483">
        <w:rPr>
          <w:rFonts w:ascii="Times New Roman" w:hAnsi="Times New Roman" w:cs="Times New Roman"/>
          <w:bCs/>
          <w:sz w:val="24"/>
          <w:szCs w:val="24"/>
        </w:rPr>
        <w:t xml:space="preserve"> </w:t>
      </w:r>
      <w:r w:rsidR="00A3552C" w:rsidRPr="00AF5415">
        <w:rPr>
          <w:rFonts w:ascii="Times New Roman" w:hAnsi="Times New Roman" w:cs="Times New Roman"/>
          <w:b/>
          <w:bCs/>
          <w:sz w:val="24"/>
          <w:szCs w:val="24"/>
        </w:rPr>
        <w:t>1 </w:t>
      </w:r>
      <w:r w:rsidR="00305128">
        <w:rPr>
          <w:rFonts w:ascii="Times New Roman" w:hAnsi="Times New Roman" w:cs="Times New Roman"/>
          <w:bCs/>
          <w:sz w:val="24"/>
          <w:szCs w:val="24"/>
        </w:rPr>
        <w:t> </w:t>
      </w:r>
      <w:r w:rsidR="009A2DF2" w:rsidRPr="00AF5415">
        <w:rPr>
          <w:rFonts w:ascii="Times New Roman" w:hAnsi="Times New Roman" w:cs="Times New Roman"/>
          <w:b/>
          <w:bCs/>
          <w:sz w:val="24"/>
          <w:szCs w:val="24"/>
        </w:rPr>
        <w:t>0</w:t>
      </w:r>
      <w:r w:rsidR="009A2DF2">
        <w:rPr>
          <w:rFonts w:ascii="Times New Roman" w:hAnsi="Times New Roman" w:cs="Times New Roman"/>
          <w:b/>
          <w:bCs/>
          <w:sz w:val="24"/>
          <w:szCs w:val="24"/>
        </w:rPr>
        <w:t>19</w:t>
      </w:r>
      <w:r w:rsidR="00305128">
        <w:rPr>
          <w:rFonts w:ascii="Times New Roman" w:hAnsi="Times New Roman" w:cs="Times New Roman"/>
          <w:b/>
          <w:bCs/>
          <w:sz w:val="24"/>
          <w:szCs w:val="24"/>
        </w:rPr>
        <w:t>,</w:t>
      </w:r>
      <w:r w:rsidR="00D9171B">
        <w:rPr>
          <w:rFonts w:ascii="Times New Roman" w:hAnsi="Times New Roman" w:cs="Times New Roman"/>
          <w:b/>
          <w:bCs/>
          <w:sz w:val="24"/>
          <w:szCs w:val="24"/>
        </w:rPr>
        <w:t>5</w:t>
      </w:r>
      <w:r w:rsidR="009A2DF2">
        <w:rPr>
          <w:rFonts w:ascii="Times New Roman" w:hAnsi="Times New Roman" w:cs="Times New Roman"/>
          <w:bCs/>
          <w:sz w:val="24"/>
          <w:szCs w:val="24"/>
        </w:rPr>
        <w:t xml:space="preserve"> </w:t>
      </w:r>
      <w:r w:rsidR="00D73888" w:rsidRPr="00CB6891">
        <w:rPr>
          <w:rFonts w:ascii="Times New Roman" w:hAnsi="Times New Roman" w:cs="Times New Roman"/>
          <w:b/>
          <w:sz w:val="24"/>
          <w:szCs w:val="24"/>
        </w:rPr>
        <w:t>GWh</w:t>
      </w:r>
      <w:r w:rsidR="00EC14E2">
        <w:rPr>
          <w:rFonts w:ascii="Times New Roman" w:hAnsi="Times New Roman" w:cs="Times New Roman"/>
          <w:b/>
          <w:sz w:val="24"/>
          <w:szCs w:val="24"/>
        </w:rPr>
        <w:t>/rok</w:t>
      </w:r>
      <w:r w:rsidR="00D73888" w:rsidRPr="00681AD4">
        <w:rPr>
          <w:rFonts w:ascii="Times New Roman" w:hAnsi="Times New Roman" w:cs="Times New Roman"/>
          <w:sz w:val="24"/>
          <w:szCs w:val="24"/>
        </w:rPr>
        <w:t xml:space="preserve">.  </w:t>
      </w:r>
    </w:p>
    <w:p w14:paraId="3B37E2D5" w14:textId="77777777" w:rsidR="00D04983" w:rsidRDefault="00D04983">
      <w:pPr>
        <w:rPr>
          <w:rFonts w:ascii="Times New Roman" w:eastAsiaTheme="majorEastAsia" w:hAnsi="Times New Roman" w:cs="Times New Roman"/>
          <w:b/>
          <w:bCs/>
        </w:rPr>
      </w:pPr>
      <w:bookmarkStart w:id="19" w:name="_Toc475461010"/>
      <w:bookmarkStart w:id="20" w:name="_Toc475461011"/>
      <w:bookmarkStart w:id="21" w:name="_Toc475461012"/>
      <w:bookmarkStart w:id="22" w:name="_Toc475461013"/>
      <w:bookmarkStart w:id="23" w:name="_Toc475461014"/>
      <w:bookmarkStart w:id="24" w:name="_Toc475461018"/>
      <w:bookmarkStart w:id="25" w:name="_Toc475461019"/>
      <w:bookmarkStart w:id="26" w:name="_Toc475461020"/>
      <w:bookmarkStart w:id="27" w:name="_Toc475021727"/>
      <w:bookmarkStart w:id="28" w:name="_Toc474910311"/>
      <w:bookmarkEnd w:id="19"/>
      <w:bookmarkEnd w:id="20"/>
      <w:bookmarkEnd w:id="21"/>
      <w:bookmarkEnd w:id="22"/>
      <w:bookmarkEnd w:id="23"/>
      <w:bookmarkEnd w:id="24"/>
      <w:bookmarkEnd w:id="25"/>
      <w:bookmarkEnd w:id="26"/>
      <w:bookmarkEnd w:id="27"/>
      <w:bookmarkEnd w:id="28"/>
      <w:r>
        <w:rPr>
          <w:rFonts w:ascii="Times New Roman" w:hAnsi="Times New Roman" w:cs="Times New Roman"/>
        </w:rPr>
        <w:br w:type="page"/>
      </w:r>
    </w:p>
    <w:p w14:paraId="400D3992" w14:textId="4D4DC2D2" w:rsidR="00BD1237" w:rsidRPr="000578FE" w:rsidRDefault="00E60DE4" w:rsidP="00AF5415">
      <w:pPr>
        <w:pStyle w:val="Nadpis3"/>
        <w:numPr>
          <w:ilvl w:val="2"/>
          <w:numId w:val="30"/>
        </w:numPr>
        <w:rPr>
          <w:rFonts w:ascii="Times New Roman" w:hAnsi="Times New Roman" w:cs="Times New Roman"/>
          <w:color w:val="auto"/>
        </w:rPr>
      </w:pPr>
      <w:bookmarkStart w:id="29" w:name="_Toc480547224"/>
      <w:r w:rsidRPr="000578FE">
        <w:rPr>
          <w:rFonts w:ascii="Times New Roman" w:hAnsi="Times New Roman" w:cs="Times New Roman"/>
          <w:color w:val="auto"/>
        </w:rPr>
        <w:lastRenderedPageBreak/>
        <w:t>Ú</w:t>
      </w:r>
      <w:r w:rsidR="00BC6E06" w:rsidRPr="000578FE">
        <w:rPr>
          <w:rFonts w:ascii="Times New Roman" w:hAnsi="Times New Roman" w:cs="Times New Roman"/>
          <w:color w:val="auto"/>
        </w:rPr>
        <w:t>spory primárnej energie</w:t>
      </w:r>
      <w:bookmarkEnd w:id="29"/>
    </w:p>
    <w:p w14:paraId="1CF86868" w14:textId="77777777" w:rsidR="00424D9C" w:rsidRDefault="00424D9C" w:rsidP="00382EAD">
      <w:pPr>
        <w:jc w:val="both"/>
        <w:rPr>
          <w:rFonts w:ascii="Times New Roman" w:hAnsi="Times New Roman" w:cs="Times New Roman"/>
          <w:sz w:val="24"/>
          <w:szCs w:val="24"/>
        </w:rPr>
      </w:pPr>
    </w:p>
    <w:p w14:paraId="31EA8767" w14:textId="659DF945" w:rsidR="008C48EE" w:rsidRPr="001B1483" w:rsidRDefault="00E539F5" w:rsidP="00382EAD">
      <w:pPr>
        <w:jc w:val="both"/>
        <w:rPr>
          <w:rFonts w:ascii="Times New Roman" w:hAnsi="Times New Roman" w:cs="Times New Roman"/>
          <w:sz w:val="24"/>
          <w:szCs w:val="24"/>
        </w:rPr>
      </w:pPr>
      <w:r w:rsidRPr="007577DE">
        <w:rPr>
          <w:rFonts w:ascii="Times New Roman" w:hAnsi="Times New Roman" w:cs="Times New Roman"/>
          <w:sz w:val="24"/>
          <w:szCs w:val="24"/>
        </w:rPr>
        <w:t xml:space="preserve">Tabuľka </w:t>
      </w:r>
      <w:r w:rsidR="00434D49">
        <w:rPr>
          <w:rFonts w:ascii="Times New Roman" w:hAnsi="Times New Roman" w:cs="Times New Roman"/>
          <w:sz w:val="24"/>
          <w:szCs w:val="24"/>
        </w:rPr>
        <w:t xml:space="preserve">č. 5 </w:t>
      </w:r>
      <w:r w:rsidRPr="007577DE">
        <w:rPr>
          <w:rFonts w:ascii="Times New Roman" w:hAnsi="Times New Roman" w:cs="Times New Roman"/>
          <w:sz w:val="24"/>
          <w:szCs w:val="24"/>
        </w:rPr>
        <w:t xml:space="preserve">uvádza </w:t>
      </w:r>
      <w:r w:rsidR="00BD1237" w:rsidRPr="007577DE">
        <w:rPr>
          <w:rFonts w:ascii="Times New Roman" w:hAnsi="Times New Roman" w:cs="Times New Roman"/>
          <w:sz w:val="24"/>
          <w:szCs w:val="24"/>
        </w:rPr>
        <w:t xml:space="preserve">prehľad úspor primárnej energie dosiahnutých k termínu podania správy a odhady očakávaných úspor </w:t>
      </w:r>
      <w:r w:rsidRPr="007577DE">
        <w:rPr>
          <w:rFonts w:ascii="Times New Roman" w:hAnsi="Times New Roman" w:cs="Times New Roman"/>
          <w:sz w:val="24"/>
          <w:szCs w:val="24"/>
        </w:rPr>
        <w:t xml:space="preserve">energie </w:t>
      </w:r>
      <w:r w:rsidR="003F7FAC" w:rsidRPr="007577DE">
        <w:rPr>
          <w:rFonts w:ascii="Times New Roman" w:hAnsi="Times New Roman" w:cs="Times New Roman"/>
          <w:sz w:val="24"/>
          <w:szCs w:val="24"/>
        </w:rPr>
        <w:t xml:space="preserve">do </w:t>
      </w:r>
      <w:r w:rsidR="00BD1237" w:rsidRPr="007577DE">
        <w:rPr>
          <w:rFonts w:ascii="Times New Roman" w:hAnsi="Times New Roman" w:cs="Times New Roman"/>
          <w:sz w:val="24"/>
          <w:szCs w:val="24"/>
        </w:rPr>
        <w:t>rok</w:t>
      </w:r>
      <w:r w:rsidR="003F7FAC" w:rsidRPr="007577DE">
        <w:rPr>
          <w:rFonts w:ascii="Times New Roman" w:hAnsi="Times New Roman" w:cs="Times New Roman"/>
          <w:sz w:val="24"/>
          <w:szCs w:val="24"/>
        </w:rPr>
        <w:t>u</w:t>
      </w:r>
      <w:r w:rsidR="00BD1237" w:rsidRPr="007577DE">
        <w:rPr>
          <w:rFonts w:ascii="Times New Roman" w:hAnsi="Times New Roman" w:cs="Times New Roman"/>
          <w:sz w:val="24"/>
          <w:szCs w:val="24"/>
        </w:rPr>
        <w:t xml:space="preserve"> 2020</w:t>
      </w:r>
      <w:r w:rsidR="00BD1237" w:rsidRPr="007577DE">
        <w:rPr>
          <w:rFonts w:ascii="Times New Roman" w:hAnsi="Times New Roman" w:cs="Times New Roman"/>
          <w:b/>
          <w:sz w:val="24"/>
          <w:szCs w:val="24"/>
        </w:rPr>
        <w:t xml:space="preserve"> </w:t>
      </w:r>
      <w:r w:rsidR="003F7FAC" w:rsidRPr="007577DE">
        <w:rPr>
          <w:rFonts w:ascii="Times New Roman" w:hAnsi="Times New Roman" w:cs="Times New Roman"/>
          <w:sz w:val="24"/>
          <w:szCs w:val="24"/>
        </w:rPr>
        <w:t>podľa jednotlivých sektorov</w:t>
      </w:r>
      <w:r w:rsidR="003F7FAC" w:rsidRPr="007577DE">
        <w:rPr>
          <w:rFonts w:ascii="Times New Roman" w:hAnsi="Times New Roman" w:cs="Times New Roman"/>
          <w:b/>
          <w:sz w:val="24"/>
          <w:szCs w:val="24"/>
        </w:rPr>
        <w:t xml:space="preserve"> </w:t>
      </w:r>
      <w:r w:rsidR="00BD1237" w:rsidRPr="007577DE">
        <w:rPr>
          <w:rFonts w:ascii="Times New Roman" w:hAnsi="Times New Roman" w:cs="Times New Roman"/>
          <w:sz w:val="24"/>
          <w:szCs w:val="24"/>
        </w:rPr>
        <w:t>(článok 3 ods. 1, článok 24 ods. 2 SEE, prílohy XIV časť 2 bod 2 písm. a) k nej).</w:t>
      </w:r>
      <w:r w:rsidR="003F7FAC" w:rsidRPr="007577DE">
        <w:rPr>
          <w:rFonts w:ascii="Times New Roman" w:hAnsi="Times New Roman" w:cs="Times New Roman"/>
          <w:sz w:val="24"/>
          <w:szCs w:val="24"/>
        </w:rPr>
        <w:t xml:space="preserve"> </w:t>
      </w:r>
    </w:p>
    <w:p w14:paraId="1DE12FD9" w14:textId="19ABCA91" w:rsidR="00434D49" w:rsidRPr="00903DF0" w:rsidRDefault="00434D49" w:rsidP="001B1483">
      <w:pPr>
        <w:keepNext/>
        <w:jc w:val="both"/>
        <w:rPr>
          <w:rFonts w:ascii="Times New Roman" w:hAnsi="Times New Roman" w:cs="Times New Roman"/>
          <w:i/>
          <w:sz w:val="24"/>
          <w:szCs w:val="24"/>
        </w:rPr>
      </w:pPr>
      <w:r w:rsidRPr="00297B22">
        <w:rPr>
          <w:rFonts w:ascii="Times New Roman" w:hAnsi="Times New Roman" w:cs="Times New Roman"/>
          <w:sz w:val="24"/>
          <w:szCs w:val="24"/>
        </w:rPr>
        <w:t>Tabuľka</w:t>
      </w:r>
      <w:r w:rsidRPr="000578FE">
        <w:rPr>
          <w:rFonts w:ascii="Times New Roman" w:hAnsi="Times New Roman" w:cs="Times New Roman"/>
          <w:sz w:val="24"/>
          <w:szCs w:val="24"/>
        </w:rPr>
        <w:t xml:space="preserve"> č. 5: </w:t>
      </w:r>
      <w:r w:rsidRPr="000578FE">
        <w:rPr>
          <w:rFonts w:ascii="Times New Roman" w:hAnsi="Times New Roman" w:cs="Times New Roman"/>
          <w:color w:val="000000"/>
          <w:sz w:val="24"/>
          <w:szCs w:val="24"/>
        </w:rPr>
        <w:t>Plánované a dosiahnuté úspory energie vo forme primárnej energetickej spotreby</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blCellMar>
          <w:left w:w="70" w:type="dxa"/>
          <w:right w:w="70" w:type="dxa"/>
        </w:tblCellMar>
        <w:tblLook w:val="0000" w:firstRow="0" w:lastRow="0" w:firstColumn="0" w:lastColumn="0" w:noHBand="0" w:noVBand="0"/>
      </w:tblPr>
      <w:tblGrid>
        <w:gridCol w:w="3298"/>
        <w:gridCol w:w="1876"/>
        <w:gridCol w:w="1767"/>
        <w:gridCol w:w="2121"/>
      </w:tblGrid>
      <w:tr w:rsidR="004C2160" w:rsidRPr="00A3552C" w14:paraId="0172D7DC" w14:textId="77777777" w:rsidTr="007577DE">
        <w:trPr>
          <w:trHeight w:val="1059"/>
        </w:trPr>
        <w:tc>
          <w:tcPr>
            <w:tcW w:w="1820" w:type="pct"/>
            <w:vMerge w:val="restart"/>
            <w:shd w:val="clear" w:color="auto" w:fill="C0C0C0"/>
            <w:vAlign w:val="center"/>
          </w:tcPr>
          <w:p w14:paraId="0E1F330C" w14:textId="77777777" w:rsidR="004C2160" w:rsidRPr="00A3552C" w:rsidRDefault="004C2160" w:rsidP="00DC146B">
            <w:pPr>
              <w:spacing w:after="0" w:line="240" w:lineRule="auto"/>
              <w:jc w:val="center"/>
              <w:rPr>
                <w:rFonts w:ascii="Times New Roman" w:hAnsi="Times New Roman" w:cs="Times New Roman"/>
                <w:b/>
                <w:sz w:val="20"/>
                <w:szCs w:val="20"/>
              </w:rPr>
            </w:pPr>
            <w:r w:rsidRPr="00A3552C">
              <w:rPr>
                <w:rFonts w:ascii="Times New Roman" w:hAnsi="Times New Roman" w:cs="Times New Roman"/>
                <w:b/>
                <w:sz w:val="20"/>
                <w:szCs w:val="20"/>
              </w:rPr>
              <w:t>Sektor</w:t>
            </w:r>
          </w:p>
        </w:tc>
        <w:tc>
          <w:tcPr>
            <w:tcW w:w="2010" w:type="pct"/>
            <w:gridSpan w:val="2"/>
            <w:shd w:val="clear" w:color="auto" w:fill="C0C0C0"/>
            <w:noWrap/>
            <w:vAlign w:val="center"/>
          </w:tcPr>
          <w:p w14:paraId="5DF6131F" w14:textId="0B58E7FA" w:rsidR="004C2160" w:rsidRPr="00A3552C" w:rsidRDefault="004C2160" w:rsidP="00DC146B">
            <w:pPr>
              <w:spacing w:after="0" w:line="240" w:lineRule="auto"/>
              <w:jc w:val="center"/>
              <w:rPr>
                <w:rFonts w:ascii="Times New Roman" w:hAnsi="Times New Roman" w:cs="Times New Roman"/>
                <w:b/>
                <w:sz w:val="20"/>
                <w:szCs w:val="20"/>
              </w:rPr>
            </w:pPr>
            <w:r w:rsidRPr="00A3552C">
              <w:rPr>
                <w:rFonts w:ascii="Times New Roman" w:hAnsi="Times New Roman" w:cs="Times New Roman"/>
                <w:b/>
                <w:sz w:val="20"/>
                <w:szCs w:val="20"/>
              </w:rPr>
              <w:t>Úspora energie (PES)</w:t>
            </w:r>
          </w:p>
          <w:p w14:paraId="2A122DE1" w14:textId="03709DA4" w:rsidR="00036138" w:rsidRPr="00A3552C" w:rsidRDefault="004C2160" w:rsidP="00DC146B">
            <w:pPr>
              <w:spacing w:after="0" w:line="240" w:lineRule="auto"/>
              <w:jc w:val="center"/>
              <w:rPr>
                <w:rFonts w:ascii="Times New Roman" w:hAnsi="Times New Roman" w:cs="Times New Roman"/>
                <w:b/>
                <w:sz w:val="20"/>
                <w:szCs w:val="20"/>
              </w:rPr>
            </w:pPr>
            <w:r w:rsidRPr="00A3552C">
              <w:rPr>
                <w:rFonts w:ascii="Times New Roman" w:hAnsi="Times New Roman" w:cs="Times New Roman"/>
                <w:b/>
                <w:sz w:val="20"/>
                <w:szCs w:val="20"/>
              </w:rPr>
              <w:t>2014-2016</w:t>
            </w:r>
          </w:p>
          <w:p w14:paraId="44487C34" w14:textId="1676D646" w:rsidR="004C2160" w:rsidRPr="00A3552C" w:rsidRDefault="00036138" w:rsidP="00DC146B">
            <w:pPr>
              <w:spacing w:after="0" w:line="240" w:lineRule="auto"/>
              <w:jc w:val="center"/>
              <w:rPr>
                <w:rFonts w:ascii="Times New Roman" w:hAnsi="Times New Roman" w:cs="Times New Roman"/>
                <w:b/>
                <w:sz w:val="20"/>
                <w:szCs w:val="20"/>
              </w:rPr>
            </w:pPr>
            <w:r w:rsidRPr="00A3552C">
              <w:rPr>
                <w:rFonts w:ascii="Times New Roman" w:hAnsi="Times New Roman" w:cs="Times New Roman"/>
                <w:b/>
                <w:sz w:val="20"/>
                <w:szCs w:val="20"/>
              </w:rPr>
              <w:t>(3 roky)</w:t>
            </w:r>
          </w:p>
          <w:p w14:paraId="2BD1BEF8" w14:textId="77777777" w:rsidR="004C2160" w:rsidRPr="00A3552C" w:rsidRDefault="004C2160" w:rsidP="00DC146B">
            <w:pPr>
              <w:spacing w:after="0" w:line="240" w:lineRule="auto"/>
              <w:jc w:val="center"/>
              <w:rPr>
                <w:rFonts w:ascii="Times New Roman" w:hAnsi="Times New Roman" w:cs="Times New Roman"/>
                <w:b/>
                <w:sz w:val="20"/>
                <w:szCs w:val="20"/>
              </w:rPr>
            </w:pPr>
            <w:r w:rsidRPr="00A3552C">
              <w:rPr>
                <w:rFonts w:ascii="Times New Roman" w:hAnsi="Times New Roman" w:cs="Times New Roman"/>
                <w:b/>
                <w:sz w:val="20"/>
                <w:szCs w:val="20"/>
              </w:rPr>
              <w:t>[TJ]</w:t>
            </w:r>
          </w:p>
        </w:tc>
        <w:tc>
          <w:tcPr>
            <w:tcW w:w="1170" w:type="pct"/>
            <w:shd w:val="clear" w:color="auto" w:fill="C0C0C0"/>
            <w:vAlign w:val="center"/>
          </w:tcPr>
          <w:p w14:paraId="2897EF09" w14:textId="77777777" w:rsidR="004C2160" w:rsidRPr="00A3552C" w:rsidRDefault="004C2160" w:rsidP="00DC146B">
            <w:pPr>
              <w:spacing w:after="0" w:line="240" w:lineRule="auto"/>
              <w:jc w:val="center"/>
              <w:rPr>
                <w:rFonts w:ascii="Times New Roman" w:hAnsi="Times New Roman" w:cs="Times New Roman"/>
                <w:b/>
                <w:sz w:val="20"/>
                <w:szCs w:val="20"/>
              </w:rPr>
            </w:pPr>
          </w:p>
          <w:p w14:paraId="67B9F5EC" w14:textId="736AA76E" w:rsidR="004C2160" w:rsidRPr="00A3552C" w:rsidRDefault="004C2160" w:rsidP="00DC146B">
            <w:pPr>
              <w:spacing w:after="0" w:line="240" w:lineRule="auto"/>
              <w:jc w:val="center"/>
              <w:rPr>
                <w:rFonts w:ascii="Times New Roman" w:hAnsi="Times New Roman" w:cs="Times New Roman"/>
                <w:b/>
                <w:sz w:val="20"/>
                <w:szCs w:val="20"/>
              </w:rPr>
            </w:pPr>
            <w:r w:rsidRPr="00A3552C">
              <w:rPr>
                <w:rFonts w:ascii="Times New Roman" w:hAnsi="Times New Roman" w:cs="Times New Roman"/>
                <w:b/>
                <w:sz w:val="20"/>
                <w:szCs w:val="20"/>
              </w:rPr>
              <w:t>Plánovaná úspora energie (PES)</w:t>
            </w:r>
          </w:p>
          <w:p w14:paraId="358BEBE6" w14:textId="7AD3F69E" w:rsidR="00036138" w:rsidRPr="00A3552C" w:rsidRDefault="004C2160" w:rsidP="00DC146B">
            <w:pPr>
              <w:spacing w:after="0" w:line="240" w:lineRule="auto"/>
              <w:jc w:val="center"/>
              <w:rPr>
                <w:rFonts w:ascii="Times New Roman" w:hAnsi="Times New Roman" w:cs="Times New Roman"/>
                <w:b/>
                <w:sz w:val="20"/>
                <w:szCs w:val="20"/>
              </w:rPr>
            </w:pPr>
            <w:r w:rsidRPr="00A3552C">
              <w:rPr>
                <w:rFonts w:ascii="Times New Roman" w:hAnsi="Times New Roman" w:cs="Times New Roman"/>
                <w:b/>
                <w:sz w:val="20"/>
                <w:szCs w:val="20"/>
              </w:rPr>
              <w:t>2017-2020</w:t>
            </w:r>
          </w:p>
          <w:p w14:paraId="1DCC1457" w14:textId="30A8FA5E" w:rsidR="004C2160" w:rsidRPr="00A3552C" w:rsidRDefault="00036138" w:rsidP="00DC146B">
            <w:pPr>
              <w:spacing w:after="0" w:line="240" w:lineRule="auto"/>
              <w:jc w:val="center"/>
              <w:rPr>
                <w:rFonts w:ascii="Times New Roman" w:hAnsi="Times New Roman" w:cs="Times New Roman"/>
                <w:b/>
                <w:sz w:val="20"/>
                <w:szCs w:val="20"/>
              </w:rPr>
            </w:pPr>
            <w:r w:rsidRPr="00A3552C">
              <w:rPr>
                <w:rFonts w:ascii="Times New Roman" w:hAnsi="Times New Roman" w:cs="Times New Roman"/>
                <w:b/>
                <w:sz w:val="20"/>
                <w:szCs w:val="20"/>
              </w:rPr>
              <w:t>(4 roky)</w:t>
            </w:r>
          </w:p>
          <w:p w14:paraId="3A06A74D" w14:textId="0BB719AC" w:rsidR="004C2160" w:rsidRPr="00A3552C" w:rsidRDefault="004C2160" w:rsidP="00DC146B">
            <w:pPr>
              <w:spacing w:after="0" w:line="240" w:lineRule="auto"/>
              <w:jc w:val="center"/>
              <w:rPr>
                <w:rFonts w:ascii="Times New Roman" w:hAnsi="Times New Roman" w:cs="Times New Roman"/>
                <w:b/>
                <w:sz w:val="20"/>
                <w:szCs w:val="20"/>
              </w:rPr>
            </w:pPr>
            <w:r w:rsidRPr="00A3552C">
              <w:rPr>
                <w:rFonts w:ascii="Times New Roman" w:hAnsi="Times New Roman" w:cs="Times New Roman"/>
                <w:b/>
                <w:sz w:val="20"/>
                <w:szCs w:val="20"/>
              </w:rPr>
              <w:t>[TJ</w:t>
            </w:r>
            <w:r w:rsidR="00036138" w:rsidRPr="00A3552C">
              <w:rPr>
                <w:rFonts w:ascii="Times New Roman" w:hAnsi="Times New Roman" w:cs="Times New Roman"/>
                <w:b/>
                <w:sz w:val="20"/>
                <w:szCs w:val="20"/>
              </w:rPr>
              <w:t>]</w:t>
            </w:r>
          </w:p>
        </w:tc>
      </w:tr>
      <w:tr w:rsidR="004C2160" w:rsidRPr="00A3552C" w14:paraId="474FADED" w14:textId="77777777" w:rsidTr="004E746F">
        <w:trPr>
          <w:trHeight w:val="255"/>
        </w:trPr>
        <w:tc>
          <w:tcPr>
            <w:tcW w:w="1820" w:type="pct"/>
            <w:vMerge/>
            <w:tcBorders>
              <w:bottom w:val="single" w:sz="4" w:space="0" w:color="auto"/>
            </w:tcBorders>
            <w:shd w:val="clear" w:color="auto" w:fill="C0C0C0"/>
            <w:vAlign w:val="center"/>
          </w:tcPr>
          <w:p w14:paraId="2DCFB923" w14:textId="53E59857" w:rsidR="004C2160" w:rsidRPr="00A3552C" w:rsidRDefault="004C2160" w:rsidP="00DC146B">
            <w:pPr>
              <w:spacing w:after="0" w:line="240" w:lineRule="auto"/>
              <w:jc w:val="center"/>
              <w:rPr>
                <w:rFonts w:ascii="Times New Roman" w:hAnsi="Times New Roman" w:cs="Times New Roman"/>
                <w:b/>
                <w:sz w:val="20"/>
                <w:szCs w:val="20"/>
              </w:rPr>
            </w:pPr>
          </w:p>
        </w:tc>
        <w:tc>
          <w:tcPr>
            <w:tcW w:w="1035" w:type="pct"/>
            <w:tcBorders>
              <w:bottom w:val="single" w:sz="4" w:space="0" w:color="auto"/>
            </w:tcBorders>
            <w:shd w:val="clear" w:color="auto" w:fill="C0C0C0"/>
            <w:noWrap/>
            <w:vAlign w:val="center"/>
          </w:tcPr>
          <w:p w14:paraId="14FE3F9F" w14:textId="432B3E16" w:rsidR="004C2160" w:rsidRPr="00A3552C" w:rsidRDefault="004C2160">
            <w:pPr>
              <w:spacing w:after="0" w:line="240" w:lineRule="auto"/>
              <w:jc w:val="center"/>
              <w:rPr>
                <w:rFonts w:ascii="Times New Roman" w:hAnsi="Times New Roman" w:cs="Times New Roman"/>
                <w:b/>
                <w:sz w:val="20"/>
                <w:szCs w:val="20"/>
              </w:rPr>
            </w:pPr>
            <w:r w:rsidRPr="00A3552C">
              <w:rPr>
                <w:rFonts w:ascii="Times New Roman" w:hAnsi="Times New Roman" w:cs="Times New Roman"/>
                <w:b/>
                <w:sz w:val="20"/>
                <w:szCs w:val="20"/>
              </w:rPr>
              <w:t>Plánovaná v 3AP</w:t>
            </w:r>
          </w:p>
        </w:tc>
        <w:tc>
          <w:tcPr>
            <w:tcW w:w="975" w:type="pct"/>
            <w:tcBorders>
              <w:bottom w:val="single" w:sz="4" w:space="0" w:color="auto"/>
            </w:tcBorders>
            <w:shd w:val="clear" w:color="auto" w:fill="C0C0C0"/>
            <w:vAlign w:val="center"/>
          </w:tcPr>
          <w:p w14:paraId="78DB75D0" w14:textId="7B92CB9B" w:rsidR="004C2160" w:rsidRPr="00A3552C" w:rsidRDefault="004C2160" w:rsidP="00DC146B">
            <w:pPr>
              <w:spacing w:after="0" w:line="240" w:lineRule="auto"/>
              <w:jc w:val="center"/>
              <w:rPr>
                <w:rFonts w:ascii="Times New Roman" w:hAnsi="Times New Roman" w:cs="Times New Roman"/>
                <w:b/>
                <w:sz w:val="20"/>
                <w:szCs w:val="20"/>
              </w:rPr>
            </w:pPr>
            <w:r w:rsidRPr="00A3552C">
              <w:rPr>
                <w:rFonts w:ascii="Times New Roman" w:hAnsi="Times New Roman" w:cs="Times New Roman"/>
                <w:b/>
                <w:sz w:val="20"/>
                <w:szCs w:val="20"/>
              </w:rPr>
              <w:t>Dosiahnutá</w:t>
            </w:r>
            <w:r w:rsidR="0044012B" w:rsidRPr="00A3552C">
              <w:rPr>
                <w:rStyle w:val="Odkaznapoznmkupodiarou"/>
                <w:rFonts w:ascii="Times New Roman" w:hAnsi="Times New Roman" w:cs="Times New Roman"/>
                <w:b/>
                <w:sz w:val="20"/>
                <w:szCs w:val="20"/>
              </w:rPr>
              <w:footnoteReference w:id="17"/>
            </w:r>
          </w:p>
        </w:tc>
        <w:tc>
          <w:tcPr>
            <w:tcW w:w="1170" w:type="pct"/>
            <w:tcBorders>
              <w:bottom w:val="single" w:sz="4" w:space="0" w:color="auto"/>
            </w:tcBorders>
            <w:shd w:val="clear" w:color="auto" w:fill="C0C0C0"/>
            <w:vAlign w:val="center"/>
          </w:tcPr>
          <w:p w14:paraId="164393DB" w14:textId="5DE1C86C" w:rsidR="004C2160" w:rsidRPr="00A3552C" w:rsidRDefault="004C2160">
            <w:pPr>
              <w:spacing w:after="0" w:line="240" w:lineRule="auto"/>
              <w:jc w:val="center"/>
              <w:rPr>
                <w:rFonts w:ascii="Times New Roman" w:hAnsi="Times New Roman" w:cs="Times New Roman"/>
                <w:b/>
                <w:sz w:val="20"/>
                <w:szCs w:val="20"/>
              </w:rPr>
            </w:pPr>
            <w:r w:rsidRPr="00A3552C">
              <w:rPr>
                <w:rFonts w:ascii="Times New Roman" w:hAnsi="Times New Roman" w:cs="Times New Roman"/>
                <w:b/>
                <w:sz w:val="20"/>
                <w:szCs w:val="20"/>
              </w:rPr>
              <w:t>Plánovan</w:t>
            </w:r>
            <w:r w:rsidR="003F7FAC" w:rsidRPr="00A3552C">
              <w:rPr>
                <w:rFonts w:ascii="Times New Roman" w:hAnsi="Times New Roman" w:cs="Times New Roman"/>
                <w:b/>
                <w:sz w:val="20"/>
                <w:szCs w:val="20"/>
              </w:rPr>
              <w:t>á</w:t>
            </w:r>
            <w:r w:rsidRPr="00A3552C">
              <w:rPr>
                <w:rFonts w:ascii="Times New Roman" w:hAnsi="Times New Roman" w:cs="Times New Roman"/>
                <w:b/>
                <w:sz w:val="20"/>
                <w:szCs w:val="20"/>
              </w:rPr>
              <w:t xml:space="preserve"> v </w:t>
            </w:r>
            <w:r w:rsidR="00234BB3" w:rsidRPr="00A3552C">
              <w:rPr>
                <w:rFonts w:ascii="Times New Roman" w:hAnsi="Times New Roman" w:cs="Times New Roman"/>
                <w:b/>
                <w:sz w:val="20"/>
                <w:szCs w:val="20"/>
              </w:rPr>
              <w:t>4</w:t>
            </w:r>
            <w:r w:rsidRPr="00A3552C">
              <w:rPr>
                <w:rFonts w:ascii="Times New Roman" w:hAnsi="Times New Roman" w:cs="Times New Roman"/>
                <w:b/>
                <w:sz w:val="20"/>
                <w:szCs w:val="20"/>
              </w:rPr>
              <w:t>AP</w:t>
            </w:r>
          </w:p>
        </w:tc>
      </w:tr>
      <w:tr w:rsidR="002B11D6" w:rsidRPr="00A3552C" w14:paraId="6072D74B" w14:textId="77777777" w:rsidTr="005F7B58">
        <w:trPr>
          <w:trHeight w:val="255"/>
        </w:trPr>
        <w:tc>
          <w:tcPr>
            <w:tcW w:w="1820" w:type="pct"/>
            <w:tcBorders>
              <w:top w:val="single" w:sz="4" w:space="0" w:color="auto"/>
              <w:bottom w:val="single" w:sz="4" w:space="0" w:color="auto"/>
              <w:right w:val="single" w:sz="4" w:space="0" w:color="auto"/>
            </w:tcBorders>
            <w:shd w:val="clear" w:color="auto" w:fill="FFFFFF"/>
            <w:vAlign w:val="center"/>
          </w:tcPr>
          <w:p w14:paraId="56D02ED8" w14:textId="77777777" w:rsidR="002B11D6" w:rsidRPr="00A3552C" w:rsidRDefault="002B11D6" w:rsidP="002B11D6">
            <w:pPr>
              <w:spacing w:after="0" w:line="240" w:lineRule="auto"/>
              <w:rPr>
                <w:rFonts w:ascii="Times New Roman" w:hAnsi="Times New Roman" w:cs="Times New Roman"/>
                <w:sz w:val="20"/>
                <w:szCs w:val="20"/>
              </w:rPr>
            </w:pPr>
            <w:r w:rsidRPr="00A3552C">
              <w:rPr>
                <w:rFonts w:ascii="Times New Roman" w:hAnsi="Times New Roman" w:cs="Times New Roman"/>
                <w:sz w:val="20"/>
                <w:szCs w:val="20"/>
              </w:rPr>
              <w:t>Budovy</w:t>
            </w:r>
          </w:p>
        </w:tc>
        <w:tc>
          <w:tcPr>
            <w:tcW w:w="103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BA1F4D4" w14:textId="1B67CECA" w:rsidR="002B11D6" w:rsidRPr="00A3552C" w:rsidRDefault="002B11D6" w:rsidP="002B11D6">
            <w:pPr>
              <w:spacing w:after="0" w:line="240" w:lineRule="auto"/>
              <w:jc w:val="right"/>
              <w:rPr>
                <w:rFonts w:ascii="Times New Roman" w:hAnsi="Times New Roman" w:cs="Times New Roman"/>
                <w:sz w:val="20"/>
                <w:szCs w:val="20"/>
              </w:rPr>
            </w:pPr>
            <w:r w:rsidRPr="00A3552C">
              <w:rPr>
                <w:rFonts w:ascii="Times New Roman" w:hAnsi="Times New Roman" w:cs="Times New Roman"/>
                <w:sz w:val="20"/>
                <w:szCs w:val="20"/>
              </w:rPr>
              <w:t>4 830</w:t>
            </w:r>
          </w:p>
        </w:tc>
        <w:tc>
          <w:tcPr>
            <w:tcW w:w="975" w:type="pct"/>
            <w:tcBorders>
              <w:top w:val="single" w:sz="4" w:space="0" w:color="auto"/>
              <w:left w:val="single" w:sz="4" w:space="0" w:color="auto"/>
              <w:bottom w:val="single" w:sz="4" w:space="0" w:color="auto"/>
              <w:right w:val="single" w:sz="4" w:space="0" w:color="auto"/>
            </w:tcBorders>
            <w:shd w:val="clear" w:color="auto" w:fill="auto"/>
          </w:tcPr>
          <w:p w14:paraId="5F3A331E" w14:textId="2CE7D7C1" w:rsidR="002B11D6" w:rsidRPr="002B11D6" w:rsidRDefault="002B11D6" w:rsidP="002B11D6">
            <w:pPr>
              <w:spacing w:after="0" w:line="240" w:lineRule="auto"/>
              <w:jc w:val="right"/>
              <w:rPr>
                <w:rFonts w:ascii="Times New Roman" w:hAnsi="Times New Roman" w:cs="Times New Roman"/>
                <w:sz w:val="20"/>
                <w:szCs w:val="20"/>
              </w:rPr>
            </w:pPr>
            <w:r w:rsidRPr="005F7B58">
              <w:rPr>
                <w:rFonts w:ascii="Times New Roman" w:hAnsi="Times New Roman" w:cs="Times New Roman"/>
                <w:sz w:val="20"/>
                <w:szCs w:val="20"/>
              </w:rPr>
              <w:t>7 905</w:t>
            </w:r>
          </w:p>
        </w:tc>
        <w:tc>
          <w:tcPr>
            <w:tcW w:w="1170" w:type="pct"/>
            <w:tcBorders>
              <w:top w:val="single" w:sz="4" w:space="0" w:color="auto"/>
              <w:left w:val="single" w:sz="4" w:space="0" w:color="auto"/>
              <w:bottom w:val="single" w:sz="4" w:space="0" w:color="auto"/>
              <w:right w:val="single" w:sz="4" w:space="0" w:color="auto"/>
            </w:tcBorders>
            <w:shd w:val="clear" w:color="auto" w:fill="auto"/>
          </w:tcPr>
          <w:p w14:paraId="56C7F863" w14:textId="7D179395" w:rsidR="002B11D6" w:rsidRPr="005F7B58" w:rsidRDefault="002B11D6" w:rsidP="002B11D6">
            <w:pPr>
              <w:spacing w:after="0" w:line="240" w:lineRule="auto"/>
              <w:jc w:val="right"/>
              <w:rPr>
                <w:rFonts w:ascii="Times New Roman" w:hAnsi="Times New Roman" w:cs="Times New Roman"/>
                <w:sz w:val="20"/>
                <w:szCs w:val="20"/>
                <w:highlight w:val="yellow"/>
              </w:rPr>
            </w:pPr>
            <w:r w:rsidRPr="005F7B58">
              <w:rPr>
                <w:rFonts w:ascii="Times New Roman" w:hAnsi="Times New Roman" w:cs="Times New Roman"/>
                <w:sz w:val="20"/>
                <w:szCs w:val="20"/>
              </w:rPr>
              <w:t>6 698</w:t>
            </w:r>
          </w:p>
        </w:tc>
      </w:tr>
      <w:tr w:rsidR="002B11D6" w:rsidRPr="00A3552C" w14:paraId="0FE4AFAB" w14:textId="77777777" w:rsidTr="005F7B58">
        <w:trPr>
          <w:trHeight w:val="255"/>
        </w:trPr>
        <w:tc>
          <w:tcPr>
            <w:tcW w:w="1820" w:type="pct"/>
            <w:tcBorders>
              <w:top w:val="single" w:sz="4" w:space="0" w:color="auto"/>
              <w:bottom w:val="single" w:sz="4" w:space="0" w:color="auto"/>
              <w:right w:val="single" w:sz="4" w:space="0" w:color="auto"/>
            </w:tcBorders>
            <w:shd w:val="clear" w:color="auto" w:fill="FFFFFF"/>
            <w:vAlign w:val="center"/>
          </w:tcPr>
          <w:p w14:paraId="30BA5501" w14:textId="77777777" w:rsidR="002B11D6" w:rsidRPr="00A3552C" w:rsidRDefault="002B11D6" w:rsidP="002B11D6">
            <w:pPr>
              <w:spacing w:after="0" w:line="240" w:lineRule="auto"/>
              <w:rPr>
                <w:rFonts w:ascii="Times New Roman" w:hAnsi="Times New Roman" w:cs="Times New Roman"/>
                <w:sz w:val="20"/>
                <w:szCs w:val="20"/>
              </w:rPr>
            </w:pPr>
            <w:r w:rsidRPr="00A3552C">
              <w:rPr>
                <w:rFonts w:ascii="Times New Roman" w:hAnsi="Times New Roman" w:cs="Times New Roman"/>
                <w:sz w:val="20"/>
                <w:szCs w:val="20"/>
              </w:rPr>
              <w:t>Priemysel</w:t>
            </w:r>
          </w:p>
        </w:tc>
        <w:tc>
          <w:tcPr>
            <w:tcW w:w="103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75BCB65" w14:textId="7874D1B4" w:rsidR="002B11D6" w:rsidRPr="00A3552C" w:rsidRDefault="002B11D6" w:rsidP="002B11D6">
            <w:pPr>
              <w:spacing w:after="0" w:line="240" w:lineRule="auto"/>
              <w:jc w:val="right"/>
              <w:rPr>
                <w:rFonts w:ascii="Times New Roman" w:hAnsi="Times New Roman" w:cs="Times New Roman"/>
                <w:sz w:val="20"/>
                <w:szCs w:val="20"/>
              </w:rPr>
            </w:pPr>
            <w:r w:rsidRPr="00A3552C">
              <w:rPr>
                <w:rFonts w:ascii="Times New Roman" w:hAnsi="Times New Roman" w:cs="Times New Roman"/>
                <w:sz w:val="20"/>
                <w:szCs w:val="20"/>
              </w:rPr>
              <w:t>4 020</w:t>
            </w:r>
          </w:p>
        </w:tc>
        <w:tc>
          <w:tcPr>
            <w:tcW w:w="975" w:type="pct"/>
            <w:tcBorders>
              <w:top w:val="single" w:sz="4" w:space="0" w:color="auto"/>
              <w:left w:val="single" w:sz="4" w:space="0" w:color="auto"/>
              <w:bottom w:val="single" w:sz="4" w:space="0" w:color="auto"/>
              <w:right w:val="single" w:sz="4" w:space="0" w:color="auto"/>
            </w:tcBorders>
            <w:shd w:val="clear" w:color="auto" w:fill="auto"/>
          </w:tcPr>
          <w:p w14:paraId="1796DF33" w14:textId="0C85B81D" w:rsidR="002B11D6" w:rsidRPr="002B11D6" w:rsidRDefault="002B11D6" w:rsidP="002B11D6">
            <w:pPr>
              <w:spacing w:after="0" w:line="240" w:lineRule="auto"/>
              <w:jc w:val="right"/>
              <w:rPr>
                <w:rFonts w:ascii="Times New Roman" w:hAnsi="Times New Roman" w:cs="Times New Roman"/>
                <w:sz w:val="20"/>
                <w:szCs w:val="20"/>
              </w:rPr>
            </w:pPr>
            <w:r w:rsidRPr="005F7B58">
              <w:rPr>
                <w:rFonts w:ascii="Times New Roman" w:hAnsi="Times New Roman" w:cs="Times New Roman"/>
                <w:sz w:val="20"/>
                <w:szCs w:val="20"/>
              </w:rPr>
              <w:t>4 338</w:t>
            </w:r>
          </w:p>
        </w:tc>
        <w:tc>
          <w:tcPr>
            <w:tcW w:w="1170" w:type="pct"/>
            <w:tcBorders>
              <w:top w:val="single" w:sz="4" w:space="0" w:color="auto"/>
              <w:left w:val="single" w:sz="4" w:space="0" w:color="auto"/>
              <w:bottom w:val="single" w:sz="4" w:space="0" w:color="auto"/>
              <w:right w:val="single" w:sz="4" w:space="0" w:color="auto"/>
            </w:tcBorders>
            <w:shd w:val="clear" w:color="auto" w:fill="auto"/>
          </w:tcPr>
          <w:p w14:paraId="11FD6499" w14:textId="00F4E31E" w:rsidR="002B11D6" w:rsidRPr="005F7B58" w:rsidRDefault="002B11D6" w:rsidP="002B11D6">
            <w:pPr>
              <w:spacing w:after="0" w:line="240" w:lineRule="auto"/>
              <w:jc w:val="right"/>
              <w:rPr>
                <w:rFonts w:ascii="Times New Roman" w:hAnsi="Times New Roman" w:cs="Times New Roman"/>
                <w:sz w:val="20"/>
                <w:szCs w:val="20"/>
                <w:highlight w:val="yellow"/>
              </w:rPr>
            </w:pPr>
            <w:r w:rsidRPr="005F7B58">
              <w:rPr>
                <w:rFonts w:ascii="Times New Roman" w:hAnsi="Times New Roman" w:cs="Times New Roman"/>
                <w:sz w:val="20"/>
                <w:szCs w:val="20"/>
              </w:rPr>
              <w:t>10 595</w:t>
            </w:r>
          </w:p>
        </w:tc>
      </w:tr>
      <w:tr w:rsidR="002B11D6" w:rsidRPr="00A3552C" w14:paraId="73F5BE2C" w14:textId="77777777" w:rsidTr="005F7B58">
        <w:trPr>
          <w:trHeight w:val="255"/>
        </w:trPr>
        <w:tc>
          <w:tcPr>
            <w:tcW w:w="1820" w:type="pct"/>
            <w:tcBorders>
              <w:top w:val="single" w:sz="4" w:space="0" w:color="auto"/>
              <w:bottom w:val="single" w:sz="4" w:space="0" w:color="auto"/>
              <w:right w:val="single" w:sz="4" w:space="0" w:color="auto"/>
            </w:tcBorders>
            <w:shd w:val="clear" w:color="auto" w:fill="FFFFFF"/>
            <w:vAlign w:val="center"/>
          </w:tcPr>
          <w:p w14:paraId="5333E493" w14:textId="77777777" w:rsidR="002B11D6" w:rsidRPr="00A3552C" w:rsidRDefault="002B11D6" w:rsidP="002B11D6">
            <w:pPr>
              <w:spacing w:after="0" w:line="240" w:lineRule="auto"/>
              <w:rPr>
                <w:rFonts w:ascii="Times New Roman" w:hAnsi="Times New Roman" w:cs="Times New Roman"/>
                <w:sz w:val="20"/>
                <w:szCs w:val="20"/>
              </w:rPr>
            </w:pPr>
            <w:r w:rsidRPr="00A3552C">
              <w:rPr>
                <w:rFonts w:ascii="Times New Roman" w:hAnsi="Times New Roman" w:cs="Times New Roman"/>
                <w:sz w:val="20"/>
                <w:szCs w:val="20"/>
              </w:rPr>
              <w:t>Verejný sektor</w:t>
            </w:r>
          </w:p>
        </w:tc>
        <w:tc>
          <w:tcPr>
            <w:tcW w:w="103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8D4B0C0" w14:textId="06D2E62E" w:rsidR="002B11D6" w:rsidRPr="00A3552C" w:rsidRDefault="002B11D6" w:rsidP="002B11D6">
            <w:pPr>
              <w:spacing w:after="0" w:line="240" w:lineRule="auto"/>
              <w:jc w:val="right"/>
              <w:rPr>
                <w:rFonts w:ascii="Times New Roman" w:hAnsi="Times New Roman" w:cs="Times New Roman"/>
                <w:sz w:val="20"/>
                <w:szCs w:val="20"/>
              </w:rPr>
            </w:pPr>
            <w:r w:rsidRPr="00A3552C">
              <w:rPr>
                <w:rFonts w:ascii="Times New Roman" w:hAnsi="Times New Roman" w:cs="Times New Roman"/>
                <w:sz w:val="20"/>
                <w:szCs w:val="20"/>
              </w:rPr>
              <w:t>2 616</w:t>
            </w:r>
          </w:p>
        </w:tc>
        <w:tc>
          <w:tcPr>
            <w:tcW w:w="975" w:type="pct"/>
            <w:tcBorders>
              <w:top w:val="single" w:sz="4" w:space="0" w:color="auto"/>
              <w:left w:val="single" w:sz="4" w:space="0" w:color="auto"/>
              <w:bottom w:val="single" w:sz="4" w:space="0" w:color="auto"/>
              <w:right w:val="single" w:sz="4" w:space="0" w:color="auto"/>
            </w:tcBorders>
            <w:shd w:val="clear" w:color="auto" w:fill="auto"/>
          </w:tcPr>
          <w:p w14:paraId="628D64F4" w14:textId="4DB99A50" w:rsidR="002B11D6" w:rsidRPr="002B11D6" w:rsidRDefault="002B11D6" w:rsidP="002B11D6">
            <w:pPr>
              <w:spacing w:after="0" w:line="240" w:lineRule="auto"/>
              <w:jc w:val="right"/>
              <w:rPr>
                <w:rFonts w:ascii="Times New Roman" w:hAnsi="Times New Roman" w:cs="Times New Roman"/>
                <w:sz w:val="20"/>
                <w:szCs w:val="20"/>
              </w:rPr>
            </w:pPr>
            <w:r w:rsidRPr="005F7B58">
              <w:rPr>
                <w:rFonts w:ascii="Times New Roman" w:hAnsi="Times New Roman" w:cs="Times New Roman"/>
                <w:sz w:val="20"/>
                <w:szCs w:val="20"/>
              </w:rPr>
              <w:t>1 245</w:t>
            </w:r>
          </w:p>
        </w:tc>
        <w:tc>
          <w:tcPr>
            <w:tcW w:w="1170" w:type="pct"/>
            <w:tcBorders>
              <w:top w:val="single" w:sz="4" w:space="0" w:color="auto"/>
              <w:left w:val="single" w:sz="4" w:space="0" w:color="auto"/>
              <w:bottom w:val="single" w:sz="4" w:space="0" w:color="auto"/>
              <w:right w:val="single" w:sz="4" w:space="0" w:color="auto"/>
            </w:tcBorders>
            <w:shd w:val="clear" w:color="auto" w:fill="auto"/>
          </w:tcPr>
          <w:p w14:paraId="6566CF1D" w14:textId="6461D38A" w:rsidR="002B11D6" w:rsidRPr="005F7B58" w:rsidRDefault="002B11D6" w:rsidP="002B11D6">
            <w:pPr>
              <w:spacing w:after="0" w:line="240" w:lineRule="auto"/>
              <w:jc w:val="right"/>
              <w:rPr>
                <w:rFonts w:ascii="Times New Roman" w:hAnsi="Times New Roman" w:cs="Times New Roman"/>
                <w:sz w:val="20"/>
                <w:szCs w:val="20"/>
                <w:highlight w:val="yellow"/>
              </w:rPr>
            </w:pPr>
            <w:r w:rsidRPr="005F7B58">
              <w:rPr>
                <w:rFonts w:ascii="Times New Roman" w:hAnsi="Times New Roman" w:cs="Times New Roman"/>
                <w:sz w:val="20"/>
                <w:szCs w:val="20"/>
              </w:rPr>
              <w:t>2 670</w:t>
            </w:r>
          </w:p>
        </w:tc>
      </w:tr>
      <w:tr w:rsidR="002B11D6" w:rsidRPr="00A3552C" w14:paraId="2FF44DA3" w14:textId="77777777" w:rsidTr="005F7B58">
        <w:trPr>
          <w:trHeight w:val="255"/>
        </w:trPr>
        <w:tc>
          <w:tcPr>
            <w:tcW w:w="1820" w:type="pct"/>
            <w:tcBorders>
              <w:top w:val="single" w:sz="4" w:space="0" w:color="auto"/>
              <w:bottom w:val="single" w:sz="4" w:space="0" w:color="auto"/>
              <w:right w:val="single" w:sz="4" w:space="0" w:color="auto"/>
            </w:tcBorders>
            <w:shd w:val="clear" w:color="auto" w:fill="FFFFFF"/>
            <w:vAlign w:val="center"/>
          </w:tcPr>
          <w:p w14:paraId="358D9905" w14:textId="77777777" w:rsidR="002B11D6" w:rsidRPr="00A3552C" w:rsidRDefault="002B11D6" w:rsidP="002B11D6">
            <w:pPr>
              <w:spacing w:after="0" w:line="240" w:lineRule="auto"/>
              <w:rPr>
                <w:rFonts w:ascii="Times New Roman" w:hAnsi="Times New Roman" w:cs="Times New Roman"/>
                <w:sz w:val="20"/>
                <w:szCs w:val="20"/>
              </w:rPr>
            </w:pPr>
            <w:r w:rsidRPr="00A3552C">
              <w:rPr>
                <w:rFonts w:ascii="Times New Roman" w:hAnsi="Times New Roman" w:cs="Times New Roman"/>
                <w:sz w:val="20"/>
                <w:szCs w:val="20"/>
              </w:rPr>
              <w:t>Doprava</w:t>
            </w:r>
          </w:p>
        </w:tc>
        <w:tc>
          <w:tcPr>
            <w:tcW w:w="103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4341230" w14:textId="6A509919" w:rsidR="002B11D6" w:rsidRPr="00A3552C" w:rsidRDefault="002B11D6" w:rsidP="002B11D6">
            <w:pPr>
              <w:spacing w:after="0" w:line="240" w:lineRule="auto"/>
              <w:jc w:val="right"/>
              <w:rPr>
                <w:rFonts w:ascii="Times New Roman" w:hAnsi="Times New Roman" w:cs="Times New Roman"/>
                <w:sz w:val="20"/>
                <w:szCs w:val="20"/>
              </w:rPr>
            </w:pPr>
            <w:r w:rsidRPr="00A3552C">
              <w:rPr>
                <w:rFonts w:ascii="Times New Roman" w:hAnsi="Times New Roman" w:cs="Times New Roman"/>
                <w:sz w:val="20"/>
                <w:szCs w:val="20"/>
              </w:rPr>
              <w:t>901</w:t>
            </w:r>
          </w:p>
        </w:tc>
        <w:tc>
          <w:tcPr>
            <w:tcW w:w="975" w:type="pct"/>
            <w:tcBorders>
              <w:top w:val="single" w:sz="4" w:space="0" w:color="auto"/>
              <w:left w:val="single" w:sz="4" w:space="0" w:color="auto"/>
              <w:bottom w:val="single" w:sz="4" w:space="0" w:color="auto"/>
              <w:right w:val="single" w:sz="4" w:space="0" w:color="auto"/>
            </w:tcBorders>
            <w:shd w:val="clear" w:color="auto" w:fill="auto"/>
          </w:tcPr>
          <w:p w14:paraId="2CAA65D9" w14:textId="17FD50B1" w:rsidR="002B11D6" w:rsidRPr="002B11D6" w:rsidRDefault="002B11D6" w:rsidP="002B11D6">
            <w:pPr>
              <w:spacing w:after="0" w:line="240" w:lineRule="auto"/>
              <w:jc w:val="right"/>
              <w:rPr>
                <w:rFonts w:ascii="Times New Roman" w:hAnsi="Times New Roman" w:cs="Times New Roman"/>
                <w:sz w:val="20"/>
                <w:szCs w:val="20"/>
              </w:rPr>
            </w:pPr>
            <w:r w:rsidRPr="005F7B58">
              <w:rPr>
                <w:rFonts w:ascii="Times New Roman" w:hAnsi="Times New Roman" w:cs="Times New Roman"/>
                <w:sz w:val="20"/>
                <w:szCs w:val="20"/>
              </w:rPr>
              <w:t>1 403</w:t>
            </w:r>
          </w:p>
        </w:tc>
        <w:tc>
          <w:tcPr>
            <w:tcW w:w="1170" w:type="pct"/>
            <w:tcBorders>
              <w:top w:val="single" w:sz="4" w:space="0" w:color="auto"/>
              <w:left w:val="single" w:sz="4" w:space="0" w:color="auto"/>
              <w:bottom w:val="single" w:sz="4" w:space="0" w:color="auto"/>
              <w:right w:val="single" w:sz="4" w:space="0" w:color="auto"/>
            </w:tcBorders>
            <w:shd w:val="clear" w:color="auto" w:fill="auto"/>
          </w:tcPr>
          <w:p w14:paraId="20120855" w14:textId="6C0D5DEE" w:rsidR="002B11D6" w:rsidRPr="005F7B58" w:rsidRDefault="002B11D6" w:rsidP="002B11D6">
            <w:pPr>
              <w:spacing w:after="0" w:line="240" w:lineRule="auto"/>
              <w:jc w:val="right"/>
              <w:rPr>
                <w:rFonts w:ascii="Times New Roman" w:hAnsi="Times New Roman" w:cs="Times New Roman"/>
                <w:sz w:val="20"/>
                <w:szCs w:val="20"/>
                <w:highlight w:val="yellow"/>
              </w:rPr>
            </w:pPr>
            <w:r w:rsidRPr="005F7B58">
              <w:rPr>
                <w:rFonts w:ascii="Times New Roman" w:hAnsi="Times New Roman" w:cs="Times New Roman"/>
                <w:sz w:val="20"/>
                <w:szCs w:val="20"/>
              </w:rPr>
              <w:t>1 660</w:t>
            </w:r>
          </w:p>
        </w:tc>
      </w:tr>
      <w:tr w:rsidR="002B11D6" w:rsidRPr="00A3552C" w14:paraId="00887436" w14:textId="77777777" w:rsidTr="005F7B58">
        <w:trPr>
          <w:trHeight w:val="255"/>
        </w:trPr>
        <w:tc>
          <w:tcPr>
            <w:tcW w:w="1820" w:type="pct"/>
            <w:tcBorders>
              <w:top w:val="single" w:sz="4" w:space="0" w:color="auto"/>
              <w:bottom w:val="single" w:sz="4" w:space="0" w:color="auto"/>
              <w:right w:val="single" w:sz="4" w:space="0" w:color="auto"/>
            </w:tcBorders>
            <w:shd w:val="clear" w:color="auto" w:fill="FFFFFF"/>
            <w:vAlign w:val="center"/>
          </w:tcPr>
          <w:p w14:paraId="4A53362A" w14:textId="77777777" w:rsidR="002B11D6" w:rsidRPr="00A3552C" w:rsidRDefault="002B11D6" w:rsidP="002B11D6">
            <w:pPr>
              <w:spacing w:after="0" w:line="240" w:lineRule="auto"/>
              <w:rPr>
                <w:rFonts w:ascii="Times New Roman" w:hAnsi="Times New Roman" w:cs="Times New Roman"/>
                <w:sz w:val="20"/>
                <w:szCs w:val="20"/>
              </w:rPr>
            </w:pPr>
            <w:r w:rsidRPr="00A3552C">
              <w:rPr>
                <w:rFonts w:ascii="Times New Roman" w:hAnsi="Times New Roman" w:cs="Times New Roman"/>
                <w:sz w:val="20"/>
                <w:szCs w:val="20"/>
              </w:rPr>
              <w:t>Spotrebiče</w:t>
            </w:r>
          </w:p>
        </w:tc>
        <w:tc>
          <w:tcPr>
            <w:tcW w:w="103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551BBD3" w14:textId="4796FF74" w:rsidR="002B11D6" w:rsidRPr="00A3552C" w:rsidRDefault="002B11D6" w:rsidP="002B11D6">
            <w:pPr>
              <w:spacing w:after="0" w:line="240" w:lineRule="auto"/>
              <w:jc w:val="right"/>
              <w:rPr>
                <w:rFonts w:ascii="Times New Roman" w:hAnsi="Times New Roman" w:cs="Times New Roman"/>
                <w:sz w:val="20"/>
                <w:szCs w:val="20"/>
              </w:rPr>
            </w:pPr>
            <w:r w:rsidRPr="00A3552C">
              <w:rPr>
                <w:rFonts w:ascii="Times New Roman" w:hAnsi="Times New Roman" w:cs="Times New Roman"/>
                <w:sz w:val="20"/>
                <w:szCs w:val="20"/>
              </w:rPr>
              <w:t>1 154</w:t>
            </w:r>
          </w:p>
        </w:tc>
        <w:tc>
          <w:tcPr>
            <w:tcW w:w="975" w:type="pct"/>
            <w:tcBorders>
              <w:top w:val="single" w:sz="4" w:space="0" w:color="auto"/>
              <w:left w:val="single" w:sz="4" w:space="0" w:color="auto"/>
              <w:bottom w:val="single" w:sz="4" w:space="0" w:color="auto"/>
              <w:right w:val="single" w:sz="4" w:space="0" w:color="auto"/>
            </w:tcBorders>
            <w:shd w:val="clear" w:color="auto" w:fill="auto"/>
          </w:tcPr>
          <w:p w14:paraId="5B9F944C" w14:textId="57D9662D" w:rsidR="002B11D6" w:rsidRPr="002B11D6" w:rsidRDefault="002B11D6" w:rsidP="002B11D6">
            <w:pPr>
              <w:spacing w:after="0" w:line="240" w:lineRule="auto"/>
              <w:jc w:val="right"/>
              <w:rPr>
                <w:rFonts w:ascii="Times New Roman" w:hAnsi="Times New Roman" w:cs="Times New Roman"/>
                <w:sz w:val="20"/>
                <w:szCs w:val="20"/>
              </w:rPr>
            </w:pPr>
            <w:r w:rsidRPr="005F7B58">
              <w:rPr>
                <w:rFonts w:ascii="Times New Roman" w:hAnsi="Times New Roman" w:cs="Times New Roman"/>
                <w:sz w:val="20"/>
                <w:szCs w:val="20"/>
              </w:rPr>
              <w:t>892</w:t>
            </w:r>
          </w:p>
        </w:tc>
        <w:tc>
          <w:tcPr>
            <w:tcW w:w="1170" w:type="pct"/>
            <w:tcBorders>
              <w:top w:val="single" w:sz="4" w:space="0" w:color="auto"/>
              <w:left w:val="single" w:sz="4" w:space="0" w:color="auto"/>
              <w:bottom w:val="single" w:sz="4" w:space="0" w:color="auto"/>
              <w:right w:val="single" w:sz="4" w:space="0" w:color="auto"/>
            </w:tcBorders>
            <w:shd w:val="clear" w:color="auto" w:fill="auto"/>
          </w:tcPr>
          <w:p w14:paraId="14091130" w14:textId="4A31A9C8" w:rsidR="002B11D6" w:rsidRPr="005F7B58" w:rsidRDefault="002B11D6" w:rsidP="002B11D6">
            <w:pPr>
              <w:spacing w:after="0" w:line="240" w:lineRule="auto"/>
              <w:jc w:val="right"/>
              <w:rPr>
                <w:rFonts w:ascii="Times New Roman" w:hAnsi="Times New Roman" w:cs="Times New Roman"/>
                <w:sz w:val="20"/>
                <w:szCs w:val="20"/>
                <w:highlight w:val="yellow"/>
              </w:rPr>
            </w:pPr>
            <w:r w:rsidRPr="005F7B58">
              <w:rPr>
                <w:rFonts w:ascii="Times New Roman" w:hAnsi="Times New Roman" w:cs="Times New Roman"/>
                <w:sz w:val="20"/>
                <w:szCs w:val="20"/>
              </w:rPr>
              <w:t>1 412</w:t>
            </w:r>
          </w:p>
        </w:tc>
      </w:tr>
      <w:tr w:rsidR="002B11D6" w:rsidRPr="00A3552C" w14:paraId="47CC1446" w14:textId="77777777" w:rsidTr="005F7B58">
        <w:trPr>
          <w:trHeight w:val="255"/>
        </w:trPr>
        <w:tc>
          <w:tcPr>
            <w:tcW w:w="1820" w:type="pct"/>
            <w:tcBorders>
              <w:top w:val="single" w:sz="4" w:space="0" w:color="auto"/>
              <w:bottom w:val="single" w:sz="4" w:space="0" w:color="auto"/>
              <w:right w:val="single" w:sz="4" w:space="0" w:color="auto"/>
            </w:tcBorders>
            <w:shd w:val="clear" w:color="auto" w:fill="FFFFFF"/>
            <w:vAlign w:val="center"/>
          </w:tcPr>
          <w:p w14:paraId="7776CFB4" w14:textId="46B539E5" w:rsidR="002B11D6" w:rsidRPr="00A3552C" w:rsidRDefault="002B11D6" w:rsidP="002B11D6">
            <w:pPr>
              <w:spacing w:after="0" w:line="240" w:lineRule="auto"/>
              <w:rPr>
                <w:rFonts w:ascii="Times New Roman" w:hAnsi="Times New Roman" w:cs="Times New Roman"/>
                <w:sz w:val="20"/>
                <w:szCs w:val="20"/>
              </w:rPr>
            </w:pPr>
            <w:r w:rsidRPr="00A3552C">
              <w:rPr>
                <w:rFonts w:ascii="Times New Roman" w:hAnsi="Times New Roman" w:cs="Times New Roman"/>
                <w:sz w:val="20"/>
                <w:szCs w:val="20"/>
              </w:rPr>
              <w:t>Premena, prenos a distribúcia energie</w:t>
            </w:r>
          </w:p>
        </w:tc>
        <w:tc>
          <w:tcPr>
            <w:tcW w:w="103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40B143E" w14:textId="3EB90D9A" w:rsidR="002B11D6" w:rsidRPr="00A3552C" w:rsidRDefault="002B11D6" w:rsidP="002B11D6">
            <w:pPr>
              <w:spacing w:after="0" w:line="240" w:lineRule="auto"/>
              <w:jc w:val="right"/>
              <w:rPr>
                <w:rFonts w:ascii="Times New Roman" w:hAnsi="Times New Roman" w:cs="Times New Roman"/>
                <w:sz w:val="20"/>
                <w:szCs w:val="20"/>
              </w:rPr>
            </w:pPr>
            <w:r w:rsidRPr="00A3552C">
              <w:rPr>
                <w:rFonts w:ascii="Times New Roman" w:hAnsi="Times New Roman" w:cs="Times New Roman"/>
                <w:sz w:val="20"/>
                <w:szCs w:val="20"/>
              </w:rPr>
              <w:t>2 422</w:t>
            </w:r>
          </w:p>
        </w:tc>
        <w:tc>
          <w:tcPr>
            <w:tcW w:w="975" w:type="pct"/>
            <w:tcBorders>
              <w:top w:val="single" w:sz="4" w:space="0" w:color="auto"/>
              <w:left w:val="single" w:sz="4" w:space="0" w:color="auto"/>
              <w:bottom w:val="single" w:sz="4" w:space="0" w:color="auto"/>
              <w:right w:val="single" w:sz="4" w:space="0" w:color="auto"/>
            </w:tcBorders>
            <w:shd w:val="clear" w:color="auto" w:fill="auto"/>
          </w:tcPr>
          <w:p w14:paraId="58145F12" w14:textId="6E4B4AE6" w:rsidR="002B11D6" w:rsidRPr="002B11D6" w:rsidRDefault="002B11D6" w:rsidP="002B11D6">
            <w:pPr>
              <w:spacing w:after="0" w:line="240" w:lineRule="auto"/>
              <w:jc w:val="right"/>
              <w:rPr>
                <w:rFonts w:ascii="Times New Roman" w:hAnsi="Times New Roman" w:cs="Times New Roman"/>
                <w:sz w:val="20"/>
                <w:szCs w:val="20"/>
              </w:rPr>
            </w:pPr>
            <w:r w:rsidRPr="005F7B58">
              <w:rPr>
                <w:rFonts w:ascii="Times New Roman" w:hAnsi="Times New Roman" w:cs="Times New Roman"/>
                <w:sz w:val="20"/>
                <w:szCs w:val="20"/>
              </w:rPr>
              <w:t>1 438</w:t>
            </w:r>
          </w:p>
        </w:tc>
        <w:tc>
          <w:tcPr>
            <w:tcW w:w="1170" w:type="pct"/>
            <w:tcBorders>
              <w:top w:val="single" w:sz="4" w:space="0" w:color="auto"/>
              <w:left w:val="single" w:sz="4" w:space="0" w:color="auto"/>
              <w:bottom w:val="single" w:sz="4" w:space="0" w:color="auto"/>
              <w:right w:val="single" w:sz="4" w:space="0" w:color="auto"/>
            </w:tcBorders>
            <w:shd w:val="clear" w:color="auto" w:fill="auto"/>
          </w:tcPr>
          <w:p w14:paraId="2090197F" w14:textId="6ADA0458" w:rsidR="002B11D6" w:rsidRPr="005F7B58" w:rsidRDefault="002B11D6" w:rsidP="00297B22">
            <w:pPr>
              <w:spacing w:after="0" w:line="240" w:lineRule="auto"/>
              <w:jc w:val="right"/>
              <w:rPr>
                <w:rFonts w:ascii="Times New Roman" w:hAnsi="Times New Roman" w:cs="Times New Roman"/>
                <w:sz w:val="20"/>
                <w:szCs w:val="20"/>
                <w:highlight w:val="yellow"/>
              </w:rPr>
            </w:pPr>
            <w:r w:rsidRPr="005F7B58">
              <w:rPr>
                <w:rFonts w:ascii="Times New Roman" w:hAnsi="Times New Roman" w:cs="Times New Roman"/>
                <w:sz w:val="20"/>
                <w:szCs w:val="20"/>
              </w:rPr>
              <w:t xml:space="preserve">4 </w:t>
            </w:r>
            <w:r w:rsidR="001A7A74">
              <w:rPr>
                <w:rFonts w:ascii="Times New Roman" w:hAnsi="Times New Roman" w:cs="Times New Roman"/>
                <w:sz w:val="20"/>
                <w:szCs w:val="20"/>
              </w:rPr>
              <w:t>328</w:t>
            </w:r>
          </w:p>
        </w:tc>
      </w:tr>
      <w:tr w:rsidR="002B11D6" w:rsidRPr="00A3552C" w14:paraId="0E3C197A" w14:textId="77777777" w:rsidTr="005F7B58">
        <w:trPr>
          <w:trHeight w:val="270"/>
        </w:trPr>
        <w:tc>
          <w:tcPr>
            <w:tcW w:w="1820" w:type="pct"/>
            <w:tcBorders>
              <w:top w:val="single" w:sz="4" w:space="0" w:color="auto"/>
              <w:bottom w:val="single" w:sz="4" w:space="0" w:color="auto"/>
              <w:right w:val="single" w:sz="4" w:space="0" w:color="auto"/>
            </w:tcBorders>
            <w:shd w:val="clear" w:color="auto" w:fill="auto"/>
            <w:vAlign w:val="center"/>
          </w:tcPr>
          <w:p w14:paraId="0DDEE56E" w14:textId="77777777" w:rsidR="002B11D6" w:rsidRPr="00A3552C" w:rsidRDefault="002B11D6" w:rsidP="002B11D6">
            <w:pPr>
              <w:spacing w:after="0" w:line="240" w:lineRule="auto"/>
              <w:rPr>
                <w:rFonts w:ascii="Times New Roman" w:hAnsi="Times New Roman" w:cs="Times New Roman"/>
                <w:b/>
                <w:sz w:val="20"/>
                <w:szCs w:val="20"/>
              </w:rPr>
            </w:pPr>
            <w:r w:rsidRPr="00A3552C">
              <w:rPr>
                <w:rFonts w:ascii="Times New Roman" w:hAnsi="Times New Roman" w:cs="Times New Roman"/>
                <w:b/>
                <w:sz w:val="20"/>
                <w:szCs w:val="20"/>
              </w:rPr>
              <w:t>Spolu</w:t>
            </w:r>
          </w:p>
        </w:tc>
        <w:tc>
          <w:tcPr>
            <w:tcW w:w="10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146E13" w14:textId="122B38BC" w:rsidR="002B11D6" w:rsidRPr="00A3552C" w:rsidRDefault="002B11D6" w:rsidP="002B11D6">
            <w:pPr>
              <w:spacing w:after="0" w:line="240" w:lineRule="auto"/>
              <w:jc w:val="right"/>
              <w:rPr>
                <w:rFonts w:ascii="Times New Roman" w:hAnsi="Times New Roman" w:cs="Times New Roman"/>
                <w:b/>
                <w:sz w:val="20"/>
                <w:szCs w:val="20"/>
              </w:rPr>
            </w:pPr>
            <w:r w:rsidRPr="00A3552C">
              <w:rPr>
                <w:rFonts w:ascii="Times New Roman" w:hAnsi="Times New Roman" w:cs="Times New Roman"/>
                <w:b/>
                <w:sz w:val="20"/>
                <w:szCs w:val="20"/>
              </w:rPr>
              <w:t>15 975</w:t>
            </w:r>
          </w:p>
        </w:tc>
        <w:tc>
          <w:tcPr>
            <w:tcW w:w="975" w:type="pct"/>
            <w:tcBorders>
              <w:top w:val="single" w:sz="4" w:space="0" w:color="auto"/>
              <w:left w:val="single" w:sz="4" w:space="0" w:color="auto"/>
              <w:bottom w:val="single" w:sz="4" w:space="0" w:color="auto"/>
              <w:right w:val="single" w:sz="4" w:space="0" w:color="auto"/>
            </w:tcBorders>
            <w:shd w:val="clear" w:color="auto" w:fill="auto"/>
          </w:tcPr>
          <w:p w14:paraId="19CFAE54" w14:textId="48E58D78" w:rsidR="002B11D6" w:rsidRPr="002B11D6" w:rsidRDefault="002B11D6" w:rsidP="002B11D6">
            <w:pPr>
              <w:spacing w:after="0" w:line="240" w:lineRule="auto"/>
              <w:jc w:val="right"/>
              <w:rPr>
                <w:rFonts w:ascii="Times New Roman" w:hAnsi="Times New Roman" w:cs="Times New Roman"/>
                <w:b/>
                <w:sz w:val="20"/>
                <w:szCs w:val="20"/>
              </w:rPr>
            </w:pPr>
            <w:r w:rsidRPr="005F7B58">
              <w:rPr>
                <w:rFonts w:ascii="Times New Roman" w:hAnsi="Times New Roman" w:cs="Times New Roman"/>
                <w:b/>
                <w:sz w:val="20"/>
                <w:szCs w:val="20"/>
              </w:rPr>
              <w:t>17 221</w:t>
            </w:r>
          </w:p>
        </w:tc>
        <w:tc>
          <w:tcPr>
            <w:tcW w:w="1170" w:type="pct"/>
            <w:tcBorders>
              <w:top w:val="single" w:sz="4" w:space="0" w:color="auto"/>
              <w:left w:val="single" w:sz="4" w:space="0" w:color="auto"/>
              <w:bottom w:val="single" w:sz="4" w:space="0" w:color="auto"/>
              <w:right w:val="single" w:sz="4" w:space="0" w:color="auto"/>
            </w:tcBorders>
            <w:shd w:val="clear" w:color="auto" w:fill="auto"/>
          </w:tcPr>
          <w:p w14:paraId="4F5F7906" w14:textId="6FD39A8C" w:rsidR="002B11D6" w:rsidRPr="005F7B58" w:rsidRDefault="002B11D6" w:rsidP="00297B22">
            <w:pPr>
              <w:spacing w:after="0" w:line="240" w:lineRule="auto"/>
              <w:jc w:val="right"/>
              <w:rPr>
                <w:rFonts w:ascii="Times New Roman" w:hAnsi="Times New Roman" w:cs="Times New Roman"/>
                <w:b/>
                <w:sz w:val="20"/>
                <w:szCs w:val="20"/>
                <w:highlight w:val="yellow"/>
              </w:rPr>
            </w:pPr>
            <w:r w:rsidRPr="005F7B58">
              <w:rPr>
                <w:rFonts w:ascii="Times New Roman" w:hAnsi="Times New Roman" w:cs="Times New Roman"/>
                <w:b/>
                <w:sz w:val="20"/>
                <w:szCs w:val="20"/>
              </w:rPr>
              <w:t xml:space="preserve">27 </w:t>
            </w:r>
            <w:r w:rsidR="001A7A74">
              <w:rPr>
                <w:rFonts w:ascii="Times New Roman" w:hAnsi="Times New Roman" w:cs="Times New Roman"/>
                <w:b/>
                <w:sz w:val="20"/>
                <w:szCs w:val="20"/>
              </w:rPr>
              <w:t>362</w:t>
            </w:r>
          </w:p>
        </w:tc>
      </w:tr>
    </w:tbl>
    <w:p w14:paraId="4FA857F3" w14:textId="77777777" w:rsidR="001C4BCA" w:rsidRDefault="001C4BCA" w:rsidP="00CB4F37">
      <w:pPr>
        <w:jc w:val="both"/>
        <w:rPr>
          <w:rFonts w:ascii="Times New Roman" w:hAnsi="Times New Roman" w:cs="Times New Roman"/>
        </w:rPr>
      </w:pPr>
    </w:p>
    <w:p w14:paraId="357D50A8" w14:textId="6BFE21E3" w:rsidR="00740B73" w:rsidRDefault="004600C9" w:rsidP="00CB4F37">
      <w:pPr>
        <w:jc w:val="both"/>
        <w:rPr>
          <w:rFonts w:ascii="Times New Roman" w:hAnsi="Times New Roman" w:cs="Times New Roman"/>
          <w:sz w:val="24"/>
          <w:szCs w:val="24"/>
        </w:rPr>
      </w:pPr>
      <w:r>
        <w:rPr>
          <w:rFonts w:ascii="Times New Roman" w:hAnsi="Times New Roman" w:cs="Times New Roman"/>
          <w:sz w:val="24"/>
          <w:szCs w:val="24"/>
        </w:rPr>
        <w:t xml:space="preserve">V sledovanom </w:t>
      </w:r>
      <w:r w:rsidRPr="003D35E8">
        <w:rPr>
          <w:rFonts w:ascii="Times New Roman" w:hAnsi="Times New Roman" w:cs="Times New Roman"/>
          <w:b/>
          <w:sz w:val="24"/>
          <w:szCs w:val="24"/>
        </w:rPr>
        <w:t xml:space="preserve">období rokov 2014-2016 </w:t>
      </w:r>
      <w:r>
        <w:rPr>
          <w:rFonts w:ascii="Times New Roman" w:hAnsi="Times New Roman" w:cs="Times New Roman"/>
          <w:sz w:val="24"/>
          <w:szCs w:val="24"/>
        </w:rPr>
        <w:t xml:space="preserve">boli dosiahnuté úspory energie vyjadrené vo forme PES vo výške </w:t>
      </w:r>
      <w:r w:rsidR="0041389B" w:rsidRPr="00AF5415">
        <w:rPr>
          <w:rFonts w:ascii="Times New Roman" w:hAnsi="Times New Roman" w:cs="Times New Roman"/>
          <w:b/>
          <w:sz w:val="24"/>
          <w:szCs w:val="24"/>
        </w:rPr>
        <w:t xml:space="preserve">17 </w:t>
      </w:r>
      <w:r w:rsidR="00F77FAA">
        <w:rPr>
          <w:rFonts w:ascii="Times New Roman" w:hAnsi="Times New Roman" w:cs="Times New Roman"/>
          <w:b/>
          <w:sz w:val="24"/>
          <w:szCs w:val="24"/>
        </w:rPr>
        <w:t xml:space="preserve">221 </w:t>
      </w:r>
      <w:r w:rsidRPr="003D35E8">
        <w:rPr>
          <w:rFonts w:ascii="Times New Roman" w:hAnsi="Times New Roman" w:cs="Times New Roman"/>
          <w:b/>
          <w:sz w:val="24"/>
          <w:szCs w:val="24"/>
        </w:rPr>
        <w:t>TJ</w:t>
      </w:r>
      <w:r w:rsidRPr="003D35E8">
        <w:rPr>
          <w:rFonts w:ascii="Times New Roman" w:hAnsi="Times New Roman" w:cs="Times New Roman"/>
          <w:sz w:val="24"/>
          <w:szCs w:val="24"/>
        </w:rPr>
        <w:t>.</w:t>
      </w:r>
    </w:p>
    <w:p w14:paraId="6E9F83B0" w14:textId="436A847D" w:rsidR="003654F7" w:rsidRDefault="003654F7" w:rsidP="00CB4F37">
      <w:pPr>
        <w:jc w:val="both"/>
        <w:rPr>
          <w:rFonts w:ascii="Times New Roman" w:hAnsi="Times New Roman" w:cs="Times New Roman"/>
          <w:sz w:val="24"/>
          <w:szCs w:val="24"/>
        </w:rPr>
      </w:pPr>
    </w:p>
    <w:p w14:paraId="686999CE" w14:textId="77777777" w:rsidR="003654F7" w:rsidRDefault="003654F7" w:rsidP="00CB4F37">
      <w:pPr>
        <w:jc w:val="both"/>
        <w:rPr>
          <w:rFonts w:ascii="Times New Roman" w:hAnsi="Times New Roman" w:cs="Times New Roman"/>
        </w:rPr>
        <w:sectPr w:rsidR="003654F7" w:rsidSect="00EE7874">
          <w:pgSz w:w="11906" w:h="16838"/>
          <w:pgMar w:top="1417" w:right="1417" w:bottom="1417" w:left="1417" w:header="708" w:footer="708" w:gutter="0"/>
          <w:pgBorders w:offsetFrom="page">
            <w:top w:val="single" w:sz="4" w:space="24" w:color="FFFFFF"/>
            <w:left w:val="single" w:sz="4" w:space="24" w:color="FFFFFF"/>
            <w:bottom w:val="single" w:sz="4" w:space="24" w:color="FFFFFF"/>
            <w:right w:val="single" w:sz="4" w:space="24" w:color="FFFFFF"/>
          </w:pgBorders>
          <w:cols w:space="708"/>
          <w:titlePg/>
          <w:docGrid w:linePitch="360"/>
        </w:sectPr>
      </w:pPr>
    </w:p>
    <w:p w14:paraId="58D3BEAC" w14:textId="7E31ADB0" w:rsidR="00CB4F37" w:rsidRPr="004E746F" w:rsidRDefault="009927E4" w:rsidP="004E746F">
      <w:pPr>
        <w:pStyle w:val="Nadpis1"/>
        <w:rPr>
          <w:rFonts w:ascii="Times New Roman" w:hAnsi="Times New Roman" w:cs="Times New Roman"/>
          <w:b/>
        </w:rPr>
      </w:pPr>
      <w:bookmarkStart w:id="30" w:name="_Toc477166331"/>
      <w:bookmarkStart w:id="31" w:name="_Toc477166416"/>
      <w:bookmarkStart w:id="32" w:name="_Toc477166498"/>
      <w:bookmarkStart w:id="33" w:name="_Toc477166610"/>
      <w:bookmarkStart w:id="34" w:name="_Toc480547225"/>
      <w:bookmarkEnd w:id="30"/>
      <w:bookmarkEnd w:id="31"/>
      <w:bookmarkEnd w:id="32"/>
      <w:bookmarkEnd w:id="33"/>
      <w:r w:rsidRPr="004E746F">
        <w:rPr>
          <w:rFonts w:ascii="Times New Roman" w:hAnsi="Times New Roman" w:cs="Times New Roman"/>
          <w:b/>
          <w:color w:val="auto"/>
        </w:rPr>
        <w:lastRenderedPageBreak/>
        <w:t>Opatrenia energetickej efektívnosti</w:t>
      </w:r>
      <w:bookmarkEnd w:id="34"/>
    </w:p>
    <w:p w14:paraId="49653399" w14:textId="77777777" w:rsidR="00E86B71" w:rsidRPr="007577DE" w:rsidRDefault="000B4A2F" w:rsidP="000B4A2F">
      <w:pPr>
        <w:jc w:val="both"/>
        <w:rPr>
          <w:rFonts w:ascii="Times New Roman" w:hAnsi="Times New Roman" w:cs="Times New Roman"/>
          <w:sz w:val="24"/>
          <w:szCs w:val="24"/>
        </w:rPr>
      </w:pPr>
      <w:r w:rsidRPr="007577DE">
        <w:rPr>
          <w:rFonts w:ascii="Times New Roman" w:hAnsi="Times New Roman" w:cs="Times New Roman"/>
          <w:sz w:val="24"/>
          <w:szCs w:val="24"/>
        </w:rPr>
        <w:t>Na plnenie cieľa SR v oblasti energetickej efektívnosti sú opatrenia členené na</w:t>
      </w:r>
      <w:r w:rsidR="00E86B71" w:rsidRPr="007577DE">
        <w:rPr>
          <w:rFonts w:ascii="Times New Roman" w:hAnsi="Times New Roman" w:cs="Times New Roman"/>
          <w:sz w:val="24"/>
          <w:szCs w:val="24"/>
        </w:rPr>
        <w:t>:</w:t>
      </w:r>
    </w:p>
    <w:p w14:paraId="4A7961E7" w14:textId="5B67385F" w:rsidR="00E86B71" w:rsidRPr="007577DE" w:rsidRDefault="000B4A2F" w:rsidP="008F19ED">
      <w:pPr>
        <w:pStyle w:val="Odsekzoznamu"/>
        <w:numPr>
          <w:ilvl w:val="0"/>
          <w:numId w:val="5"/>
        </w:numPr>
        <w:jc w:val="both"/>
        <w:rPr>
          <w:rFonts w:ascii="Times New Roman" w:hAnsi="Times New Roman" w:cs="Times New Roman"/>
          <w:sz w:val="24"/>
          <w:szCs w:val="24"/>
        </w:rPr>
      </w:pPr>
      <w:r w:rsidRPr="007577DE">
        <w:rPr>
          <w:rFonts w:ascii="Times New Roman" w:hAnsi="Times New Roman" w:cs="Times New Roman"/>
          <w:sz w:val="24"/>
          <w:szCs w:val="24"/>
        </w:rPr>
        <w:t>opatrenia na strane spotreby energie (budovy, priemysel, verejný sektor, doprava, spotrebiče), </w:t>
      </w:r>
    </w:p>
    <w:p w14:paraId="2DADB548" w14:textId="21EA8415" w:rsidR="00E86B71" w:rsidRPr="007577DE" w:rsidRDefault="00E86B71" w:rsidP="008F19ED">
      <w:pPr>
        <w:pStyle w:val="Odsekzoznamu"/>
        <w:numPr>
          <w:ilvl w:val="0"/>
          <w:numId w:val="5"/>
        </w:numPr>
        <w:jc w:val="both"/>
        <w:rPr>
          <w:rFonts w:ascii="Times New Roman" w:hAnsi="Times New Roman" w:cs="Times New Roman"/>
          <w:sz w:val="24"/>
          <w:szCs w:val="24"/>
        </w:rPr>
      </w:pPr>
      <w:r w:rsidRPr="007577DE">
        <w:rPr>
          <w:rFonts w:ascii="Times New Roman" w:hAnsi="Times New Roman" w:cs="Times New Roman"/>
          <w:sz w:val="24"/>
          <w:szCs w:val="24"/>
        </w:rPr>
        <w:t xml:space="preserve">opatrenia </w:t>
      </w:r>
      <w:r w:rsidR="000B4A2F" w:rsidRPr="007577DE">
        <w:rPr>
          <w:rFonts w:ascii="Times New Roman" w:hAnsi="Times New Roman" w:cs="Times New Roman"/>
          <w:sz w:val="24"/>
          <w:szCs w:val="24"/>
        </w:rPr>
        <w:t>na strane premeny, prenosu a distribúcie energie</w:t>
      </w:r>
      <w:r w:rsidRPr="007577DE">
        <w:rPr>
          <w:rFonts w:ascii="Times New Roman" w:hAnsi="Times New Roman" w:cs="Times New Roman"/>
          <w:sz w:val="24"/>
          <w:szCs w:val="24"/>
        </w:rPr>
        <w:t>,</w:t>
      </w:r>
    </w:p>
    <w:p w14:paraId="7C10673D" w14:textId="474C5622" w:rsidR="00E86B71" w:rsidRDefault="000B4A2F" w:rsidP="008F19ED">
      <w:pPr>
        <w:pStyle w:val="Odsekzoznamu"/>
        <w:numPr>
          <w:ilvl w:val="0"/>
          <w:numId w:val="5"/>
        </w:numPr>
        <w:jc w:val="both"/>
        <w:rPr>
          <w:rFonts w:ascii="Times New Roman" w:hAnsi="Times New Roman" w:cs="Times New Roman"/>
          <w:sz w:val="24"/>
          <w:szCs w:val="24"/>
        </w:rPr>
      </w:pPr>
      <w:r w:rsidRPr="007577DE">
        <w:rPr>
          <w:rFonts w:ascii="Times New Roman" w:hAnsi="Times New Roman" w:cs="Times New Roman"/>
          <w:sz w:val="24"/>
          <w:szCs w:val="24"/>
        </w:rPr>
        <w:t xml:space="preserve">horizontálne opatrenia. </w:t>
      </w:r>
    </w:p>
    <w:p w14:paraId="56912D7E" w14:textId="77777777" w:rsidR="00115A69" w:rsidRPr="005F7B58" w:rsidRDefault="00115A69" w:rsidP="005F7B58">
      <w:pPr>
        <w:jc w:val="both"/>
        <w:rPr>
          <w:rFonts w:ascii="Times New Roman" w:hAnsi="Times New Roman" w:cs="Times New Roman"/>
          <w:sz w:val="24"/>
          <w:szCs w:val="24"/>
        </w:rPr>
      </w:pPr>
    </w:p>
    <w:p w14:paraId="70B70E46" w14:textId="22BF7953" w:rsidR="00045F42" w:rsidRPr="005F7B58" w:rsidRDefault="00045F42" w:rsidP="005F7B58">
      <w:pPr>
        <w:pStyle w:val="Nadpis2"/>
        <w:rPr>
          <w:rFonts w:ascii="Times New Roman" w:hAnsi="Times New Roman" w:cs="Times New Roman"/>
        </w:rPr>
      </w:pPr>
      <w:bookmarkStart w:id="35" w:name="_Toc480547226"/>
      <w:r w:rsidRPr="005F7B58">
        <w:rPr>
          <w:rFonts w:ascii="Times New Roman" w:hAnsi="Times New Roman" w:cs="Times New Roman"/>
          <w:color w:val="auto"/>
        </w:rPr>
        <w:t>Metodika vyhodnocovania a plánovania opatrení energetickej efektívnosti</w:t>
      </w:r>
      <w:bookmarkEnd w:id="35"/>
    </w:p>
    <w:p w14:paraId="0468E5E5" w14:textId="77777777" w:rsidR="00380B2C" w:rsidRDefault="00380B2C" w:rsidP="005F7B58">
      <w:pPr>
        <w:jc w:val="both"/>
        <w:rPr>
          <w:rFonts w:ascii="Times New Roman" w:hAnsi="Times New Roman" w:cs="Times New Roman"/>
          <w:sz w:val="24"/>
          <w:szCs w:val="24"/>
        </w:rPr>
      </w:pPr>
    </w:p>
    <w:p w14:paraId="63FC360D" w14:textId="39062F15" w:rsidR="007C72EA" w:rsidRPr="005F7B58" w:rsidRDefault="007C72EA" w:rsidP="005F7B58">
      <w:pPr>
        <w:jc w:val="both"/>
        <w:rPr>
          <w:rFonts w:ascii="Times New Roman" w:hAnsi="Times New Roman" w:cs="Times New Roman"/>
          <w:sz w:val="24"/>
          <w:szCs w:val="24"/>
        </w:rPr>
      </w:pPr>
      <w:r w:rsidRPr="005F7B58">
        <w:rPr>
          <w:rFonts w:ascii="Times New Roman" w:hAnsi="Times New Roman" w:cs="Times New Roman"/>
          <w:sz w:val="24"/>
          <w:szCs w:val="24"/>
        </w:rPr>
        <w:t xml:space="preserve">Vyhodnotenie opatrení energetickej efektívnosti sa realizovalo na základe zberu údajov od relevantných rezortov a organizácií, v pôsobnosti ktorých sú podporné mechanizmy s vplyvom na úsporu energie. Relevantné rezorty sú zoskupené v pracovnej skupine pozostávajúcej z členov Stálej medzirezortnej komisie pre prípravu akčných plánov energetickej efektívnosti a osôb </w:t>
      </w:r>
      <w:r w:rsidRPr="00904095">
        <w:rPr>
          <w:rFonts w:ascii="Times New Roman" w:hAnsi="Times New Roman" w:cs="Times New Roman"/>
          <w:sz w:val="24"/>
          <w:szCs w:val="24"/>
        </w:rPr>
        <w:t>zodpovedných</w:t>
      </w:r>
      <w:r>
        <w:rPr>
          <w:rFonts w:ascii="Times New Roman" w:hAnsi="Times New Roman" w:cs="Times New Roman"/>
          <w:sz w:val="24"/>
          <w:szCs w:val="24"/>
        </w:rPr>
        <w:t xml:space="preserve"> za poskytovanie údajov prevádzkovateľovi monitorovacieho systému </w:t>
      </w:r>
      <w:r w:rsidRPr="001D1887">
        <w:rPr>
          <w:rFonts w:ascii="Times New Roman" w:hAnsi="Times New Roman" w:cs="Times New Roman"/>
          <w:sz w:val="24"/>
          <w:szCs w:val="24"/>
        </w:rPr>
        <w:t>energetickej efektívnosti</w:t>
      </w:r>
      <w:r>
        <w:rPr>
          <w:rFonts w:ascii="Times New Roman" w:hAnsi="Times New Roman" w:cs="Times New Roman"/>
          <w:sz w:val="24"/>
          <w:szCs w:val="24"/>
        </w:rPr>
        <w:t xml:space="preserve"> </w:t>
      </w:r>
      <w:r w:rsidRPr="005F7B58">
        <w:rPr>
          <w:rFonts w:ascii="Times New Roman" w:hAnsi="Times New Roman" w:cs="Times New Roman"/>
          <w:sz w:val="24"/>
          <w:szCs w:val="24"/>
        </w:rPr>
        <w:t xml:space="preserve">nominovaných na základe úlohy č. B. 3 vyplývajúcej z uznesenia vlády SR č. 350/2014. </w:t>
      </w:r>
      <w:r w:rsidRPr="007577DE">
        <w:rPr>
          <w:rFonts w:ascii="Times New Roman" w:hAnsi="Times New Roman" w:cs="Times New Roman"/>
          <w:sz w:val="24"/>
          <w:szCs w:val="24"/>
        </w:rPr>
        <w:t>Vyhodnotenie plnenia opatrení za roky 2014-2016 je uvedené v prílohe č. 1.</w:t>
      </w:r>
      <w:r w:rsidR="00AE23FE">
        <w:rPr>
          <w:rFonts w:ascii="Times New Roman" w:hAnsi="Times New Roman" w:cs="Times New Roman"/>
          <w:sz w:val="24"/>
          <w:szCs w:val="24"/>
        </w:rPr>
        <w:t xml:space="preserve"> Metodika výpočtu úspor energie pre jednotlivé opatrenia vrátane použitých predpokladov a vzorcov je uvedená v tzv. Metodických tabuľkách (pozri prílohu č. 5).</w:t>
      </w:r>
    </w:p>
    <w:p w14:paraId="5DB28815" w14:textId="5614CC50" w:rsidR="007C72EA" w:rsidRPr="005F7B58" w:rsidRDefault="007C72EA" w:rsidP="005F7B58">
      <w:pPr>
        <w:jc w:val="both"/>
        <w:rPr>
          <w:rFonts w:ascii="Times New Roman" w:hAnsi="Times New Roman" w:cs="Times New Roman"/>
          <w:sz w:val="24"/>
          <w:szCs w:val="24"/>
        </w:rPr>
      </w:pPr>
      <w:r w:rsidRPr="005F7B58">
        <w:rPr>
          <w:rFonts w:ascii="Times New Roman" w:hAnsi="Times New Roman" w:cs="Times New Roman"/>
          <w:sz w:val="24"/>
          <w:szCs w:val="24"/>
        </w:rPr>
        <w:t xml:space="preserve">Plánovanie opatrení v období </w:t>
      </w:r>
      <w:r>
        <w:rPr>
          <w:rFonts w:ascii="Times New Roman" w:hAnsi="Times New Roman" w:cs="Times New Roman"/>
          <w:sz w:val="24"/>
          <w:szCs w:val="24"/>
        </w:rPr>
        <w:t xml:space="preserve">rokov 2017-2020 prebiehalo </w:t>
      </w:r>
      <w:r w:rsidR="00DD24DA">
        <w:rPr>
          <w:rFonts w:ascii="Times New Roman" w:hAnsi="Times New Roman" w:cs="Times New Roman"/>
          <w:sz w:val="24"/>
          <w:szCs w:val="24"/>
        </w:rPr>
        <w:t>taktiež</w:t>
      </w:r>
      <w:r>
        <w:rPr>
          <w:rFonts w:ascii="Times New Roman" w:hAnsi="Times New Roman" w:cs="Times New Roman"/>
          <w:sz w:val="24"/>
          <w:szCs w:val="24"/>
        </w:rPr>
        <w:t xml:space="preserve"> na </w:t>
      </w:r>
      <w:r w:rsidR="00045F42" w:rsidRPr="001D1887">
        <w:rPr>
          <w:rFonts w:ascii="Times New Roman" w:hAnsi="Times New Roman" w:cs="Times New Roman"/>
          <w:sz w:val="24"/>
          <w:szCs w:val="24"/>
        </w:rPr>
        <w:t xml:space="preserve">základe </w:t>
      </w:r>
      <w:r>
        <w:rPr>
          <w:rFonts w:ascii="Times New Roman" w:hAnsi="Times New Roman" w:cs="Times New Roman"/>
          <w:sz w:val="24"/>
          <w:szCs w:val="24"/>
        </w:rPr>
        <w:t xml:space="preserve">zberu údajov </w:t>
      </w:r>
      <w:r w:rsidR="00115A69">
        <w:rPr>
          <w:rFonts w:ascii="Times New Roman" w:hAnsi="Times New Roman" w:cs="Times New Roman"/>
          <w:sz w:val="24"/>
          <w:szCs w:val="24"/>
        </w:rPr>
        <w:t>ohľadom úspor energie</w:t>
      </w:r>
      <w:r w:rsidR="00B30FC6">
        <w:rPr>
          <w:rStyle w:val="Odkaznapoznmkupodiarou"/>
          <w:rFonts w:ascii="Times New Roman" w:hAnsi="Times New Roman" w:cs="Times New Roman"/>
          <w:sz w:val="24"/>
          <w:szCs w:val="24"/>
        </w:rPr>
        <w:footnoteReference w:id="18"/>
      </w:r>
      <w:r w:rsidR="00115A69">
        <w:rPr>
          <w:rFonts w:ascii="Times New Roman" w:hAnsi="Times New Roman" w:cs="Times New Roman"/>
          <w:sz w:val="24"/>
          <w:szCs w:val="24"/>
        </w:rPr>
        <w:t xml:space="preserve"> a plánovaných finančných zdrojov</w:t>
      </w:r>
      <w:r w:rsidR="00DD24DA" w:rsidRPr="00DD24DA">
        <w:rPr>
          <w:rFonts w:ascii="Times New Roman" w:hAnsi="Times New Roman" w:cs="Times New Roman"/>
          <w:sz w:val="24"/>
          <w:szCs w:val="24"/>
        </w:rPr>
        <w:t xml:space="preserve"> </w:t>
      </w:r>
      <w:r w:rsidR="00DD24DA">
        <w:rPr>
          <w:rFonts w:ascii="Times New Roman" w:hAnsi="Times New Roman" w:cs="Times New Roman"/>
          <w:sz w:val="24"/>
          <w:szCs w:val="24"/>
        </w:rPr>
        <w:t>v rámci pracovnej skupiny</w:t>
      </w:r>
      <w:r>
        <w:rPr>
          <w:rFonts w:ascii="Times New Roman" w:hAnsi="Times New Roman" w:cs="Times New Roman"/>
          <w:sz w:val="24"/>
          <w:szCs w:val="24"/>
        </w:rPr>
        <w:t xml:space="preserve">. V prípade, že relevantné údaje o plánovaných úsporách energie neboli k dispozícii, hodnoty pre úspory energie sa stanovili na základe predpokladaného čerpania relevantných finančných mechanizmov, pričom sa použila priemerná investičná náročnosť (Eur/MWh) v obdobných opatreniach v predchádzajúcom období rokov 2014-2016. Výsledné hodnoty podliehali krížovej kontrole v porovnaní s návrhom rozpočtu verejnej správy v rámci jednotlivých rozpočtových kapitol. </w:t>
      </w:r>
      <w:r w:rsidR="00115A69" w:rsidRPr="007577DE">
        <w:rPr>
          <w:rFonts w:ascii="Times New Roman" w:hAnsi="Times New Roman" w:cs="Times New Roman"/>
          <w:sz w:val="24"/>
          <w:szCs w:val="24"/>
        </w:rPr>
        <w:t xml:space="preserve">Pri  plánovaní </w:t>
      </w:r>
      <w:r w:rsidR="00115A69">
        <w:rPr>
          <w:rFonts w:ascii="Times New Roman" w:hAnsi="Times New Roman" w:cs="Times New Roman"/>
          <w:sz w:val="24"/>
          <w:szCs w:val="24"/>
        </w:rPr>
        <w:t>opatrení energetickej efektívnosti</w:t>
      </w:r>
      <w:r w:rsidR="00115A69" w:rsidRPr="007577DE">
        <w:rPr>
          <w:rFonts w:ascii="Times New Roman" w:hAnsi="Times New Roman" w:cs="Times New Roman"/>
          <w:sz w:val="24"/>
          <w:szCs w:val="24"/>
        </w:rPr>
        <w:t xml:space="preserve"> sa </w:t>
      </w:r>
      <w:r w:rsidR="00115A69">
        <w:rPr>
          <w:rFonts w:ascii="Times New Roman" w:hAnsi="Times New Roman" w:cs="Times New Roman"/>
          <w:sz w:val="24"/>
          <w:szCs w:val="24"/>
        </w:rPr>
        <w:t>predpokladá riadne čerpanie podporných mechanizmov</w:t>
      </w:r>
      <w:r w:rsidR="00115A69" w:rsidRPr="007577DE">
        <w:rPr>
          <w:rFonts w:ascii="Times New Roman" w:hAnsi="Times New Roman" w:cs="Times New Roman"/>
          <w:sz w:val="24"/>
          <w:szCs w:val="24"/>
        </w:rPr>
        <w:t>.</w:t>
      </w:r>
      <w:r w:rsidR="00115A69">
        <w:rPr>
          <w:rFonts w:ascii="Times New Roman" w:hAnsi="Times New Roman" w:cs="Times New Roman"/>
          <w:sz w:val="24"/>
          <w:szCs w:val="24"/>
        </w:rPr>
        <w:t xml:space="preserve"> </w:t>
      </w:r>
      <w:r w:rsidRPr="007577DE">
        <w:rPr>
          <w:rFonts w:ascii="Times New Roman" w:hAnsi="Times New Roman" w:cs="Times New Roman"/>
          <w:sz w:val="24"/>
          <w:szCs w:val="24"/>
        </w:rPr>
        <w:t>Plán</w:t>
      </w:r>
      <w:r>
        <w:rPr>
          <w:rFonts w:ascii="Times New Roman" w:hAnsi="Times New Roman" w:cs="Times New Roman"/>
          <w:sz w:val="24"/>
          <w:szCs w:val="24"/>
        </w:rPr>
        <w:t>ované</w:t>
      </w:r>
      <w:r w:rsidRPr="007577DE">
        <w:rPr>
          <w:rFonts w:ascii="Times New Roman" w:hAnsi="Times New Roman" w:cs="Times New Roman"/>
          <w:sz w:val="24"/>
          <w:szCs w:val="24"/>
        </w:rPr>
        <w:t xml:space="preserve"> opatren</w:t>
      </w:r>
      <w:r>
        <w:rPr>
          <w:rFonts w:ascii="Times New Roman" w:hAnsi="Times New Roman" w:cs="Times New Roman"/>
          <w:sz w:val="24"/>
          <w:szCs w:val="24"/>
        </w:rPr>
        <w:t>ia</w:t>
      </w:r>
      <w:r w:rsidRPr="007577DE">
        <w:rPr>
          <w:rFonts w:ascii="Times New Roman" w:hAnsi="Times New Roman" w:cs="Times New Roman"/>
          <w:sz w:val="24"/>
          <w:szCs w:val="24"/>
        </w:rPr>
        <w:t xml:space="preserve"> na roky 2017-2019 s výhľadom do roku 2020 </w:t>
      </w:r>
      <w:r>
        <w:rPr>
          <w:rFonts w:ascii="Times New Roman" w:hAnsi="Times New Roman" w:cs="Times New Roman"/>
          <w:sz w:val="24"/>
          <w:szCs w:val="24"/>
        </w:rPr>
        <w:t>sú</w:t>
      </w:r>
      <w:r w:rsidRPr="007577DE">
        <w:rPr>
          <w:rFonts w:ascii="Times New Roman" w:hAnsi="Times New Roman" w:cs="Times New Roman"/>
          <w:sz w:val="24"/>
          <w:szCs w:val="24"/>
        </w:rPr>
        <w:t xml:space="preserve"> </w:t>
      </w:r>
      <w:r>
        <w:rPr>
          <w:rFonts w:ascii="Times New Roman" w:hAnsi="Times New Roman" w:cs="Times New Roman"/>
          <w:sz w:val="24"/>
          <w:szCs w:val="24"/>
        </w:rPr>
        <w:t>uvedené v prílohe</w:t>
      </w:r>
      <w:r w:rsidRPr="007577DE">
        <w:rPr>
          <w:rFonts w:ascii="Times New Roman" w:hAnsi="Times New Roman" w:cs="Times New Roman"/>
          <w:sz w:val="24"/>
          <w:szCs w:val="24"/>
        </w:rPr>
        <w:t xml:space="preserve"> č. 2.</w:t>
      </w:r>
    </w:p>
    <w:p w14:paraId="0B9129D3" w14:textId="29452FE8" w:rsidR="00045F42" w:rsidRDefault="00AE23FE" w:rsidP="00AE23FE">
      <w:pPr>
        <w:jc w:val="both"/>
        <w:rPr>
          <w:rFonts w:ascii="Times New Roman" w:hAnsi="Times New Roman" w:cs="Times New Roman"/>
          <w:sz w:val="24"/>
          <w:szCs w:val="24"/>
        </w:rPr>
      </w:pPr>
      <w:r>
        <w:rPr>
          <w:rFonts w:ascii="Times New Roman" w:hAnsi="Times New Roman" w:cs="Times New Roman"/>
          <w:sz w:val="24"/>
          <w:szCs w:val="24"/>
        </w:rPr>
        <w:t xml:space="preserve">Pri vyhodnocovaní plnenia jednotlivých cieľov úspor energie sa zohľadňujú špecifické požiadavky podľa smernice 2012/27/EÚ. V prípade vyhodnocovania cieľa úspor energie podľa smernice 2006/92/ES sa započítava celková úspora energie, avšak pri vyhodnocovaní cieľa úspor energie u konečného spotrebiteľa podľa smernice 2012/27/EÚ možno započítať iba úspory nad rámec požiadaviek stanovených európskou legislatívou. Pri vyhodnocovaní priebežného plnenia celkového kumulatívneho cieľa úspor energie u konečného spotrebiteľa podľa smernice 2012/27/EÚ </w:t>
      </w:r>
      <w:r w:rsidR="00DD24DA">
        <w:rPr>
          <w:rFonts w:ascii="Times New Roman" w:hAnsi="Times New Roman" w:cs="Times New Roman"/>
          <w:sz w:val="24"/>
          <w:szCs w:val="24"/>
        </w:rPr>
        <w:t>sa zohľadňujú</w:t>
      </w:r>
      <w:r>
        <w:rPr>
          <w:rFonts w:ascii="Times New Roman" w:hAnsi="Times New Roman" w:cs="Times New Roman"/>
          <w:sz w:val="24"/>
          <w:szCs w:val="24"/>
        </w:rPr>
        <w:t xml:space="preserve"> životnosti opatrení, ktoré boli v podmienkach SR stanovené vo </w:t>
      </w:r>
      <w:r w:rsidRPr="00AE23FE">
        <w:rPr>
          <w:rFonts w:ascii="Times New Roman" w:hAnsi="Times New Roman" w:cs="Times New Roman"/>
          <w:sz w:val="24"/>
          <w:szCs w:val="24"/>
        </w:rPr>
        <w:t>vyhláške MH SR č. 327/2015 Z. z. o výpočte a plnení cieľov energetickej efektívnosti.</w:t>
      </w:r>
    </w:p>
    <w:p w14:paraId="5FDF1C1F" w14:textId="6808E422" w:rsidR="0063397C" w:rsidRPr="007577DE" w:rsidRDefault="006B19C4">
      <w:pPr>
        <w:jc w:val="both"/>
        <w:rPr>
          <w:rFonts w:ascii="Times New Roman" w:hAnsi="Times New Roman" w:cs="Times New Roman"/>
          <w:sz w:val="24"/>
          <w:szCs w:val="24"/>
        </w:rPr>
      </w:pPr>
      <w:r w:rsidRPr="007577DE">
        <w:rPr>
          <w:rFonts w:ascii="Times New Roman" w:hAnsi="Times New Roman" w:cs="Times New Roman"/>
          <w:sz w:val="24"/>
          <w:szCs w:val="24"/>
        </w:rPr>
        <w:t>Úspor</w:t>
      </w:r>
      <w:r>
        <w:rPr>
          <w:rFonts w:ascii="Times New Roman" w:hAnsi="Times New Roman" w:cs="Times New Roman"/>
          <w:sz w:val="24"/>
          <w:szCs w:val="24"/>
        </w:rPr>
        <w:t>y</w:t>
      </w:r>
      <w:r w:rsidRPr="007577DE">
        <w:rPr>
          <w:rFonts w:ascii="Times New Roman" w:hAnsi="Times New Roman" w:cs="Times New Roman"/>
          <w:sz w:val="24"/>
          <w:szCs w:val="24"/>
        </w:rPr>
        <w:t xml:space="preserve"> energie </w:t>
      </w:r>
      <w:r>
        <w:rPr>
          <w:rFonts w:ascii="Times New Roman" w:hAnsi="Times New Roman" w:cs="Times New Roman"/>
          <w:sz w:val="24"/>
          <w:szCs w:val="24"/>
        </w:rPr>
        <w:t xml:space="preserve">ako aj finančné zdroje </w:t>
      </w:r>
      <w:r w:rsidRPr="007577DE">
        <w:rPr>
          <w:rFonts w:ascii="Times New Roman" w:hAnsi="Times New Roman" w:cs="Times New Roman"/>
          <w:sz w:val="24"/>
          <w:szCs w:val="24"/>
        </w:rPr>
        <w:t>sa započítava</w:t>
      </w:r>
      <w:r>
        <w:rPr>
          <w:rFonts w:ascii="Times New Roman" w:hAnsi="Times New Roman" w:cs="Times New Roman"/>
          <w:sz w:val="24"/>
          <w:szCs w:val="24"/>
        </w:rPr>
        <w:t>jú</w:t>
      </w:r>
      <w:r w:rsidRPr="007577DE">
        <w:rPr>
          <w:rFonts w:ascii="Times New Roman" w:hAnsi="Times New Roman" w:cs="Times New Roman"/>
          <w:sz w:val="24"/>
          <w:szCs w:val="24"/>
        </w:rPr>
        <w:t xml:space="preserve"> v roku </w:t>
      </w:r>
      <w:r>
        <w:rPr>
          <w:rFonts w:ascii="Times New Roman" w:hAnsi="Times New Roman" w:cs="Times New Roman"/>
          <w:sz w:val="24"/>
          <w:szCs w:val="24"/>
        </w:rPr>
        <w:t xml:space="preserve">fyzického </w:t>
      </w:r>
      <w:r w:rsidRPr="007577DE">
        <w:rPr>
          <w:rFonts w:ascii="Times New Roman" w:hAnsi="Times New Roman" w:cs="Times New Roman"/>
          <w:sz w:val="24"/>
          <w:szCs w:val="24"/>
        </w:rPr>
        <w:t xml:space="preserve">ukončenia realizácie projektu. </w:t>
      </w:r>
      <w:r>
        <w:rPr>
          <w:rFonts w:ascii="Times New Roman" w:hAnsi="Times New Roman" w:cs="Times New Roman"/>
          <w:sz w:val="24"/>
          <w:szCs w:val="24"/>
        </w:rPr>
        <w:t xml:space="preserve">Nakoľko termín odovzdania akčných plánov, ako aj ročných správ, </w:t>
      </w:r>
      <w:r w:rsidR="00DD24DA">
        <w:rPr>
          <w:rFonts w:ascii="Times New Roman" w:hAnsi="Times New Roman" w:cs="Times New Roman"/>
          <w:sz w:val="24"/>
          <w:szCs w:val="24"/>
        </w:rPr>
        <w:t xml:space="preserve">je </w:t>
      </w:r>
      <w:r>
        <w:rPr>
          <w:rFonts w:ascii="Times New Roman" w:hAnsi="Times New Roman" w:cs="Times New Roman"/>
          <w:sz w:val="24"/>
          <w:szCs w:val="24"/>
        </w:rPr>
        <w:t xml:space="preserve">stanovený na </w:t>
      </w:r>
      <w:r w:rsidR="00DD24DA">
        <w:rPr>
          <w:rFonts w:ascii="Times New Roman" w:hAnsi="Times New Roman" w:cs="Times New Roman"/>
          <w:sz w:val="24"/>
          <w:szCs w:val="24"/>
        </w:rPr>
        <w:lastRenderedPageBreak/>
        <w:t>30. apríla</w:t>
      </w:r>
      <w:r>
        <w:rPr>
          <w:rFonts w:ascii="Times New Roman" w:hAnsi="Times New Roman" w:cs="Times New Roman"/>
          <w:sz w:val="24"/>
          <w:szCs w:val="24"/>
        </w:rPr>
        <w:t>, vyhodnotenie opatrení realizovaných v</w:t>
      </w:r>
      <w:r w:rsidR="00DD24DA">
        <w:rPr>
          <w:rFonts w:ascii="Times New Roman" w:hAnsi="Times New Roman" w:cs="Times New Roman"/>
          <w:sz w:val="24"/>
          <w:szCs w:val="24"/>
        </w:rPr>
        <w:t> </w:t>
      </w:r>
      <w:r>
        <w:rPr>
          <w:rFonts w:ascii="Times New Roman" w:hAnsi="Times New Roman" w:cs="Times New Roman"/>
          <w:sz w:val="24"/>
          <w:szCs w:val="24"/>
        </w:rPr>
        <w:t>predchádzajú</w:t>
      </w:r>
      <w:r w:rsidR="00DD24DA">
        <w:rPr>
          <w:rFonts w:ascii="Times New Roman" w:hAnsi="Times New Roman" w:cs="Times New Roman"/>
          <w:sz w:val="24"/>
          <w:szCs w:val="24"/>
        </w:rPr>
        <w:t>cich rokoch</w:t>
      </w:r>
      <w:r>
        <w:rPr>
          <w:rFonts w:ascii="Times New Roman" w:hAnsi="Times New Roman" w:cs="Times New Roman"/>
          <w:sz w:val="24"/>
          <w:szCs w:val="24"/>
        </w:rPr>
        <w:t xml:space="preserve"> (t-1</w:t>
      </w:r>
      <w:r w:rsidR="00DD24DA">
        <w:rPr>
          <w:rFonts w:ascii="Times New Roman" w:hAnsi="Times New Roman" w:cs="Times New Roman"/>
          <w:sz w:val="24"/>
          <w:szCs w:val="24"/>
        </w:rPr>
        <w:t xml:space="preserve"> alebo t-2</w:t>
      </w:r>
      <w:r>
        <w:rPr>
          <w:rFonts w:ascii="Times New Roman" w:hAnsi="Times New Roman" w:cs="Times New Roman"/>
          <w:sz w:val="24"/>
          <w:szCs w:val="24"/>
        </w:rPr>
        <w:t xml:space="preserve">) je k danému termínu iba čiastočné. Z tohto dôvodu sa v  nasledujúcom roku (t+1) vykonáva aktualizácia týchto údajov (pozri graf č. 5). </w:t>
      </w:r>
    </w:p>
    <w:p w14:paraId="6C7AA677" w14:textId="7B9ABD8D" w:rsidR="0063397C" w:rsidRPr="009F2998" w:rsidRDefault="00052505" w:rsidP="000578FE">
      <w:pPr>
        <w:rPr>
          <w:rFonts w:ascii="Times New Roman" w:hAnsi="Times New Roman" w:cs="Times New Roman"/>
        </w:rPr>
      </w:pPr>
      <w:r w:rsidRPr="00052505">
        <w:t xml:space="preserve"> </w:t>
      </w:r>
      <w:r w:rsidR="00E17394" w:rsidRPr="000578FE">
        <w:rPr>
          <w:rFonts w:ascii="Times New Roman" w:hAnsi="Times New Roman" w:cs="Times New Roman"/>
          <w:sz w:val="24"/>
          <w:szCs w:val="24"/>
        </w:rPr>
        <w:t xml:space="preserve">Graf č. </w:t>
      </w:r>
      <w:r w:rsidR="00AE42A2">
        <w:rPr>
          <w:rFonts w:ascii="Times New Roman" w:hAnsi="Times New Roman" w:cs="Times New Roman"/>
          <w:sz w:val="24"/>
          <w:szCs w:val="24"/>
        </w:rPr>
        <w:t>5</w:t>
      </w:r>
      <w:r w:rsidR="00E17394" w:rsidRPr="000578FE">
        <w:rPr>
          <w:rFonts w:ascii="Times New Roman" w:hAnsi="Times New Roman" w:cs="Times New Roman"/>
          <w:sz w:val="24"/>
          <w:szCs w:val="24"/>
        </w:rPr>
        <w:t xml:space="preserve">: </w:t>
      </w:r>
      <w:r w:rsidR="006B19C4">
        <w:rPr>
          <w:rFonts w:ascii="Times New Roman" w:hAnsi="Times New Roman" w:cs="Times New Roman"/>
          <w:sz w:val="24"/>
          <w:szCs w:val="24"/>
        </w:rPr>
        <w:t xml:space="preserve">Vyhodnocovanie </w:t>
      </w:r>
      <w:r w:rsidR="00115A69">
        <w:rPr>
          <w:rFonts w:ascii="Times New Roman" w:hAnsi="Times New Roman" w:cs="Times New Roman"/>
          <w:sz w:val="24"/>
          <w:szCs w:val="24"/>
        </w:rPr>
        <w:t>opatrení energetickej efektívnosti a ich aktualizácia</w:t>
      </w:r>
      <w:r>
        <w:rPr>
          <w:noProof/>
          <w:lang w:eastAsia="sk-SK"/>
        </w:rPr>
        <w:drawing>
          <wp:inline distT="0" distB="0" distL="0" distR="0" wp14:anchorId="28F91F95" wp14:editId="6AC4A9E0">
            <wp:extent cx="5760720" cy="2551552"/>
            <wp:effectExtent l="0" t="0" r="0" b="1270"/>
            <wp:docPr id="5" name="Obrázok 5" descr="C:\Users\stibrany\AppData\Local\Microsoft\Windows\Temporary Internet Files\Content.Word\obr1_up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ibrany\AppData\Local\Microsoft\Windows\Temporary Internet Files\Content.Word\obr1_upr.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2551552"/>
                    </a:xfrm>
                    <a:prstGeom prst="rect">
                      <a:avLst/>
                    </a:prstGeom>
                    <a:noFill/>
                    <a:ln>
                      <a:noFill/>
                    </a:ln>
                  </pic:spPr>
                </pic:pic>
              </a:graphicData>
            </a:graphic>
          </wp:inline>
        </w:drawing>
      </w:r>
    </w:p>
    <w:p w14:paraId="5A579700" w14:textId="68E43055" w:rsidR="00115A69" w:rsidRPr="007577DE" w:rsidRDefault="00DD24DA" w:rsidP="00115A69">
      <w:pPr>
        <w:jc w:val="both"/>
        <w:rPr>
          <w:rFonts w:ascii="Times New Roman" w:hAnsi="Times New Roman" w:cs="Times New Roman"/>
          <w:sz w:val="24"/>
          <w:szCs w:val="24"/>
        </w:rPr>
      </w:pPr>
      <w:r>
        <w:rPr>
          <w:rFonts w:ascii="Times New Roman" w:hAnsi="Times New Roman" w:cs="Times New Roman"/>
          <w:sz w:val="24"/>
          <w:szCs w:val="24"/>
        </w:rPr>
        <w:t>To znamená, že</w:t>
      </w:r>
      <w:r w:rsidR="00115A69">
        <w:rPr>
          <w:rFonts w:ascii="Times New Roman" w:hAnsi="Times New Roman" w:cs="Times New Roman"/>
          <w:sz w:val="24"/>
          <w:szCs w:val="24"/>
        </w:rPr>
        <w:t xml:space="preserve"> údaje o úsporách dosiahnutých v roku 2016 môžu byť dodatočne aktualizované v</w:t>
      </w:r>
      <w:r>
        <w:rPr>
          <w:rFonts w:ascii="Times New Roman" w:hAnsi="Times New Roman" w:cs="Times New Roman"/>
          <w:sz w:val="24"/>
          <w:szCs w:val="24"/>
        </w:rPr>
        <w:t xml:space="preserve"> nasledujúcich ročných správach</w:t>
      </w:r>
      <w:r w:rsidR="00115A69">
        <w:rPr>
          <w:rFonts w:ascii="Times New Roman" w:hAnsi="Times New Roman" w:cs="Times New Roman"/>
          <w:sz w:val="24"/>
          <w:szCs w:val="24"/>
        </w:rPr>
        <w:t xml:space="preserve"> za rok 2017, </w:t>
      </w:r>
      <w:r>
        <w:rPr>
          <w:rFonts w:ascii="Times New Roman" w:hAnsi="Times New Roman" w:cs="Times New Roman"/>
          <w:sz w:val="24"/>
          <w:szCs w:val="24"/>
        </w:rPr>
        <w:t>resp. za rok 2018</w:t>
      </w:r>
      <w:r w:rsidR="00115A69">
        <w:rPr>
          <w:rFonts w:ascii="Times New Roman" w:hAnsi="Times New Roman" w:cs="Times New Roman"/>
          <w:sz w:val="24"/>
          <w:szCs w:val="24"/>
        </w:rPr>
        <w:t>, a to po získaní doplňujúcich údajov, ktoré v čase vypracovania dokumentu neboli k dispozícii.</w:t>
      </w:r>
    </w:p>
    <w:p w14:paraId="631621DF" w14:textId="151F1FF9" w:rsidR="000E078E" w:rsidRDefault="000E078E">
      <w:pPr>
        <w:rPr>
          <w:rFonts w:ascii="Times New Roman" w:hAnsi="Times New Roman" w:cs="Times New Roman"/>
          <w:sz w:val="24"/>
          <w:szCs w:val="24"/>
        </w:rPr>
      </w:pPr>
    </w:p>
    <w:p w14:paraId="311543E6" w14:textId="42D20935" w:rsidR="00952652" w:rsidRPr="00AF5415" w:rsidRDefault="001978DE">
      <w:pPr>
        <w:pStyle w:val="Nadpis2"/>
        <w:rPr>
          <w:rFonts w:ascii="Times New Roman" w:hAnsi="Times New Roman" w:cs="Times New Roman"/>
          <w:color w:val="auto"/>
        </w:rPr>
      </w:pPr>
      <w:bookmarkStart w:id="36" w:name="_Toc477166333"/>
      <w:bookmarkStart w:id="37" w:name="_Toc477166418"/>
      <w:bookmarkStart w:id="38" w:name="_Toc477166500"/>
      <w:bookmarkStart w:id="39" w:name="_Toc477166612"/>
      <w:bookmarkStart w:id="40" w:name="_Toc477166334"/>
      <w:bookmarkStart w:id="41" w:name="_Toc477166419"/>
      <w:bookmarkStart w:id="42" w:name="_Toc477166501"/>
      <w:bookmarkStart w:id="43" w:name="_Toc477166613"/>
      <w:bookmarkStart w:id="44" w:name="_Toc480547227"/>
      <w:bookmarkEnd w:id="36"/>
      <w:bookmarkEnd w:id="37"/>
      <w:bookmarkEnd w:id="38"/>
      <w:bookmarkEnd w:id="39"/>
      <w:bookmarkEnd w:id="40"/>
      <w:bookmarkEnd w:id="41"/>
      <w:bookmarkEnd w:id="42"/>
      <w:bookmarkEnd w:id="43"/>
      <w:r w:rsidRPr="00AF5415">
        <w:rPr>
          <w:rFonts w:ascii="Times New Roman" w:hAnsi="Times New Roman" w:cs="Times New Roman"/>
          <w:color w:val="auto"/>
        </w:rPr>
        <w:t>Opatrenia na strane spotreby energie v rokoch 2014 – 2016</w:t>
      </w:r>
      <w:bookmarkStart w:id="45" w:name="_Toc473638111"/>
      <w:bookmarkEnd w:id="44"/>
      <w:bookmarkEnd w:id="45"/>
    </w:p>
    <w:p w14:paraId="2BC9D14F" w14:textId="77777777" w:rsidR="001978DE" w:rsidRPr="004E746F" w:rsidRDefault="001978DE" w:rsidP="001978DE">
      <w:pPr>
        <w:rPr>
          <w:rFonts w:ascii="Times New Roman" w:hAnsi="Times New Roman" w:cs="Times New Roman"/>
          <w:sz w:val="24"/>
          <w:szCs w:val="24"/>
        </w:rPr>
      </w:pPr>
    </w:p>
    <w:p w14:paraId="17DA8B19" w14:textId="35314D6E" w:rsidR="000B4A2F" w:rsidRPr="007577DE" w:rsidRDefault="000B4A2F" w:rsidP="00D12DE0">
      <w:pPr>
        <w:jc w:val="both"/>
        <w:rPr>
          <w:rFonts w:ascii="Times New Roman" w:hAnsi="Times New Roman" w:cs="Times New Roman"/>
          <w:sz w:val="24"/>
          <w:szCs w:val="24"/>
        </w:rPr>
      </w:pPr>
      <w:r w:rsidRPr="007577DE">
        <w:rPr>
          <w:rFonts w:ascii="Times New Roman" w:hAnsi="Times New Roman" w:cs="Times New Roman"/>
          <w:sz w:val="24"/>
          <w:szCs w:val="24"/>
        </w:rPr>
        <w:t>Opatrenia na strane spotreby energie, pri ktorých sa úspora energie prejaví znížením konečnej energetickej spotreby</w:t>
      </w:r>
      <w:r w:rsidR="00200F3D" w:rsidRPr="007577DE">
        <w:rPr>
          <w:rFonts w:ascii="Times New Roman" w:hAnsi="Times New Roman" w:cs="Times New Roman"/>
          <w:sz w:val="24"/>
          <w:szCs w:val="24"/>
        </w:rPr>
        <w:t>,</w:t>
      </w:r>
      <w:r w:rsidRPr="007577DE">
        <w:rPr>
          <w:rFonts w:ascii="Times New Roman" w:hAnsi="Times New Roman" w:cs="Times New Roman"/>
          <w:sz w:val="24"/>
          <w:szCs w:val="24"/>
        </w:rPr>
        <w:t xml:space="preserve"> sú rozdelené podľa jednotlivých sektorov (budovy, priemysel, verejný sektor, doprava, spotrebiče).</w:t>
      </w:r>
    </w:p>
    <w:p w14:paraId="0DF20133" w14:textId="112DA8F3" w:rsidR="004A17E8" w:rsidRDefault="00952652" w:rsidP="00D12DE0">
      <w:pPr>
        <w:jc w:val="both"/>
        <w:rPr>
          <w:rFonts w:ascii="Times New Roman" w:hAnsi="Times New Roman" w:cs="Times New Roman"/>
          <w:sz w:val="24"/>
          <w:szCs w:val="24"/>
        </w:rPr>
      </w:pPr>
      <w:r w:rsidRPr="007577DE">
        <w:rPr>
          <w:rFonts w:ascii="Times New Roman" w:hAnsi="Times New Roman" w:cs="Times New Roman"/>
          <w:sz w:val="24"/>
          <w:szCs w:val="24"/>
        </w:rPr>
        <w:t xml:space="preserve">Opatrenia sa vyhodnocujú metódou zdola-nahor podľa jednotlivých projektov alebo podľa skupín projektov napríklad v príslušných finančných mechanizmoch. Podiel jednotlivých opatrení na plnení cieľa v znížení konečnej energetickej spotreby je znázornený v grafe </w:t>
      </w:r>
      <w:r w:rsidR="00E17394">
        <w:rPr>
          <w:rFonts w:ascii="Times New Roman" w:hAnsi="Times New Roman" w:cs="Times New Roman"/>
          <w:sz w:val="24"/>
          <w:szCs w:val="24"/>
        </w:rPr>
        <w:t xml:space="preserve">č. </w:t>
      </w:r>
      <w:r w:rsidR="00AE42A2">
        <w:rPr>
          <w:rFonts w:ascii="Times New Roman" w:hAnsi="Times New Roman" w:cs="Times New Roman"/>
          <w:sz w:val="24"/>
          <w:szCs w:val="24"/>
        </w:rPr>
        <w:t>6</w:t>
      </w:r>
      <w:r w:rsidR="00E17394">
        <w:rPr>
          <w:rFonts w:ascii="Times New Roman" w:hAnsi="Times New Roman" w:cs="Times New Roman"/>
          <w:sz w:val="24"/>
          <w:szCs w:val="24"/>
        </w:rPr>
        <w:t>.</w:t>
      </w:r>
    </w:p>
    <w:p w14:paraId="068AF412" w14:textId="77777777" w:rsidR="00E17394" w:rsidRDefault="00E17394" w:rsidP="00D12DE0">
      <w:pPr>
        <w:jc w:val="both"/>
        <w:rPr>
          <w:rFonts w:ascii="Times New Roman" w:hAnsi="Times New Roman" w:cs="Times New Roman"/>
          <w:sz w:val="24"/>
          <w:szCs w:val="24"/>
        </w:rPr>
      </w:pPr>
    </w:p>
    <w:p w14:paraId="54C1110D" w14:textId="522B89A2" w:rsidR="00E17394" w:rsidRPr="00E17394" w:rsidRDefault="00E17394" w:rsidP="005F7B58">
      <w:pPr>
        <w:keepNext/>
        <w:jc w:val="both"/>
        <w:rPr>
          <w:rFonts w:ascii="Times New Roman" w:hAnsi="Times New Roman" w:cs="Times New Roman"/>
          <w:sz w:val="24"/>
          <w:szCs w:val="24"/>
        </w:rPr>
      </w:pPr>
      <w:r w:rsidRPr="00E17394">
        <w:rPr>
          <w:rFonts w:ascii="Times New Roman" w:hAnsi="Times New Roman" w:cs="Times New Roman"/>
          <w:sz w:val="24"/>
          <w:szCs w:val="24"/>
        </w:rPr>
        <w:lastRenderedPageBreak/>
        <w:t xml:space="preserve">Graf č. </w:t>
      </w:r>
      <w:r w:rsidR="00AE42A2">
        <w:rPr>
          <w:rFonts w:ascii="Times New Roman" w:hAnsi="Times New Roman" w:cs="Times New Roman"/>
          <w:sz w:val="24"/>
          <w:szCs w:val="24"/>
        </w:rPr>
        <w:t>6</w:t>
      </w:r>
      <w:r w:rsidRPr="00E17394">
        <w:rPr>
          <w:rFonts w:ascii="Times New Roman" w:hAnsi="Times New Roman" w:cs="Times New Roman"/>
          <w:sz w:val="24"/>
          <w:szCs w:val="24"/>
        </w:rPr>
        <w:t xml:space="preserve">: </w:t>
      </w:r>
      <w:r w:rsidRPr="000578FE">
        <w:rPr>
          <w:rFonts w:ascii="Times New Roman" w:hAnsi="Times New Roman" w:cs="Times New Roman"/>
          <w:sz w:val="24"/>
          <w:szCs w:val="24"/>
        </w:rPr>
        <w:t>Zníženie konečnej energetickej spotreby - podiel opatrení na plnení cieľa v rokoch 2014-2016 podľa sektorov</w:t>
      </w: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6"/>
        <w:gridCol w:w="4696"/>
      </w:tblGrid>
      <w:tr w:rsidR="00207D7D" w:rsidRPr="009F2998" w14:paraId="6104141F" w14:textId="77777777" w:rsidTr="000578FE">
        <w:trPr>
          <w:trHeight w:val="3143"/>
        </w:trPr>
        <w:tc>
          <w:tcPr>
            <w:tcW w:w="2412" w:type="pct"/>
          </w:tcPr>
          <w:p w14:paraId="4C5109F8" w14:textId="784F9ACE" w:rsidR="00207D7D" w:rsidRPr="009F2998" w:rsidRDefault="00207D7D" w:rsidP="00207D7D">
            <w:pPr>
              <w:jc w:val="center"/>
              <w:rPr>
                <w:rFonts w:ascii="Times New Roman" w:hAnsi="Times New Roman" w:cs="Times New Roman"/>
              </w:rPr>
            </w:pPr>
            <w:r w:rsidRPr="009F2998">
              <w:rPr>
                <w:rFonts w:ascii="Times New Roman" w:hAnsi="Times New Roman" w:cs="Times New Roman"/>
                <w:noProof/>
                <w:lang w:eastAsia="sk-SK"/>
              </w:rPr>
              <w:drawing>
                <wp:inline distT="0" distB="0" distL="0" distR="0" wp14:anchorId="20F2C14E" wp14:editId="0A382B83">
                  <wp:extent cx="2200275" cy="2143125"/>
                  <wp:effectExtent l="0" t="0" r="0" b="0"/>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2588" w:type="pct"/>
          </w:tcPr>
          <w:tbl>
            <w:tblPr>
              <w:tblpPr w:leftFromText="141" w:rightFromText="141" w:vertAnchor="text" w:horzAnchor="margin" w:tblpY="471"/>
              <w:tblOverlap w:val="never"/>
              <w:tblW w:w="4459" w:type="dxa"/>
              <w:tblCellMar>
                <w:left w:w="70" w:type="dxa"/>
                <w:right w:w="70" w:type="dxa"/>
              </w:tblCellMar>
              <w:tblLook w:val="04A0" w:firstRow="1" w:lastRow="0" w:firstColumn="1" w:lastColumn="0" w:noHBand="0" w:noVBand="1"/>
            </w:tblPr>
            <w:tblGrid>
              <w:gridCol w:w="373"/>
              <w:gridCol w:w="2801"/>
              <w:gridCol w:w="1285"/>
            </w:tblGrid>
            <w:tr w:rsidR="00207D7D" w:rsidRPr="00A31B3F" w14:paraId="74C4B146" w14:textId="77777777" w:rsidTr="00207D7D">
              <w:trPr>
                <w:trHeight w:val="300"/>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7E8B0" w14:textId="09523A29" w:rsidR="00207D7D" w:rsidRPr="00A31B3F" w:rsidRDefault="00207D7D" w:rsidP="00207D7D">
                  <w:pPr>
                    <w:spacing w:after="0" w:line="240" w:lineRule="auto"/>
                    <w:jc w:val="center"/>
                    <w:rPr>
                      <w:rFonts w:ascii="Times New Roman" w:eastAsia="Times New Roman" w:hAnsi="Times New Roman" w:cs="Times New Roman"/>
                      <w:color w:val="000000"/>
                      <w:lang w:eastAsia="sk-SK"/>
                    </w:rPr>
                  </w:pPr>
                </w:p>
              </w:tc>
              <w:tc>
                <w:tcPr>
                  <w:tcW w:w="2801" w:type="dxa"/>
                  <w:tcBorders>
                    <w:top w:val="single" w:sz="4" w:space="0" w:color="auto"/>
                    <w:left w:val="nil"/>
                    <w:bottom w:val="single" w:sz="4" w:space="0" w:color="auto"/>
                    <w:right w:val="single" w:sz="4" w:space="0" w:color="auto"/>
                  </w:tcBorders>
                  <w:shd w:val="clear" w:color="auto" w:fill="auto"/>
                  <w:noWrap/>
                  <w:vAlign w:val="center"/>
                  <w:hideMark/>
                </w:tcPr>
                <w:p w14:paraId="6B06B03B" w14:textId="77777777" w:rsidR="00207D7D" w:rsidRPr="004E746F" w:rsidRDefault="00207D7D" w:rsidP="00207D7D">
                  <w:pPr>
                    <w:spacing w:after="0" w:line="240" w:lineRule="auto"/>
                    <w:rPr>
                      <w:rFonts w:ascii="Times New Roman" w:eastAsia="Times New Roman" w:hAnsi="Times New Roman" w:cs="Times New Roman"/>
                      <w:color w:val="000000"/>
                      <w:lang w:eastAsia="sk-SK"/>
                    </w:rPr>
                  </w:pPr>
                  <w:r w:rsidRPr="004E746F">
                    <w:rPr>
                      <w:rFonts w:ascii="Times New Roman" w:eastAsia="Times New Roman" w:hAnsi="Times New Roman" w:cs="Times New Roman"/>
                      <w:color w:val="000000"/>
                      <w:lang w:eastAsia="sk-SK"/>
                    </w:rPr>
                    <w:t>Sektor:</w:t>
                  </w:r>
                </w:p>
              </w:tc>
              <w:tc>
                <w:tcPr>
                  <w:tcW w:w="1285" w:type="dxa"/>
                  <w:tcBorders>
                    <w:top w:val="single" w:sz="4" w:space="0" w:color="auto"/>
                    <w:left w:val="nil"/>
                    <w:bottom w:val="single" w:sz="4" w:space="0" w:color="auto"/>
                    <w:right w:val="single" w:sz="4" w:space="0" w:color="auto"/>
                  </w:tcBorders>
                  <w:shd w:val="clear" w:color="auto" w:fill="auto"/>
                  <w:noWrap/>
                  <w:vAlign w:val="center"/>
                  <w:hideMark/>
                </w:tcPr>
                <w:p w14:paraId="7AA3B0DB" w14:textId="77777777" w:rsidR="00207D7D" w:rsidRPr="004E746F" w:rsidRDefault="00207D7D" w:rsidP="00207D7D">
                  <w:pPr>
                    <w:spacing w:after="0" w:line="240" w:lineRule="auto"/>
                    <w:jc w:val="right"/>
                    <w:rPr>
                      <w:rFonts w:ascii="Times New Roman" w:eastAsia="Times New Roman" w:hAnsi="Times New Roman" w:cs="Times New Roman"/>
                      <w:color w:val="000000"/>
                      <w:lang w:eastAsia="sk-SK"/>
                    </w:rPr>
                  </w:pPr>
                  <w:r w:rsidRPr="004E746F">
                    <w:rPr>
                      <w:rFonts w:ascii="Times New Roman" w:eastAsia="Times New Roman" w:hAnsi="Times New Roman" w:cs="Times New Roman"/>
                      <w:color w:val="000000"/>
                      <w:lang w:eastAsia="sk-SK"/>
                    </w:rPr>
                    <w:t xml:space="preserve">Úspora [TJ]   </w:t>
                  </w:r>
                </w:p>
              </w:tc>
            </w:tr>
            <w:tr w:rsidR="00200DFA" w:rsidRPr="00A31B3F" w14:paraId="402598D0" w14:textId="77777777" w:rsidTr="005F7B58">
              <w:trPr>
                <w:trHeight w:val="300"/>
              </w:trPr>
              <w:tc>
                <w:tcPr>
                  <w:tcW w:w="373" w:type="dxa"/>
                  <w:tcBorders>
                    <w:top w:val="nil"/>
                    <w:left w:val="single" w:sz="4" w:space="0" w:color="auto"/>
                    <w:bottom w:val="single" w:sz="4" w:space="0" w:color="auto"/>
                    <w:right w:val="single" w:sz="4" w:space="0" w:color="auto"/>
                  </w:tcBorders>
                  <w:shd w:val="clear" w:color="000000" w:fill="FF7857"/>
                  <w:noWrap/>
                  <w:vAlign w:val="bottom"/>
                  <w:hideMark/>
                </w:tcPr>
                <w:p w14:paraId="38D1C40A" w14:textId="77777777" w:rsidR="00200DFA" w:rsidRPr="00A31B3F" w:rsidRDefault="00200DFA" w:rsidP="00200DFA">
                  <w:pPr>
                    <w:spacing w:after="0" w:line="240" w:lineRule="auto"/>
                    <w:rPr>
                      <w:rFonts w:ascii="Times New Roman" w:eastAsia="Times New Roman" w:hAnsi="Times New Roman" w:cs="Times New Roman"/>
                      <w:color w:val="000000"/>
                      <w:lang w:eastAsia="sk-SK"/>
                    </w:rPr>
                  </w:pPr>
                  <w:r w:rsidRPr="00A31B3F">
                    <w:rPr>
                      <w:rFonts w:ascii="Times New Roman" w:eastAsia="Times New Roman" w:hAnsi="Times New Roman" w:cs="Times New Roman"/>
                      <w:color w:val="000000"/>
                      <w:lang w:eastAsia="sk-SK"/>
                    </w:rPr>
                    <w:t> </w:t>
                  </w:r>
                </w:p>
              </w:tc>
              <w:tc>
                <w:tcPr>
                  <w:tcW w:w="2801" w:type="dxa"/>
                  <w:tcBorders>
                    <w:top w:val="nil"/>
                    <w:left w:val="nil"/>
                    <w:bottom w:val="single" w:sz="4" w:space="0" w:color="auto"/>
                    <w:right w:val="single" w:sz="4" w:space="0" w:color="auto"/>
                  </w:tcBorders>
                  <w:shd w:val="clear" w:color="auto" w:fill="auto"/>
                  <w:noWrap/>
                  <w:vAlign w:val="bottom"/>
                  <w:hideMark/>
                </w:tcPr>
                <w:p w14:paraId="625A85FA" w14:textId="77777777" w:rsidR="00200DFA" w:rsidRPr="004E746F" w:rsidRDefault="00200DFA" w:rsidP="00200DFA">
                  <w:pPr>
                    <w:spacing w:after="0" w:line="240" w:lineRule="auto"/>
                    <w:rPr>
                      <w:rFonts w:ascii="Times New Roman" w:eastAsia="Times New Roman" w:hAnsi="Times New Roman" w:cs="Times New Roman"/>
                      <w:color w:val="000000"/>
                      <w:lang w:eastAsia="sk-SK"/>
                    </w:rPr>
                  </w:pPr>
                  <w:r w:rsidRPr="004E746F">
                    <w:rPr>
                      <w:rFonts w:ascii="Times New Roman" w:eastAsia="Times New Roman" w:hAnsi="Times New Roman" w:cs="Times New Roman"/>
                      <w:color w:val="000000"/>
                      <w:lang w:eastAsia="sk-SK"/>
                    </w:rPr>
                    <w:t xml:space="preserve">Budovy </w:t>
                  </w:r>
                </w:p>
              </w:tc>
              <w:tc>
                <w:tcPr>
                  <w:tcW w:w="1285" w:type="dxa"/>
                  <w:tcBorders>
                    <w:top w:val="nil"/>
                    <w:left w:val="nil"/>
                    <w:bottom w:val="single" w:sz="4" w:space="0" w:color="auto"/>
                    <w:right w:val="single" w:sz="4" w:space="0" w:color="auto"/>
                  </w:tcBorders>
                  <w:shd w:val="clear" w:color="auto" w:fill="auto"/>
                  <w:noWrap/>
                  <w:hideMark/>
                </w:tcPr>
                <w:p w14:paraId="45D2B990" w14:textId="661A46EE" w:rsidR="00200DFA" w:rsidRPr="00200DFA" w:rsidRDefault="00200DFA" w:rsidP="00200DFA">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5 051,22</w:t>
                  </w:r>
                </w:p>
              </w:tc>
            </w:tr>
            <w:tr w:rsidR="00200DFA" w:rsidRPr="00A31B3F" w14:paraId="3161F97D" w14:textId="77777777" w:rsidTr="005F7B58">
              <w:trPr>
                <w:trHeight w:val="300"/>
              </w:trPr>
              <w:tc>
                <w:tcPr>
                  <w:tcW w:w="373" w:type="dxa"/>
                  <w:tcBorders>
                    <w:top w:val="nil"/>
                    <w:left w:val="single" w:sz="4" w:space="0" w:color="auto"/>
                    <w:bottom w:val="single" w:sz="4" w:space="0" w:color="auto"/>
                    <w:right w:val="single" w:sz="4" w:space="0" w:color="auto"/>
                  </w:tcBorders>
                  <w:shd w:val="clear" w:color="000000" w:fill="FF9933"/>
                  <w:noWrap/>
                  <w:vAlign w:val="bottom"/>
                  <w:hideMark/>
                </w:tcPr>
                <w:p w14:paraId="7D6432AF" w14:textId="77777777" w:rsidR="00200DFA" w:rsidRPr="00A31B3F" w:rsidRDefault="00200DFA" w:rsidP="00200DFA">
                  <w:pPr>
                    <w:spacing w:after="0" w:line="240" w:lineRule="auto"/>
                    <w:rPr>
                      <w:rFonts w:ascii="Times New Roman" w:eastAsia="Times New Roman" w:hAnsi="Times New Roman" w:cs="Times New Roman"/>
                      <w:color w:val="000000"/>
                      <w:lang w:eastAsia="sk-SK"/>
                    </w:rPr>
                  </w:pPr>
                  <w:r w:rsidRPr="00A31B3F">
                    <w:rPr>
                      <w:rFonts w:ascii="Times New Roman" w:eastAsia="Times New Roman" w:hAnsi="Times New Roman" w:cs="Times New Roman"/>
                      <w:color w:val="000000"/>
                      <w:lang w:eastAsia="sk-SK"/>
                    </w:rPr>
                    <w:t> </w:t>
                  </w:r>
                </w:p>
              </w:tc>
              <w:tc>
                <w:tcPr>
                  <w:tcW w:w="2801" w:type="dxa"/>
                  <w:tcBorders>
                    <w:top w:val="nil"/>
                    <w:left w:val="nil"/>
                    <w:bottom w:val="single" w:sz="4" w:space="0" w:color="auto"/>
                    <w:right w:val="single" w:sz="4" w:space="0" w:color="auto"/>
                  </w:tcBorders>
                  <w:shd w:val="clear" w:color="auto" w:fill="auto"/>
                  <w:noWrap/>
                  <w:vAlign w:val="bottom"/>
                  <w:hideMark/>
                </w:tcPr>
                <w:p w14:paraId="07F95C96" w14:textId="77777777" w:rsidR="00200DFA" w:rsidRPr="004E746F" w:rsidRDefault="00200DFA" w:rsidP="00200DFA">
                  <w:pPr>
                    <w:spacing w:after="0" w:line="240" w:lineRule="auto"/>
                    <w:rPr>
                      <w:rFonts w:ascii="Times New Roman" w:eastAsia="Times New Roman" w:hAnsi="Times New Roman" w:cs="Times New Roman"/>
                      <w:color w:val="000000"/>
                      <w:lang w:eastAsia="sk-SK"/>
                    </w:rPr>
                  </w:pPr>
                  <w:r w:rsidRPr="004E746F">
                    <w:rPr>
                      <w:rFonts w:ascii="Times New Roman" w:eastAsia="Times New Roman" w:hAnsi="Times New Roman" w:cs="Times New Roman"/>
                      <w:color w:val="000000"/>
                      <w:lang w:eastAsia="sk-SK"/>
                    </w:rPr>
                    <w:t xml:space="preserve">Priemysel </w:t>
                  </w:r>
                </w:p>
              </w:tc>
              <w:tc>
                <w:tcPr>
                  <w:tcW w:w="1285" w:type="dxa"/>
                  <w:tcBorders>
                    <w:top w:val="nil"/>
                    <w:left w:val="nil"/>
                    <w:bottom w:val="single" w:sz="4" w:space="0" w:color="auto"/>
                    <w:right w:val="single" w:sz="4" w:space="0" w:color="auto"/>
                  </w:tcBorders>
                  <w:shd w:val="clear" w:color="auto" w:fill="auto"/>
                  <w:noWrap/>
                  <w:hideMark/>
                </w:tcPr>
                <w:p w14:paraId="0461A775" w14:textId="19201080" w:rsidR="00200DFA" w:rsidRPr="00200DFA" w:rsidRDefault="00200DFA" w:rsidP="00200DFA">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2 772,04</w:t>
                  </w:r>
                </w:p>
              </w:tc>
            </w:tr>
            <w:tr w:rsidR="00200DFA" w:rsidRPr="00A31B3F" w14:paraId="1F40AAC3" w14:textId="77777777" w:rsidTr="005F7B58">
              <w:trPr>
                <w:trHeight w:val="300"/>
              </w:trPr>
              <w:tc>
                <w:tcPr>
                  <w:tcW w:w="373" w:type="dxa"/>
                  <w:tcBorders>
                    <w:top w:val="nil"/>
                    <w:left w:val="single" w:sz="4" w:space="0" w:color="auto"/>
                    <w:bottom w:val="single" w:sz="4" w:space="0" w:color="auto"/>
                    <w:right w:val="single" w:sz="4" w:space="0" w:color="auto"/>
                  </w:tcBorders>
                  <w:shd w:val="clear" w:color="000000" w:fill="FFCC00"/>
                  <w:noWrap/>
                  <w:vAlign w:val="bottom"/>
                  <w:hideMark/>
                </w:tcPr>
                <w:p w14:paraId="16ACFCEA" w14:textId="77777777" w:rsidR="00200DFA" w:rsidRPr="00A31B3F" w:rsidRDefault="00200DFA" w:rsidP="00200DFA">
                  <w:pPr>
                    <w:spacing w:after="0" w:line="240" w:lineRule="auto"/>
                    <w:rPr>
                      <w:rFonts w:ascii="Times New Roman" w:eastAsia="Times New Roman" w:hAnsi="Times New Roman" w:cs="Times New Roman"/>
                      <w:color w:val="000000"/>
                      <w:lang w:eastAsia="sk-SK"/>
                    </w:rPr>
                  </w:pPr>
                  <w:r w:rsidRPr="00A31B3F">
                    <w:rPr>
                      <w:rFonts w:ascii="Times New Roman" w:eastAsia="Times New Roman" w:hAnsi="Times New Roman" w:cs="Times New Roman"/>
                      <w:color w:val="000000"/>
                      <w:lang w:eastAsia="sk-SK"/>
                    </w:rPr>
                    <w:t> </w:t>
                  </w:r>
                </w:p>
              </w:tc>
              <w:tc>
                <w:tcPr>
                  <w:tcW w:w="2801" w:type="dxa"/>
                  <w:tcBorders>
                    <w:top w:val="nil"/>
                    <w:left w:val="nil"/>
                    <w:bottom w:val="single" w:sz="4" w:space="0" w:color="auto"/>
                    <w:right w:val="single" w:sz="4" w:space="0" w:color="auto"/>
                  </w:tcBorders>
                  <w:shd w:val="clear" w:color="auto" w:fill="auto"/>
                  <w:noWrap/>
                  <w:vAlign w:val="bottom"/>
                  <w:hideMark/>
                </w:tcPr>
                <w:p w14:paraId="056F61F2" w14:textId="77777777" w:rsidR="00200DFA" w:rsidRPr="004E746F" w:rsidRDefault="00200DFA" w:rsidP="00200DFA">
                  <w:pPr>
                    <w:spacing w:after="0" w:line="240" w:lineRule="auto"/>
                    <w:rPr>
                      <w:rFonts w:ascii="Times New Roman" w:eastAsia="Times New Roman" w:hAnsi="Times New Roman" w:cs="Times New Roman"/>
                      <w:color w:val="000000"/>
                      <w:lang w:eastAsia="sk-SK"/>
                    </w:rPr>
                  </w:pPr>
                  <w:r w:rsidRPr="004E746F">
                    <w:rPr>
                      <w:rFonts w:ascii="Times New Roman" w:eastAsia="Times New Roman" w:hAnsi="Times New Roman" w:cs="Times New Roman"/>
                      <w:color w:val="000000"/>
                      <w:lang w:eastAsia="sk-SK"/>
                    </w:rPr>
                    <w:t xml:space="preserve">Verejný sektor </w:t>
                  </w:r>
                </w:p>
              </w:tc>
              <w:tc>
                <w:tcPr>
                  <w:tcW w:w="1285" w:type="dxa"/>
                  <w:tcBorders>
                    <w:top w:val="nil"/>
                    <w:left w:val="nil"/>
                    <w:bottom w:val="single" w:sz="4" w:space="0" w:color="auto"/>
                    <w:right w:val="single" w:sz="4" w:space="0" w:color="auto"/>
                  </w:tcBorders>
                  <w:shd w:val="clear" w:color="auto" w:fill="auto"/>
                  <w:noWrap/>
                  <w:hideMark/>
                </w:tcPr>
                <w:p w14:paraId="1D0D3897" w14:textId="7E25B186" w:rsidR="00200DFA" w:rsidRPr="00200DFA" w:rsidRDefault="00200DFA" w:rsidP="00200DFA">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795,73</w:t>
                  </w:r>
                </w:p>
              </w:tc>
            </w:tr>
            <w:tr w:rsidR="00200DFA" w:rsidRPr="00A31B3F" w14:paraId="4B658858" w14:textId="77777777" w:rsidTr="005F7B58">
              <w:trPr>
                <w:trHeight w:val="300"/>
              </w:trPr>
              <w:tc>
                <w:tcPr>
                  <w:tcW w:w="373" w:type="dxa"/>
                  <w:tcBorders>
                    <w:top w:val="nil"/>
                    <w:left w:val="single" w:sz="4" w:space="0" w:color="auto"/>
                    <w:bottom w:val="single" w:sz="4" w:space="0" w:color="auto"/>
                    <w:right w:val="single" w:sz="4" w:space="0" w:color="auto"/>
                  </w:tcBorders>
                  <w:shd w:val="clear" w:color="000000" w:fill="92D050"/>
                  <w:noWrap/>
                  <w:vAlign w:val="bottom"/>
                  <w:hideMark/>
                </w:tcPr>
                <w:p w14:paraId="0EE3AD45" w14:textId="77777777" w:rsidR="00200DFA" w:rsidRPr="00A31B3F" w:rsidRDefault="00200DFA" w:rsidP="00200DFA">
                  <w:pPr>
                    <w:spacing w:after="0" w:line="240" w:lineRule="auto"/>
                    <w:rPr>
                      <w:rFonts w:ascii="Times New Roman" w:eastAsia="Times New Roman" w:hAnsi="Times New Roman" w:cs="Times New Roman"/>
                      <w:color w:val="000000"/>
                      <w:lang w:eastAsia="sk-SK"/>
                    </w:rPr>
                  </w:pPr>
                  <w:r w:rsidRPr="00A31B3F">
                    <w:rPr>
                      <w:rFonts w:ascii="Times New Roman" w:eastAsia="Times New Roman" w:hAnsi="Times New Roman" w:cs="Times New Roman"/>
                      <w:color w:val="000000"/>
                      <w:lang w:eastAsia="sk-SK"/>
                    </w:rPr>
                    <w:t> </w:t>
                  </w:r>
                </w:p>
              </w:tc>
              <w:tc>
                <w:tcPr>
                  <w:tcW w:w="2801" w:type="dxa"/>
                  <w:tcBorders>
                    <w:top w:val="nil"/>
                    <w:left w:val="nil"/>
                    <w:bottom w:val="single" w:sz="4" w:space="0" w:color="auto"/>
                    <w:right w:val="single" w:sz="4" w:space="0" w:color="auto"/>
                  </w:tcBorders>
                  <w:shd w:val="clear" w:color="auto" w:fill="auto"/>
                  <w:noWrap/>
                  <w:vAlign w:val="bottom"/>
                  <w:hideMark/>
                </w:tcPr>
                <w:p w14:paraId="4F7AECE8" w14:textId="77777777" w:rsidR="00200DFA" w:rsidRPr="004E746F" w:rsidRDefault="00200DFA" w:rsidP="00200DFA">
                  <w:pPr>
                    <w:spacing w:after="0" w:line="240" w:lineRule="auto"/>
                    <w:rPr>
                      <w:rFonts w:ascii="Times New Roman" w:eastAsia="Times New Roman" w:hAnsi="Times New Roman" w:cs="Times New Roman"/>
                      <w:color w:val="000000"/>
                      <w:lang w:eastAsia="sk-SK"/>
                    </w:rPr>
                  </w:pPr>
                  <w:r w:rsidRPr="004E746F">
                    <w:rPr>
                      <w:rFonts w:ascii="Times New Roman" w:eastAsia="Times New Roman" w:hAnsi="Times New Roman" w:cs="Times New Roman"/>
                      <w:color w:val="000000"/>
                      <w:lang w:eastAsia="sk-SK"/>
                    </w:rPr>
                    <w:t xml:space="preserve">Doprava </w:t>
                  </w:r>
                </w:p>
              </w:tc>
              <w:tc>
                <w:tcPr>
                  <w:tcW w:w="1285" w:type="dxa"/>
                  <w:tcBorders>
                    <w:top w:val="nil"/>
                    <w:left w:val="nil"/>
                    <w:bottom w:val="single" w:sz="4" w:space="0" w:color="auto"/>
                    <w:right w:val="single" w:sz="4" w:space="0" w:color="auto"/>
                  </w:tcBorders>
                  <w:shd w:val="clear" w:color="auto" w:fill="auto"/>
                  <w:noWrap/>
                  <w:hideMark/>
                </w:tcPr>
                <w:p w14:paraId="39DF6D01" w14:textId="07185646" w:rsidR="00200DFA" w:rsidRPr="00200DFA" w:rsidRDefault="00200DFA" w:rsidP="00200DFA">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896,52</w:t>
                  </w:r>
                </w:p>
              </w:tc>
            </w:tr>
            <w:tr w:rsidR="00200DFA" w:rsidRPr="00A31B3F" w14:paraId="5C0D0433" w14:textId="77777777" w:rsidTr="005F7B58">
              <w:trPr>
                <w:trHeight w:val="300"/>
              </w:trPr>
              <w:tc>
                <w:tcPr>
                  <w:tcW w:w="373" w:type="dxa"/>
                  <w:tcBorders>
                    <w:top w:val="nil"/>
                    <w:left w:val="single" w:sz="4" w:space="0" w:color="auto"/>
                    <w:bottom w:val="single" w:sz="4" w:space="0" w:color="auto"/>
                    <w:right w:val="single" w:sz="4" w:space="0" w:color="auto"/>
                  </w:tcBorders>
                  <w:shd w:val="clear" w:color="000000" w:fill="9BE5FF"/>
                  <w:noWrap/>
                  <w:vAlign w:val="bottom"/>
                  <w:hideMark/>
                </w:tcPr>
                <w:p w14:paraId="112C6EAA" w14:textId="77777777" w:rsidR="00200DFA" w:rsidRPr="00A31B3F" w:rsidRDefault="00200DFA" w:rsidP="00200DFA">
                  <w:pPr>
                    <w:spacing w:after="0" w:line="240" w:lineRule="auto"/>
                    <w:rPr>
                      <w:rFonts w:ascii="Times New Roman" w:eastAsia="Times New Roman" w:hAnsi="Times New Roman" w:cs="Times New Roman"/>
                      <w:color w:val="000000"/>
                      <w:lang w:eastAsia="sk-SK"/>
                    </w:rPr>
                  </w:pPr>
                  <w:r w:rsidRPr="00A31B3F">
                    <w:rPr>
                      <w:rFonts w:ascii="Times New Roman" w:eastAsia="Times New Roman" w:hAnsi="Times New Roman" w:cs="Times New Roman"/>
                      <w:color w:val="000000"/>
                      <w:lang w:eastAsia="sk-SK"/>
                    </w:rPr>
                    <w:t> </w:t>
                  </w:r>
                </w:p>
              </w:tc>
              <w:tc>
                <w:tcPr>
                  <w:tcW w:w="2801" w:type="dxa"/>
                  <w:tcBorders>
                    <w:top w:val="nil"/>
                    <w:left w:val="nil"/>
                    <w:bottom w:val="single" w:sz="4" w:space="0" w:color="auto"/>
                    <w:right w:val="single" w:sz="4" w:space="0" w:color="auto"/>
                  </w:tcBorders>
                  <w:shd w:val="clear" w:color="auto" w:fill="auto"/>
                  <w:noWrap/>
                  <w:vAlign w:val="bottom"/>
                  <w:hideMark/>
                </w:tcPr>
                <w:p w14:paraId="709E294D" w14:textId="77777777" w:rsidR="00200DFA" w:rsidRPr="004E746F" w:rsidRDefault="00200DFA" w:rsidP="00200DFA">
                  <w:pPr>
                    <w:spacing w:after="0" w:line="240" w:lineRule="auto"/>
                    <w:rPr>
                      <w:rFonts w:ascii="Times New Roman" w:eastAsia="Times New Roman" w:hAnsi="Times New Roman" w:cs="Times New Roman"/>
                      <w:color w:val="000000"/>
                      <w:lang w:eastAsia="sk-SK"/>
                    </w:rPr>
                  </w:pPr>
                  <w:r w:rsidRPr="004E746F">
                    <w:rPr>
                      <w:rFonts w:ascii="Times New Roman" w:eastAsia="Times New Roman" w:hAnsi="Times New Roman" w:cs="Times New Roman"/>
                      <w:color w:val="000000"/>
                      <w:lang w:eastAsia="sk-SK"/>
                    </w:rPr>
                    <w:t xml:space="preserve">Spotrebiče </w:t>
                  </w:r>
                </w:p>
              </w:tc>
              <w:tc>
                <w:tcPr>
                  <w:tcW w:w="1285" w:type="dxa"/>
                  <w:tcBorders>
                    <w:top w:val="nil"/>
                    <w:left w:val="nil"/>
                    <w:bottom w:val="single" w:sz="4" w:space="0" w:color="auto"/>
                    <w:right w:val="single" w:sz="4" w:space="0" w:color="auto"/>
                  </w:tcBorders>
                  <w:shd w:val="clear" w:color="auto" w:fill="auto"/>
                  <w:noWrap/>
                  <w:hideMark/>
                </w:tcPr>
                <w:p w14:paraId="7EA35BFD" w14:textId="4BB260D2" w:rsidR="00200DFA" w:rsidRPr="00200DFA" w:rsidRDefault="00200DFA" w:rsidP="00200DFA">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569,77</w:t>
                  </w:r>
                </w:p>
              </w:tc>
            </w:tr>
            <w:tr w:rsidR="00200DFA" w:rsidRPr="00A31B3F" w14:paraId="4194ECEE" w14:textId="77777777" w:rsidTr="005F7B58">
              <w:trPr>
                <w:trHeight w:val="300"/>
              </w:trPr>
              <w:tc>
                <w:tcPr>
                  <w:tcW w:w="373" w:type="dxa"/>
                  <w:tcBorders>
                    <w:top w:val="nil"/>
                    <w:left w:val="nil"/>
                    <w:bottom w:val="nil"/>
                    <w:right w:val="nil"/>
                  </w:tcBorders>
                  <w:shd w:val="clear" w:color="auto" w:fill="auto"/>
                  <w:noWrap/>
                  <w:vAlign w:val="bottom"/>
                  <w:hideMark/>
                </w:tcPr>
                <w:p w14:paraId="7A670C23" w14:textId="77777777" w:rsidR="00200DFA" w:rsidRPr="004E746F" w:rsidRDefault="00200DFA" w:rsidP="00200DFA">
                  <w:pPr>
                    <w:spacing w:after="0" w:line="240" w:lineRule="auto"/>
                    <w:jc w:val="right"/>
                    <w:rPr>
                      <w:rFonts w:ascii="Times New Roman" w:eastAsia="Times New Roman" w:hAnsi="Times New Roman" w:cs="Times New Roman"/>
                      <w:color w:val="000000"/>
                      <w:lang w:eastAsia="sk-SK"/>
                    </w:rPr>
                  </w:pPr>
                </w:p>
              </w:tc>
              <w:tc>
                <w:tcPr>
                  <w:tcW w:w="2801" w:type="dxa"/>
                  <w:tcBorders>
                    <w:top w:val="nil"/>
                    <w:left w:val="single" w:sz="4" w:space="0" w:color="auto"/>
                    <w:bottom w:val="single" w:sz="4" w:space="0" w:color="auto"/>
                    <w:right w:val="single" w:sz="4" w:space="0" w:color="auto"/>
                  </w:tcBorders>
                  <w:shd w:val="clear" w:color="auto" w:fill="auto"/>
                  <w:vAlign w:val="center"/>
                  <w:hideMark/>
                </w:tcPr>
                <w:p w14:paraId="5E49A555" w14:textId="77777777" w:rsidR="00200DFA" w:rsidRPr="004E746F" w:rsidRDefault="00200DFA" w:rsidP="00200DFA">
                  <w:pPr>
                    <w:spacing w:after="0" w:line="240" w:lineRule="auto"/>
                    <w:rPr>
                      <w:rFonts w:ascii="Times New Roman" w:eastAsia="Times New Roman" w:hAnsi="Times New Roman" w:cs="Times New Roman"/>
                      <w:b/>
                      <w:bCs/>
                      <w:color w:val="000000"/>
                      <w:lang w:eastAsia="sk-SK"/>
                    </w:rPr>
                  </w:pPr>
                  <w:r w:rsidRPr="004E746F">
                    <w:rPr>
                      <w:rFonts w:ascii="Times New Roman" w:eastAsia="Times New Roman" w:hAnsi="Times New Roman" w:cs="Times New Roman"/>
                      <w:b/>
                      <w:bCs/>
                      <w:color w:val="000000"/>
                      <w:lang w:eastAsia="sk-SK"/>
                    </w:rPr>
                    <w:t>Spolu:</w:t>
                  </w:r>
                </w:p>
              </w:tc>
              <w:tc>
                <w:tcPr>
                  <w:tcW w:w="1285" w:type="dxa"/>
                  <w:tcBorders>
                    <w:top w:val="nil"/>
                    <w:left w:val="nil"/>
                    <w:bottom w:val="single" w:sz="4" w:space="0" w:color="auto"/>
                    <w:right w:val="single" w:sz="4" w:space="0" w:color="auto"/>
                  </w:tcBorders>
                  <w:shd w:val="clear" w:color="auto" w:fill="auto"/>
                  <w:noWrap/>
                  <w:hideMark/>
                </w:tcPr>
                <w:p w14:paraId="4A588937" w14:textId="15392445" w:rsidR="00200DFA" w:rsidRPr="00047FF1" w:rsidRDefault="00200DFA" w:rsidP="00200DFA">
                  <w:pPr>
                    <w:spacing w:after="0" w:line="240" w:lineRule="auto"/>
                    <w:jc w:val="right"/>
                    <w:rPr>
                      <w:rFonts w:ascii="Times New Roman" w:eastAsia="Times New Roman" w:hAnsi="Times New Roman" w:cs="Times New Roman"/>
                      <w:b/>
                      <w:color w:val="000000"/>
                      <w:lang w:eastAsia="sk-SK"/>
                    </w:rPr>
                  </w:pPr>
                  <w:r w:rsidRPr="005F7B58">
                    <w:rPr>
                      <w:rFonts w:ascii="Times New Roman" w:hAnsi="Times New Roman" w:cs="Times New Roman"/>
                      <w:b/>
                    </w:rPr>
                    <w:t>10 085,28</w:t>
                  </w:r>
                </w:p>
              </w:tc>
            </w:tr>
          </w:tbl>
          <w:p w14:paraId="5BF855E5" w14:textId="77777777" w:rsidR="00207D7D" w:rsidRPr="009F2998" w:rsidRDefault="00207D7D" w:rsidP="00D12DE0">
            <w:pPr>
              <w:jc w:val="both"/>
              <w:rPr>
                <w:rFonts w:ascii="Times New Roman" w:hAnsi="Times New Roman" w:cs="Times New Roman"/>
              </w:rPr>
            </w:pPr>
          </w:p>
        </w:tc>
      </w:tr>
    </w:tbl>
    <w:p w14:paraId="269AC3C1" w14:textId="3B350210" w:rsidR="00E00713" w:rsidRPr="007577DE" w:rsidRDefault="004C3A87" w:rsidP="000578FE">
      <w:pPr>
        <w:jc w:val="both"/>
        <w:rPr>
          <w:rFonts w:ascii="Times New Roman" w:hAnsi="Times New Roman" w:cs="Times New Roman"/>
          <w:sz w:val="24"/>
          <w:szCs w:val="24"/>
        </w:rPr>
      </w:pPr>
      <w:r w:rsidRPr="007577DE">
        <w:rPr>
          <w:rFonts w:ascii="Times New Roman" w:hAnsi="Times New Roman" w:cs="Times New Roman"/>
          <w:sz w:val="24"/>
          <w:szCs w:val="24"/>
        </w:rPr>
        <w:t>Najvyšší prínos na plnenie cieľa úspor vykázal sektor budov</w:t>
      </w:r>
      <w:r w:rsidR="00B12D6B" w:rsidRPr="007577DE">
        <w:rPr>
          <w:rFonts w:ascii="Times New Roman" w:hAnsi="Times New Roman" w:cs="Times New Roman"/>
          <w:sz w:val="24"/>
          <w:szCs w:val="24"/>
        </w:rPr>
        <w:t xml:space="preserve"> a to </w:t>
      </w:r>
      <w:r w:rsidR="00E00713" w:rsidRPr="007577DE">
        <w:rPr>
          <w:rFonts w:ascii="Times New Roman" w:hAnsi="Times New Roman" w:cs="Times New Roman"/>
          <w:sz w:val="24"/>
          <w:szCs w:val="24"/>
        </w:rPr>
        <w:t>takmer dvojnásobok plánovanej</w:t>
      </w:r>
      <w:r w:rsidR="00CC11E5" w:rsidRPr="007577DE">
        <w:rPr>
          <w:rFonts w:ascii="Times New Roman" w:hAnsi="Times New Roman" w:cs="Times New Roman"/>
          <w:sz w:val="24"/>
          <w:szCs w:val="24"/>
        </w:rPr>
        <w:t xml:space="preserve"> úspory, k čomu významne prispeli aj dodatočné f</w:t>
      </w:r>
      <w:r w:rsidR="00E00713" w:rsidRPr="007577DE">
        <w:rPr>
          <w:rFonts w:ascii="Times New Roman" w:hAnsi="Times New Roman" w:cs="Times New Roman"/>
          <w:sz w:val="24"/>
          <w:szCs w:val="24"/>
        </w:rPr>
        <w:t>inančné prostriedky</w:t>
      </w:r>
      <w:r w:rsidR="00CC11E5" w:rsidRPr="007577DE">
        <w:rPr>
          <w:rFonts w:ascii="Times New Roman" w:hAnsi="Times New Roman" w:cs="Times New Roman"/>
          <w:sz w:val="24"/>
          <w:szCs w:val="24"/>
        </w:rPr>
        <w:t xml:space="preserve"> realokované z troch operačných programov programového obdobia 2007 – 2013</w:t>
      </w:r>
      <w:r w:rsidR="00E72DF6" w:rsidRPr="007577DE">
        <w:rPr>
          <w:rFonts w:ascii="Times New Roman" w:hAnsi="Times New Roman" w:cs="Times New Roman"/>
          <w:sz w:val="24"/>
          <w:szCs w:val="24"/>
        </w:rPr>
        <w:t>,</w:t>
      </w:r>
      <w:r w:rsidR="00CC11E5" w:rsidRPr="007577DE">
        <w:rPr>
          <w:rFonts w:ascii="Times New Roman" w:hAnsi="Times New Roman" w:cs="Times New Roman"/>
          <w:sz w:val="24"/>
          <w:szCs w:val="24"/>
        </w:rPr>
        <w:t xml:space="preserve"> a to z ROP, OPBK a OP KaHR.</w:t>
      </w:r>
      <w:r w:rsidR="00E00713" w:rsidRPr="007577DE">
        <w:rPr>
          <w:rFonts w:ascii="Times New Roman" w:hAnsi="Times New Roman" w:cs="Times New Roman"/>
          <w:sz w:val="24"/>
          <w:szCs w:val="24"/>
        </w:rPr>
        <w:t xml:space="preserve">  </w:t>
      </w:r>
    </w:p>
    <w:p w14:paraId="03660BC3" w14:textId="3BF90771" w:rsidR="00567A8F" w:rsidRPr="007577DE" w:rsidRDefault="004C3A87" w:rsidP="000578FE">
      <w:pPr>
        <w:jc w:val="both"/>
        <w:rPr>
          <w:rFonts w:ascii="Times New Roman" w:hAnsi="Times New Roman" w:cs="Times New Roman"/>
          <w:sz w:val="24"/>
          <w:szCs w:val="24"/>
        </w:rPr>
      </w:pPr>
      <w:r w:rsidRPr="007577DE">
        <w:rPr>
          <w:rFonts w:ascii="Times New Roman" w:hAnsi="Times New Roman" w:cs="Times New Roman"/>
          <w:sz w:val="24"/>
          <w:szCs w:val="24"/>
        </w:rPr>
        <w:t xml:space="preserve"> Veľmi dôležitým segmentom je priemysel</w:t>
      </w:r>
      <w:r w:rsidR="00CC11E5" w:rsidRPr="007577DE">
        <w:rPr>
          <w:rFonts w:ascii="Times New Roman" w:hAnsi="Times New Roman" w:cs="Times New Roman"/>
          <w:sz w:val="24"/>
          <w:szCs w:val="24"/>
        </w:rPr>
        <w:t xml:space="preserve">, kde </w:t>
      </w:r>
      <w:r w:rsidR="00A17E88" w:rsidRPr="007577DE">
        <w:rPr>
          <w:rFonts w:ascii="Times New Roman" w:hAnsi="Times New Roman" w:cs="Times New Roman"/>
          <w:sz w:val="24"/>
          <w:szCs w:val="24"/>
        </w:rPr>
        <w:t xml:space="preserve">sa </w:t>
      </w:r>
      <w:r w:rsidR="00CC11E5" w:rsidRPr="007577DE">
        <w:rPr>
          <w:rFonts w:ascii="Times New Roman" w:hAnsi="Times New Roman" w:cs="Times New Roman"/>
          <w:sz w:val="24"/>
          <w:szCs w:val="24"/>
        </w:rPr>
        <w:t xml:space="preserve">zavedením povinných energetických auditov od roku 2009 </w:t>
      </w:r>
      <w:r w:rsidR="007F058E" w:rsidRPr="007577DE">
        <w:rPr>
          <w:rFonts w:ascii="Times New Roman" w:hAnsi="Times New Roman" w:cs="Times New Roman"/>
          <w:sz w:val="24"/>
          <w:szCs w:val="24"/>
        </w:rPr>
        <w:t xml:space="preserve">a sprístupnením finančných mechanizmov, </w:t>
      </w:r>
      <w:r w:rsidR="00CC11E5" w:rsidRPr="007577DE">
        <w:rPr>
          <w:rFonts w:ascii="Times New Roman" w:hAnsi="Times New Roman" w:cs="Times New Roman"/>
          <w:sz w:val="24"/>
          <w:szCs w:val="24"/>
        </w:rPr>
        <w:t>začalo intenzívnejšie využívanie potenciálu úspor energie</w:t>
      </w:r>
      <w:r w:rsidR="00965D08" w:rsidRPr="007577DE">
        <w:rPr>
          <w:rFonts w:ascii="Times New Roman" w:hAnsi="Times New Roman" w:cs="Times New Roman"/>
          <w:sz w:val="24"/>
          <w:szCs w:val="24"/>
        </w:rPr>
        <w:t xml:space="preserve">.  </w:t>
      </w:r>
      <w:r w:rsidRPr="007577DE">
        <w:rPr>
          <w:rFonts w:ascii="Times New Roman" w:hAnsi="Times New Roman" w:cs="Times New Roman"/>
          <w:sz w:val="24"/>
          <w:szCs w:val="24"/>
        </w:rPr>
        <w:t xml:space="preserve"> </w:t>
      </w:r>
    </w:p>
    <w:p w14:paraId="3D90A452" w14:textId="3BCF540C" w:rsidR="0035512F" w:rsidRPr="009F2998" w:rsidRDefault="0035512F">
      <w:pPr>
        <w:rPr>
          <w:rFonts w:ascii="Times New Roman" w:eastAsiaTheme="majorEastAsia" w:hAnsi="Times New Roman" w:cs="Times New Roman"/>
          <w:b/>
          <w:bCs/>
          <w:color w:val="5B9BD5" w:themeColor="accent1"/>
        </w:rPr>
      </w:pPr>
    </w:p>
    <w:p w14:paraId="092F2951" w14:textId="77777777" w:rsidR="003C52E4" w:rsidRPr="003C52E4" w:rsidRDefault="003C52E4" w:rsidP="003C52E4">
      <w:pPr>
        <w:pStyle w:val="Odsekzoznamu"/>
        <w:numPr>
          <w:ilvl w:val="0"/>
          <w:numId w:val="43"/>
        </w:numPr>
        <w:spacing w:before="200" w:after="0"/>
        <w:contextualSpacing w:val="0"/>
        <w:outlineLvl w:val="2"/>
        <w:rPr>
          <w:rFonts w:ascii="Times New Roman" w:eastAsiaTheme="majorEastAsia" w:hAnsi="Times New Roman" w:cs="Times New Roman"/>
          <w:b/>
          <w:bCs/>
          <w:vanish/>
        </w:rPr>
      </w:pPr>
      <w:bookmarkStart w:id="46" w:name="_Toc480547228"/>
      <w:bookmarkEnd w:id="46"/>
    </w:p>
    <w:p w14:paraId="445EBAE5" w14:textId="77777777" w:rsidR="003C52E4" w:rsidRPr="003C52E4" w:rsidRDefault="003C52E4" w:rsidP="003C52E4">
      <w:pPr>
        <w:pStyle w:val="Odsekzoznamu"/>
        <w:numPr>
          <w:ilvl w:val="1"/>
          <w:numId w:val="43"/>
        </w:numPr>
        <w:spacing w:before="200" w:after="0"/>
        <w:contextualSpacing w:val="0"/>
        <w:outlineLvl w:val="2"/>
        <w:rPr>
          <w:rFonts w:ascii="Times New Roman" w:eastAsiaTheme="majorEastAsia" w:hAnsi="Times New Roman" w:cs="Times New Roman"/>
          <w:b/>
          <w:bCs/>
          <w:vanish/>
        </w:rPr>
      </w:pPr>
      <w:bookmarkStart w:id="47" w:name="_Toc480547229"/>
      <w:bookmarkEnd w:id="47"/>
    </w:p>
    <w:p w14:paraId="613E96D1" w14:textId="77777777" w:rsidR="003C52E4" w:rsidRPr="003C52E4" w:rsidRDefault="003C52E4" w:rsidP="003C52E4">
      <w:pPr>
        <w:pStyle w:val="Odsekzoznamu"/>
        <w:numPr>
          <w:ilvl w:val="1"/>
          <w:numId w:val="43"/>
        </w:numPr>
        <w:spacing w:before="200" w:after="0"/>
        <w:contextualSpacing w:val="0"/>
        <w:outlineLvl w:val="2"/>
        <w:rPr>
          <w:rFonts w:ascii="Times New Roman" w:eastAsiaTheme="majorEastAsia" w:hAnsi="Times New Roman" w:cs="Times New Roman"/>
          <w:b/>
          <w:bCs/>
          <w:vanish/>
        </w:rPr>
      </w:pPr>
      <w:bookmarkStart w:id="48" w:name="_Toc480547230"/>
      <w:bookmarkEnd w:id="48"/>
    </w:p>
    <w:p w14:paraId="6840381B" w14:textId="0134CA39" w:rsidR="001D5205" w:rsidRPr="000578FE" w:rsidRDefault="001D5205" w:rsidP="005F7B58">
      <w:pPr>
        <w:pStyle w:val="Nadpis3"/>
        <w:keepNext w:val="0"/>
        <w:keepLines w:val="0"/>
        <w:numPr>
          <w:ilvl w:val="2"/>
          <w:numId w:val="43"/>
        </w:numPr>
        <w:rPr>
          <w:rFonts w:ascii="Times New Roman" w:hAnsi="Times New Roman" w:cs="Times New Roman"/>
          <w:color w:val="auto"/>
        </w:rPr>
      </w:pPr>
      <w:bookmarkStart w:id="49" w:name="_Toc480547231"/>
      <w:r w:rsidRPr="000578FE">
        <w:rPr>
          <w:rFonts w:ascii="Times New Roman" w:hAnsi="Times New Roman" w:cs="Times New Roman"/>
          <w:color w:val="auto"/>
        </w:rPr>
        <w:t>Opatrenia energetickej efektívnosti v sektore budov</w:t>
      </w:r>
      <w:bookmarkEnd w:id="49"/>
    </w:p>
    <w:p w14:paraId="02B549F1" w14:textId="6FC47C92" w:rsidR="007666A5" w:rsidRPr="009F2998" w:rsidRDefault="007666A5" w:rsidP="000B4A2F">
      <w:pPr>
        <w:jc w:val="both"/>
        <w:rPr>
          <w:rFonts w:ascii="Times New Roman" w:hAnsi="Times New Roman" w:cs="Times New Roman"/>
        </w:rPr>
      </w:pPr>
    </w:p>
    <w:p w14:paraId="7FE245C3" w14:textId="081D8FD2" w:rsidR="007666A5" w:rsidRPr="007577DE" w:rsidRDefault="007666A5" w:rsidP="000B4A2F">
      <w:pPr>
        <w:jc w:val="both"/>
        <w:rPr>
          <w:rFonts w:ascii="Times New Roman" w:hAnsi="Times New Roman" w:cs="Times New Roman"/>
          <w:sz w:val="24"/>
          <w:szCs w:val="24"/>
        </w:rPr>
      </w:pPr>
      <w:r w:rsidRPr="007577DE">
        <w:rPr>
          <w:rFonts w:ascii="Times New Roman" w:hAnsi="Times New Roman" w:cs="Times New Roman"/>
          <w:sz w:val="24"/>
          <w:szCs w:val="24"/>
        </w:rPr>
        <w:t>Opatrenia energetickej efektívnosti v sektore budov sú zamerané najmä na:</w:t>
      </w:r>
    </w:p>
    <w:p w14:paraId="269B5848" w14:textId="10FECFF5" w:rsidR="007666A5" w:rsidRPr="007577DE" w:rsidRDefault="007666A5" w:rsidP="008F19ED">
      <w:pPr>
        <w:pStyle w:val="Odsekzoznamu"/>
        <w:numPr>
          <w:ilvl w:val="0"/>
          <w:numId w:val="6"/>
        </w:numPr>
        <w:jc w:val="both"/>
        <w:rPr>
          <w:rFonts w:ascii="Times New Roman" w:hAnsi="Times New Roman" w:cs="Times New Roman"/>
          <w:sz w:val="24"/>
          <w:szCs w:val="24"/>
        </w:rPr>
      </w:pPr>
      <w:r w:rsidRPr="007577DE">
        <w:rPr>
          <w:rFonts w:ascii="Times New Roman" w:hAnsi="Times New Roman" w:cs="Times New Roman"/>
          <w:sz w:val="24"/>
          <w:szCs w:val="24"/>
        </w:rPr>
        <w:t xml:space="preserve">zlepšovanie tepelnotechnických vlastností budov </w:t>
      </w:r>
      <w:r w:rsidR="00D555FE">
        <w:rPr>
          <w:rFonts w:ascii="Times New Roman" w:hAnsi="Times New Roman" w:cs="Times New Roman"/>
          <w:sz w:val="24"/>
          <w:szCs w:val="24"/>
        </w:rPr>
        <w:t>významnou</w:t>
      </w:r>
      <w:r w:rsidR="00D555FE" w:rsidRPr="007577DE">
        <w:rPr>
          <w:rFonts w:ascii="Times New Roman" w:hAnsi="Times New Roman" w:cs="Times New Roman"/>
          <w:sz w:val="24"/>
          <w:szCs w:val="24"/>
        </w:rPr>
        <w:t xml:space="preserve"> </w:t>
      </w:r>
      <w:r w:rsidRPr="007577DE">
        <w:rPr>
          <w:rFonts w:ascii="Times New Roman" w:hAnsi="Times New Roman" w:cs="Times New Roman"/>
          <w:sz w:val="24"/>
          <w:szCs w:val="24"/>
        </w:rPr>
        <w:t>alebo čiastkovou obnovou,</w:t>
      </w:r>
    </w:p>
    <w:p w14:paraId="3096981A" w14:textId="77777777" w:rsidR="007666A5" w:rsidRPr="007577DE" w:rsidRDefault="007666A5" w:rsidP="008F19ED">
      <w:pPr>
        <w:pStyle w:val="Odsekzoznamu"/>
        <w:numPr>
          <w:ilvl w:val="0"/>
          <w:numId w:val="6"/>
        </w:numPr>
        <w:jc w:val="both"/>
        <w:rPr>
          <w:rFonts w:ascii="Times New Roman" w:hAnsi="Times New Roman" w:cs="Times New Roman"/>
          <w:sz w:val="24"/>
          <w:szCs w:val="24"/>
        </w:rPr>
      </w:pPr>
      <w:r w:rsidRPr="007577DE">
        <w:rPr>
          <w:rFonts w:ascii="Times New Roman" w:hAnsi="Times New Roman" w:cs="Times New Roman"/>
          <w:sz w:val="24"/>
          <w:szCs w:val="24"/>
        </w:rPr>
        <w:t>novú výstavbu nízkoenergetických a ultranízkoenergetických budov ako aj budov s takmer nulovou potrebou energie,</w:t>
      </w:r>
    </w:p>
    <w:p w14:paraId="1C55DE09" w14:textId="74254505" w:rsidR="007666A5" w:rsidRDefault="00E67FF3" w:rsidP="00E67FF3">
      <w:pPr>
        <w:pStyle w:val="Odsekzoznamu"/>
        <w:numPr>
          <w:ilvl w:val="0"/>
          <w:numId w:val="6"/>
        </w:numPr>
        <w:jc w:val="both"/>
        <w:rPr>
          <w:rFonts w:ascii="Times New Roman" w:hAnsi="Times New Roman" w:cs="Times New Roman"/>
          <w:sz w:val="24"/>
          <w:szCs w:val="24"/>
        </w:rPr>
      </w:pPr>
      <w:r w:rsidRPr="007577DE">
        <w:rPr>
          <w:rFonts w:ascii="Times New Roman" w:hAnsi="Times New Roman" w:cs="Times New Roman"/>
          <w:sz w:val="24"/>
          <w:szCs w:val="24"/>
        </w:rPr>
        <w:t>opatrenia na úsporu energie na technických zariadeniach budov realizované na základe aplikácie koncepčných a strategických materiálov, legislatívnych povinností alebo prostredníctvom energetických služieb.</w:t>
      </w:r>
    </w:p>
    <w:p w14:paraId="54790867" w14:textId="6A2C70AB" w:rsidR="00DF3038" w:rsidRPr="000578FE" w:rsidRDefault="00DF3038" w:rsidP="005F7B58">
      <w:pPr>
        <w:keepNext/>
        <w:jc w:val="both"/>
        <w:rPr>
          <w:rFonts w:ascii="Times New Roman" w:hAnsi="Times New Roman" w:cs="Times New Roman"/>
          <w:sz w:val="24"/>
          <w:szCs w:val="24"/>
        </w:rPr>
      </w:pPr>
      <w:r w:rsidRPr="00DF3038">
        <w:rPr>
          <w:rFonts w:ascii="Times New Roman" w:hAnsi="Times New Roman" w:cs="Times New Roman"/>
          <w:sz w:val="24"/>
          <w:szCs w:val="24"/>
        </w:rPr>
        <w:lastRenderedPageBreak/>
        <w:t xml:space="preserve">Graf č. </w:t>
      </w:r>
      <w:r w:rsidR="00AE42A2">
        <w:rPr>
          <w:rFonts w:ascii="Times New Roman" w:hAnsi="Times New Roman" w:cs="Times New Roman"/>
          <w:sz w:val="24"/>
          <w:szCs w:val="24"/>
        </w:rPr>
        <w:t>7</w:t>
      </w:r>
      <w:r w:rsidRPr="00DF3038">
        <w:rPr>
          <w:rFonts w:ascii="Times New Roman" w:hAnsi="Times New Roman" w:cs="Times New Roman"/>
          <w:sz w:val="24"/>
          <w:szCs w:val="24"/>
        </w:rPr>
        <w:t xml:space="preserve">: </w:t>
      </w:r>
      <w:r w:rsidRPr="000578FE">
        <w:rPr>
          <w:rFonts w:ascii="Times New Roman" w:hAnsi="Times New Roman" w:cs="Times New Roman"/>
          <w:sz w:val="24"/>
          <w:szCs w:val="24"/>
        </w:rPr>
        <w:t>Zníženie konečnej energetickej spotreby  v sektore budov - podiel skupín opatrení na plnení cieľa v rokoch 2014-2016</w:t>
      </w:r>
    </w:p>
    <w:tbl>
      <w:tblPr>
        <w:tblStyle w:val="Mriekatabuky"/>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2872A4" w:rsidRPr="009F2998" w14:paraId="5E9F5C86" w14:textId="77777777" w:rsidTr="00AC7FF7">
        <w:trPr>
          <w:trHeight w:val="3748"/>
          <w:jc w:val="center"/>
        </w:trPr>
        <w:tc>
          <w:tcPr>
            <w:tcW w:w="2500" w:type="pct"/>
          </w:tcPr>
          <w:p w14:paraId="444E48F0" w14:textId="383263A6" w:rsidR="002872A4" w:rsidRPr="009F2998" w:rsidRDefault="002872A4" w:rsidP="002872A4">
            <w:pPr>
              <w:jc w:val="center"/>
              <w:rPr>
                <w:rFonts w:ascii="Times New Roman" w:hAnsi="Times New Roman" w:cs="Times New Roman"/>
                <w:highlight w:val="yellow"/>
              </w:rPr>
            </w:pPr>
            <w:r w:rsidRPr="009F2998">
              <w:rPr>
                <w:rFonts w:ascii="Times New Roman" w:hAnsi="Times New Roman" w:cs="Times New Roman"/>
                <w:noProof/>
                <w:lang w:eastAsia="sk-SK"/>
              </w:rPr>
              <w:drawing>
                <wp:anchor distT="0" distB="0" distL="114300" distR="114300" simplePos="0" relativeHeight="251658240" behindDoc="0" locked="0" layoutInCell="1" allowOverlap="1" wp14:anchorId="59236AD9" wp14:editId="75390FF4">
                  <wp:simplePos x="0" y="0"/>
                  <wp:positionH relativeFrom="column">
                    <wp:posOffset>196850</wp:posOffset>
                  </wp:positionH>
                  <wp:positionV relativeFrom="paragraph">
                    <wp:posOffset>81915</wp:posOffset>
                  </wp:positionV>
                  <wp:extent cx="2257425" cy="2190750"/>
                  <wp:effectExtent l="0" t="0" r="0" b="0"/>
                  <wp:wrapNone/>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tc>
        <w:tc>
          <w:tcPr>
            <w:tcW w:w="2500" w:type="pct"/>
          </w:tcPr>
          <w:tbl>
            <w:tblPr>
              <w:tblpPr w:leftFromText="141" w:rightFromText="141" w:vertAnchor="text" w:horzAnchor="margin" w:tblpY="599"/>
              <w:tblOverlap w:val="never"/>
              <w:tblW w:w="4111" w:type="dxa"/>
              <w:tblCellMar>
                <w:left w:w="70" w:type="dxa"/>
                <w:right w:w="70" w:type="dxa"/>
              </w:tblCellMar>
              <w:tblLook w:val="04A0" w:firstRow="1" w:lastRow="0" w:firstColumn="1" w:lastColumn="0" w:noHBand="0" w:noVBand="1"/>
            </w:tblPr>
            <w:tblGrid>
              <w:gridCol w:w="378"/>
              <w:gridCol w:w="2599"/>
              <w:gridCol w:w="1134"/>
            </w:tblGrid>
            <w:tr w:rsidR="002872A4" w:rsidRPr="003504A2" w14:paraId="457114E1" w14:textId="77777777" w:rsidTr="002872A4">
              <w:trPr>
                <w:trHeight w:val="315"/>
              </w:trPr>
              <w:tc>
                <w:tcPr>
                  <w:tcW w:w="3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9BA05" w14:textId="77777777" w:rsidR="002872A4" w:rsidRPr="004E746F" w:rsidRDefault="002872A4" w:rsidP="002872A4">
                  <w:pPr>
                    <w:spacing w:after="0" w:line="240" w:lineRule="auto"/>
                    <w:jc w:val="center"/>
                    <w:rPr>
                      <w:rFonts w:ascii="Times New Roman" w:eastAsia="Times New Roman" w:hAnsi="Times New Roman" w:cs="Times New Roman"/>
                      <w:color w:val="000000"/>
                      <w:sz w:val="20"/>
                      <w:szCs w:val="20"/>
                      <w:lang w:eastAsia="sk-SK"/>
                    </w:rPr>
                  </w:pPr>
                </w:p>
              </w:tc>
              <w:tc>
                <w:tcPr>
                  <w:tcW w:w="2599" w:type="dxa"/>
                  <w:tcBorders>
                    <w:top w:val="single" w:sz="4" w:space="0" w:color="auto"/>
                    <w:left w:val="nil"/>
                    <w:bottom w:val="single" w:sz="4" w:space="0" w:color="auto"/>
                    <w:right w:val="single" w:sz="4" w:space="0" w:color="auto"/>
                  </w:tcBorders>
                  <w:shd w:val="clear" w:color="auto" w:fill="auto"/>
                  <w:noWrap/>
                  <w:vAlign w:val="bottom"/>
                  <w:hideMark/>
                </w:tcPr>
                <w:p w14:paraId="12A2139B" w14:textId="77777777" w:rsidR="002872A4" w:rsidRPr="003504A2" w:rsidRDefault="002872A4" w:rsidP="002872A4">
                  <w:pPr>
                    <w:spacing w:after="0" w:line="240" w:lineRule="auto"/>
                    <w:rPr>
                      <w:rFonts w:ascii="Times New Roman" w:eastAsia="Times New Roman" w:hAnsi="Times New Roman" w:cs="Times New Roman"/>
                      <w:color w:val="000000"/>
                      <w:sz w:val="20"/>
                      <w:szCs w:val="20"/>
                      <w:lang w:eastAsia="sk-SK"/>
                    </w:rPr>
                  </w:pPr>
                  <w:r w:rsidRPr="003504A2">
                    <w:rPr>
                      <w:rFonts w:ascii="Times New Roman" w:eastAsia="Times New Roman" w:hAnsi="Times New Roman" w:cs="Times New Roman"/>
                      <w:color w:val="000000"/>
                      <w:sz w:val="20"/>
                      <w:szCs w:val="20"/>
                      <w:lang w:eastAsia="sk-SK"/>
                    </w:rPr>
                    <w:t>Skupiny opatrení v budovách:</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ED6E737" w14:textId="77777777" w:rsidR="002872A4" w:rsidRPr="003504A2" w:rsidRDefault="002872A4" w:rsidP="002872A4">
                  <w:pPr>
                    <w:spacing w:after="0" w:line="240" w:lineRule="auto"/>
                    <w:jc w:val="center"/>
                    <w:rPr>
                      <w:rFonts w:ascii="Times New Roman" w:eastAsia="Times New Roman" w:hAnsi="Times New Roman" w:cs="Times New Roman"/>
                      <w:color w:val="000000"/>
                      <w:sz w:val="20"/>
                      <w:szCs w:val="20"/>
                      <w:lang w:eastAsia="sk-SK"/>
                    </w:rPr>
                  </w:pPr>
                  <w:r w:rsidRPr="003504A2">
                    <w:rPr>
                      <w:rFonts w:ascii="Times New Roman" w:eastAsia="Times New Roman" w:hAnsi="Times New Roman" w:cs="Times New Roman"/>
                      <w:color w:val="000000"/>
                      <w:sz w:val="20"/>
                      <w:szCs w:val="20"/>
                      <w:lang w:eastAsia="sk-SK"/>
                    </w:rPr>
                    <w:t>Úspora [TJ]</w:t>
                  </w:r>
                </w:p>
              </w:tc>
            </w:tr>
            <w:tr w:rsidR="00790618" w:rsidRPr="003504A2" w14:paraId="7A64DA11" w14:textId="77777777" w:rsidTr="005F7B58">
              <w:trPr>
                <w:trHeight w:val="499"/>
              </w:trPr>
              <w:tc>
                <w:tcPr>
                  <w:tcW w:w="378" w:type="dxa"/>
                  <w:tcBorders>
                    <w:top w:val="nil"/>
                    <w:left w:val="single" w:sz="4" w:space="0" w:color="auto"/>
                    <w:bottom w:val="single" w:sz="4" w:space="0" w:color="auto"/>
                    <w:right w:val="single" w:sz="4" w:space="0" w:color="auto"/>
                  </w:tcBorders>
                  <w:shd w:val="clear" w:color="000000" w:fill="FF7857"/>
                  <w:noWrap/>
                  <w:vAlign w:val="bottom"/>
                  <w:hideMark/>
                </w:tcPr>
                <w:p w14:paraId="1E3AC4CC" w14:textId="77777777" w:rsidR="00790618" w:rsidRPr="004E746F" w:rsidRDefault="00790618" w:rsidP="00790618">
                  <w:pPr>
                    <w:spacing w:after="0" w:line="240" w:lineRule="auto"/>
                    <w:rPr>
                      <w:rFonts w:ascii="Times New Roman" w:eastAsia="Times New Roman" w:hAnsi="Times New Roman" w:cs="Times New Roman"/>
                      <w:color w:val="000000"/>
                      <w:sz w:val="20"/>
                      <w:szCs w:val="20"/>
                      <w:lang w:eastAsia="sk-SK"/>
                    </w:rPr>
                  </w:pPr>
                  <w:r w:rsidRPr="004E746F">
                    <w:rPr>
                      <w:rFonts w:ascii="Times New Roman" w:eastAsia="Times New Roman" w:hAnsi="Times New Roman" w:cs="Times New Roman"/>
                      <w:color w:val="000000"/>
                      <w:sz w:val="20"/>
                      <w:szCs w:val="20"/>
                      <w:lang w:eastAsia="sk-SK"/>
                    </w:rPr>
                    <w:t> </w:t>
                  </w:r>
                </w:p>
              </w:tc>
              <w:tc>
                <w:tcPr>
                  <w:tcW w:w="2599" w:type="dxa"/>
                  <w:tcBorders>
                    <w:top w:val="nil"/>
                    <w:left w:val="nil"/>
                    <w:bottom w:val="single" w:sz="4" w:space="0" w:color="auto"/>
                    <w:right w:val="single" w:sz="4" w:space="0" w:color="auto"/>
                  </w:tcBorders>
                  <w:shd w:val="clear" w:color="auto" w:fill="auto"/>
                  <w:vAlign w:val="center"/>
                  <w:hideMark/>
                </w:tcPr>
                <w:p w14:paraId="4F9C7D68" w14:textId="77777777" w:rsidR="00790618" w:rsidRPr="003504A2" w:rsidRDefault="00790618" w:rsidP="00790618">
                  <w:pPr>
                    <w:spacing w:after="0" w:line="240" w:lineRule="auto"/>
                    <w:rPr>
                      <w:rFonts w:ascii="Times New Roman" w:eastAsia="Times New Roman" w:hAnsi="Times New Roman" w:cs="Times New Roman"/>
                      <w:color w:val="000000"/>
                      <w:sz w:val="20"/>
                      <w:szCs w:val="20"/>
                      <w:lang w:eastAsia="sk-SK"/>
                    </w:rPr>
                  </w:pPr>
                  <w:r w:rsidRPr="003504A2">
                    <w:rPr>
                      <w:rFonts w:ascii="Times New Roman" w:eastAsia="Times New Roman" w:hAnsi="Times New Roman" w:cs="Times New Roman"/>
                      <w:color w:val="000000"/>
                      <w:sz w:val="20"/>
                      <w:szCs w:val="20"/>
                      <w:lang w:eastAsia="sk-SK"/>
                    </w:rPr>
                    <w:t>Zlepšovanie tepelno-technických vlastností budov</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3DA92" w14:textId="64A8A7C3" w:rsidR="00790618" w:rsidRPr="00790618" w:rsidRDefault="00790618" w:rsidP="008A2E69">
                  <w:pPr>
                    <w:spacing w:after="0" w:line="240" w:lineRule="auto"/>
                    <w:jc w:val="right"/>
                    <w:rPr>
                      <w:rFonts w:ascii="Times New Roman" w:eastAsia="Times New Roman" w:hAnsi="Times New Roman" w:cs="Times New Roman"/>
                      <w:color w:val="000000"/>
                      <w:sz w:val="20"/>
                      <w:szCs w:val="20"/>
                      <w:lang w:eastAsia="sk-SK"/>
                    </w:rPr>
                  </w:pPr>
                  <w:r w:rsidRPr="005F7B58">
                    <w:rPr>
                      <w:rFonts w:ascii="Times New Roman" w:hAnsi="Times New Roman" w:cs="Times New Roman"/>
                      <w:sz w:val="20"/>
                      <w:szCs w:val="20"/>
                    </w:rPr>
                    <w:t>4 227,60</w:t>
                  </w:r>
                </w:p>
              </w:tc>
            </w:tr>
            <w:tr w:rsidR="00790618" w:rsidRPr="003504A2" w14:paraId="3B3B79D0" w14:textId="77777777" w:rsidTr="005F7B58">
              <w:trPr>
                <w:trHeight w:val="499"/>
              </w:trPr>
              <w:tc>
                <w:tcPr>
                  <w:tcW w:w="378" w:type="dxa"/>
                  <w:tcBorders>
                    <w:top w:val="nil"/>
                    <w:left w:val="single" w:sz="4" w:space="0" w:color="auto"/>
                    <w:bottom w:val="single" w:sz="4" w:space="0" w:color="auto"/>
                    <w:right w:val="single" w:sz="4" w:space="0" w:color="auto"/>
                  </w:tcBorders>
                  <w:shd w:val="clear" w:color="000000" w:fill="FF9933"/>
                  <w:noWrap/>
                  <w:vAlign w:val="bottom"/>
                  <w:hideMark/>
                </w:tcPr>
                <w:p w14:paraId="0A0EC5E0" w14:textId="77777777" w:rsidR="00790618" w:rsidRPr="004E746F" w:rsidRDefault="00790618" w:rsidP="00790618">
                  <w:pPr>
                    <w:spacing w:after="0" w:line="240" w:lineRule="auto"/>
                    <w:rPr>
                      <w:rFonts w:ascii="Times New Roman" w:eastAsia="Times New Roman" w:hAnsi="Times New Roman" w:cs="Times New Roman"/>
                      <w:color w:val="000000"/>
                      <w:sz w:val="20"/>
                      <w:szCs w:val="20"/>
                      <w:lang w:eastAsia="sk-SK"/>
                    </w:rPr>
                  </w:pPr>
                  <w:r w:rsidRPr="004E746F">
                    <w:rPr>
                      <w:rFonts w:ascii="Times New Roman" w:eastAsia="Times New Roman" w:hAnsi="Times New Roman" w:cs="Times New Roman"/>
                      <w:color w:val="000000"/>
                      <w:sz w:val="20"/>
                      <w:szCs w:val="20"/>
                      <w:lang w:eastAsia="sk-SK"/>
                    </w:rPr>
                    <w:t> </w:t>
                  </w:r>
                </w:p>
              </w:tc>
              <w:tc>
                <w:tcPr>
                  <w:tcW w:w="2599" w:type="dxa"/>
                  <w:tcBorders>
                    <w:top w:val="nil"/>
                    <w:left w:val="nil"/>
                    <w:bottom w:val="single" w:sz="4" w:space="0" w:color="auto"/>
                    <w:right w:val="single" w:sz="4" w:space="0" w:color="auto"/>
                  </w:tcBorders>
                  <w:shd w:val="clear" w:color="auto" w:fill="auto"/>
                  <w:vAlign w:val="center"/>
                  <w:hideMark/>
                </w:tcPr>
                <w:p w14:paraId="73C9D40D" w14:textId="77777777" w:rsidR="00790618" w:rsidRPr="003504A2" w:rsidRDefault="00790618" w:rsidP="00790618">
                  <w:pPr>
                    <w:spacing w:after="0" w:line="240" w:lineRule="auto"/>
                    <w:rPr>
                      <w:rFonts w:ascii="Times New Roman" w:eastAsia="Times New Roman" w:hAnsi="Times New Roman" w:cs="Times New Roman"/>
                      <w:color w:val="000000"/>
                      <w:sz w:val="20"/>
                      <w:szCs w:val="20"/>
                      <w:lang w:eastAsia="sk-SK"/>
                    </w:rPr>
                  </w:pPr>
                  <w:r w:rsidRPr="003504A2">
                    <w:rPr>
                      <w:rFonts w:ascii="Times New Roman" w:eastAsia="Times New Roman" w:hAnsi="Times New Roman" w:cs="Times New Roman"/>
                      <w:color w:val="000000"/>
                      <w:sz w:val="20"/>
                      <w:szCs w:val="20"/>
                      <w:lang w:eastAsia="sk-SK"/>
                    </w:rPr>
                    <w:t>Nová výstavba v nízkoenergetickom štandarde</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20D8E0F9" w14:textId="3538E026" w:rsidR="00790618" w:rsidRPr="00790618" w:rsidRDefault="00790618" w:rsidP="008A2E69">
                  <w:pPr>
                    <w:spacing w:after="0" w:line="240" w:lineRule="auto"/>
                    <w:jc w:val="right"/>
                    <w:rPr>
                      <w:rFonts w:ascii="Times New Roman" w:eastAsia="Times New Roman" w:hAnsi="Times New Roman" w:cs="Times New Roman"/>
                      <w:color w:val="000000"/>
                      <w:sz w:val="20"/>
                      <w:szCs w:val="20"/>
                      <w:lang w:eastAsia="sk-SK"/>
                    </w:rPr>
                  </w:pPr>
                  <w:r w:rsidRPr="005F7B58">
                    <w:rPr>
                      <w:rFonts w:ascii="Times New Roman" w:hAnsi="Times New Roman" w:cs="Times New Roman"/>
                      <w:sz w:val="20"/>
                      <w:szCs w:val="20"/>
                    </w:rPr>
                    <w:t>340,23</w:t>
                  </w:r>
                </w:p>
              </w:tc>
            </w:tr>
            <w:tr w:rsidR="00790618" w:rsidRPr="003504A2" w14:paraId="4DDE9570" w14:textId="77777777" w:rsidTr="005F7B58">
              <w:trPr>
                <w:trHeight w:val="360"/>
              </w:trPr>
              <w:tc>
                <w:tcPr>
                  <w:tcW w:w="378" w:type="dxa"/>
                  <w:tcBorders>
                    <w:top w:val="nil"/>
                    <w:left w:val="single" w:sz="4" w:space="0" w:color="auto"/>
                    <w:bottom w:val="single" w:sz="4" w:space="0" w:color="auto"/>
                    <w:right w:val="single" w:sz="4" w:space="0" w:color="auto"/>
                  </w:tcBorders>
                  <w:shd w:val="clear" w:color="000000" w:fill="FFCC00"/>
                  <w:noWrap/>
                  <w:vAlign w:val="bottom"/>
                  <w:hideMark/>
                </w:tcPr>
                <w:p w14:paraId="73BCF3BB" w14:textId="77777777" w:rsidR="00790618" w:rsidRPr="004E746F" w:rsidRDefault="00790618" w:rsidP="00790618">
                  <w:pPr>
                    <w:spacing w:after="0" w:line="240" w:lineRule="auto"/>
                    <w:rPr>
                      <w:rFonts w:ascii="Times New Roman" w:eastAsia="Times New Roman" w:hAnsi="Times New Roman" w:cs="Times New Roman"/>
                      <w:color w:val="000000"/>
                      <w:sz w:val="20"/>
                      <w:szCs w:val="20"/>
                      <w:lang w:eastAsia="sk-SK"/>
                    </w:rPr>
                  </w:pPr>
                  <w:r w:rsidRPr="004E746F">
                    <w:rPr>
                      <w:rFonts w:ascii="Times New Roman" w:eastAsia="Times New Roman" w:hAnsi="Times New Roman" w:cs="Times New Roman"/>
                      <w:color w:val="000000"/>
                      <w:sz w:val="20"/>
                      <w:szCs w:val="20"/>
                      <w:lang w:eastAsia="sk-SK"/>
                    </w:rPr>
                    <w:t> </w:t>
                  </w:r>
                </w:p>
              </w:tc>
              <w:tc>
                <w:tcPr>
                  <w:tcW w:w="2599" w:type="dxa"/>
                  <w:tcBorders>
                    <w:top w:val="nil"/>
                    <w:left w:val="nil"/>
                    <w:bottom w:val="single" w:sz="4" w:space="0" w:color="auto"/>
                    <w:right w:val="single" w:sz="4" w:space="0" w:color="auto"/>
                  </w:tcBorders>
                  <w:shd w:val="clear" w:color="auto" w:fill="auto"/>
                  <w:noWrap/>
                  <w:vAlign w:val="bottom"/>
                  <w:hideMark/>
                </w:tcPr>
                <w:p w14:paraId="32DF3E9A" w14:textId="77777777" w:rsidR="00790618" w:rsidRPr="003504A2" w:rsidRDefault="00790618" w:rsidP="00790618">
                  <w:pPr>
                    <w:spacing w:after="0" w:line="240" w:lineRule="auto"/>
                    <w:rPr>
                      <w:rFonts w:ascii="Times New Roman" w:eastAsia="Times New Roman" w:hAnsi="Times New Roman" w:cs="Times New Roman"/>
                      <w:color w:val="000000"/>
                      <w:sz w:val="20"/>
                      <w:szCs w:val="20"/>
                      <w:lang w:eastAsia="sk-SK"/>
                    </w:rPr>
                  </w:pPr>
                  <w:r w:rsidRPr="003504A2">
                    <w:rPr>
                      <w:rFonts w:ascii="Times New Roman" w:eastAsia="Times New Roman" w:hAnsi="Times New Roman" w:cs="Times New Roman"/>
                      <w:color w:val="000000"/>
                      <w:sz w:val="20"/>
                      <w:szCs w:val="20"/>
                      <w:lang w:eastAsia="sk-SK"/>
                    </w:rPr>
                    <w:t>Opatrenia na úsporu energie na TZB</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3971628D" w14:textId="61FBD264" w:rsidR="00790618" w:rsidRPr="00790618" w:rsidRDefault="00790618" w:rsidP="008A2E69">
                  <w:pPr>
                    <w:spacing w:after="0" w:line="240" w:lineRule="auto"/>
                    <w:jc w:val="right"/>
                    <w:rPr>
                      <w:rFonts w:ascii="Times New Roman" w:eastAsia="Times New Roman" w:hAnsi="Times New Roman" w:cs="Times New Roman"/>
                      <w:color w:val="000000"/>
                      <w:sz w:val="20"/>
                      <w:szCs w:val="20"/>
                      <w:lang w:eastAsia="sk-SK"/>
                    </w:rPr>
                  </w:pPr>
                  <w:r w:rsidRPr="005F7B58">
                    <w:rPr>
                      <w:rFonts w:ascii="Times New Roman" w:hAnsi="Times New Roman" w:cs="Times New Roman"/>
                      <w:sz w:val="20"/>
                      <w:szCs w:val="20"/>
                    </w:rPr>
                    <w:t>483,40</w:t>
                  </w:r>
                </w:p>
              </w:tc>
            </w:tr>
            <w:tr w:rsidR="00790618" w:rsidRPr="003504A2" w14:paraId="0C2F656D" w14:textId="77777777" w:rsidTr="005F7B58">
              <w:trPr>
                <w:trHeight w:val="327"/>
              </w:trPr>
              <w:tc>
                <w:tcPr>
                  <w:tcW w:w="378" w:type="dxa"/>
                  <w:tcBorders>
                    <w:top w:val="nil"/>
                    <w:left w:val="nil"/>
                    <w:bottom w:val="nil"/>
                    <w:right w:val="nil"/>
                  </w:tcBorders>
                  <w:shd w:val="clear" w:color="auto" w:fill="auto"/>
                  <w:noWrap/>
                  <w:vAlign w:val="bottom"/>
                  <w:hideMark/>
                </w:tcPr>
                <w:p w14:paraId="6F17B7D6" w14:textId="77777777" w:rsidR="00790618" w:rsidRPr="003504A2" w:rsidRDefault="00790618" w:rsidP="00790618">
                  <w:pPr>
                    <w:spacing w:after="0" w:line="240" w:lineRule="auto"/>
                    <w:jc w:val="right"/>
                    <w:rPr>
                      <w:rFonts w:ascii="Times New Roman" w:eastAsia="Times New Roman" w:hAnsi="Times New Roman" w:cs="Times New Roman"/>
                      <w:color w:val="000000"/>
                      <w:sz w:val="20"/>
                      <w:szCs w:val="20"/>
                      <w:lang w:eastAsia="sk-SK"/>
                    </w:rPr>
                  </w:pPr>
                </w:p>
              </w:tc>
              <w:tc>
                <w:tcPr>
                  <w:tcW w:w="2599" w:type="dxa"/>
                  <w:tcBorders>
                    <w:top w:val="nil"/>
                    <w:left w:val="single" w:sz="4" w:space="0" w:color="auto"/>
                    <w:bottom w:val="single" w:sz="4" w:space="0" w:color="auto"/>
                    <w:right w:val="single" w:sz="4" w:space="0" w:color="auto"/>
                  </w:tcBorders>
                  <w:shd w:val="clear" w:color="auto" w:fill="auto"/>
                  <w:vAlign w:val="center"/>
                  <w:hideMark/>
                </w:tcPr>
                <w:p w14:paraId="7BF477E3" w14:textId="77777777" w:rsidR="00790618" w:rsidRPr="003504A2" w:rsidRDefault="00790618" w:rsidP="00790618">
                  <w:pPr>
                    <w:spacing w:after="0" w:line="240" w:lineRule="auto"/>
                    <w:rPr>
                      <w:rFonts w:ascii="Times New Roman" w:eastAsia="Times New Roman" w:hAnsi="Times New Roman" w:cs="Times New Roman"/>
                      <w:b/>
                      <w:bCs/>
                      <w:color w:val="000000"/>
                      <w:sz w:val="20"/>
                      <w:szCs w:val="20"/>
                      <w:lang w:eastAsia="sk-SK"/>
                    </w:rPr>
                  </w:pPr>
                  <w:r w:rsidRPr="003504A2">
                    <w:rPr>
                      <w:rFonts w:ascii="Times New Roman" w:eastAsia="Times New Roman" w:hAnsi="Times New Roman" w:cs="Times New Roman"/>
                      <w:b/>
                      <w:bCs/>
                      <w:color w:val="000000"/>
                      <w:sz w:val="20"/>
                      <w:szCs w:val="20"/>
                      <w:lang w:eastAsia="sk-SK"/>
                    </w:rPr>
                    <w:t>Spolu:</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6CA83613" w14:textId="14C33633" w:rsidR="00790618" w:rsidRPr="00790618" w:rsidRDefault="00790618" w:rsidP="008A2E69">
                  <w:pPr>
                    <w:spacing w:after="0" w:line="240" w:lineRule="auto"/>
                    <w:jc w:val="right"/>
                    <w:rPr>
                      <w:rFonts w:ascii="Times New Roman" w:eastAsia="Times New Roman" w:hAnsi="Times New Roman" w:cs="Times New Roman"/>
                      <w:b/>
                      <w:bCs/>
                      <w:color w:val="000000"/>
                      <w:sz w:val="20"/>
                      <w:szCs w:val="20"/>
                      <w:lang w:eastAsia="sk-SK"/>
                    </w:rPr>
                  </w:pPr>
                  <w:r w:rsidRPr="005F7B58">
                    <w:rPr>
                      <w:rFonts w:ascii="Times New Roman" w:hAnsi="Times New Roman" w:cs="Times New Roman"/>
                      <w:b/>
                      <w:sz w:val="20"/>
                      <w:szCs w:val="20"/>
                    </w:rPr>
                    <w:t>5 051,22</w:t>
                  </w:r>
                </w:p>
              </w:tc>
            </w:tr>
          </w:tbl>
          <w:p w14:paraId="0A50F3A3" w14:textId="77777777" w:rsidR="002872A4" w:rsidRPr="009F2998" w:rsidRDefault="002872A4" w:rsidP="00567A8F">
            <w:pPr>
              <w:rPr>
                <w:rFonts w:ascii="Times New Roman" w:hAnsi="Times New Roman" w:cs="Times New Roman"/>
                <w:highlight w:val="yellow"/>
              </w:rPr>
            </w:pPr>
          </w:p>
        </w:tc>
      </w:tr>
    </w:tbl>
    <w:p w14:paraId="4E64D12B" w14:textId="77777777" w:rsidR="00207D7D" w:rsidRPr="009F2998" w:rsidRDefault="00207D7D" w:rsidP="00567A8F">
      <w:pPr>
        <w:rPr>
          <w:rFonts w:ascii="Times New Roman" w:hAnsi="Times New Roman" w:cs="Times New Roman"/>
          <w:highlight w:val="yellow"/>
        </w:rPr>
      </w:pPr>
    </w:p>
    <w:p w14:paraId="67C54A10" w14:textId="1A7CA041" w:rsidR="00567A8F" w:rsidRPr="007577DE" w:rsidRDefault="00EF2ED4" w:rsidP="000578FE">
      <w:pPr>
        <w:jc w:val="both"/>
        <w:rPr>
          <w:rFonts w:ascii="Times New Roman" w:hAnsi="Times New Roman" w:cs="Times New Roman"/>
          <w:sz w:val="24"/>
          <w:szCs w:val="24"/>
        </w:rPr>
      </w:pPr>
      <w:r w:rsidRPr="007577DE">
        <w:rPr>
          <w:rFonts w:ascii="Times New Roman" w:hAnsi="Times New Roman" w:cs="Times New Roman"/>
          <w:sz w:val="24"/>
          <w:szCs w:val="24"/>
        </w:rPr>
        <w:t xml:space="preserve">Najvýznamnejší podiel na znižovaní konečnej spotreby energie má zlepšovanie tepelnotechnických vlastností </w:t>
      </w:r>
      <w:r w:rsidR="00A17E88" w:rsidRPr="007577DE">
        <w:rPr>
          <w:rFonts w:ascii="Times New Roman" w:hAnsi="Times New Roman" w:cs="Times New Roman"/>
          <w:sz w:val="24"/>
          <w:szCs w:val="24"/>
        </w:rPr>
        <w:t xml:space="preserve">existujúcich </w:t>
      </w:r>
      <w:r w:rsidRPr="007577DE">
        <w:rPr>
          <w:rFonts w:ascii="Times New Roman" w:hAnsi="Times New Roman" w:cs="Times New Roman"/>
          <w:sz w:val="24"/>
          <w:szCs w:val="24"/>
        </w:rPr>
        <w:t>budov</w:t>
      </w:r>
      <w:r w:rsidR="00200F3D" w:rsidRPr="007577DE">
        <w:rPr>
          <w:rFonts w:ascii="Times New Roman" w:hAnsi="Times New Roman" w:cs="Times New Roman"/>
          <w:sz w:val="24"/>
          <w:szCs w:val="24"/>
        </w:rPr>
        <w:t xml:space="preserve">. </w:t>
      </w:r>
    </w:p>
    <w:p w14:paraId="16B72E18" w14:textId="3A1CA492" w:rsidR="00850ACA" w:rsidRPr="007577DE" w:rsidRDefault="00850ACA" w:rsidP="00411EEA">
      <w:pPr>
        <w:jc w:val="both"/>
        <w:rPr>
          <w:rFonts w:ascii="Times New Roman" w:hAnsi="Times New Roman" w:cs="Times New Roman"/>
          <w:sz w:val="24"/>
          <w:szCs w:val="24"/>
        </w:rPr>
      </w:pPr>
      <w:r w:rsidRPr="007577DE">
        <w:rPr>
          <w:rFonts w:ascii="Times New Roman" w:hAnsi="Times New Roman" w:cs="Times New Roman"/>
          <w:sz w:val="24"/>
          <w:szCs w:val="24"/>
        </w:rPr>
        <w:t>K zlepšovaniu energetickej efektívnosti budov prispelo najmä zvýšenie dostupných finančných prostriedkov na zlepšovanie tepelnotechnických vlastností bytových domov prostredníctvom finančného mechanizmu JESSI</w:t>
      </w:r>
      <w:r w:rsidR="00327DF6" w:rsidRPr="007577DE">
        <w:rPr>
          <w:rFonts w:ascii="Times New Roman" w:hAnsi="Times New Roman" w:cs="Times New Roman"/>
          <w:sz w:val="24"/>
          <w:szCs w:val="24"/>
        </w:rPr>
        <w:t>C</w:t>
      </w:r>
      <w:r w:rsidRPr="007577DE">
        <w:rPr>
          <w:rFonts w:ascii="Times New Roman" w:hAnsi="Times New Roman" w:cs="Times New Roman"/>
          <w:sz w:val="24"/>
          <w:szCs w:val="24"/>
        </w:rPr>
        <w:t>A</w:t>
      </w:r>
      <w:r w:rsidR="009E7DCA">
        <w:rPr>
          <w:rFonts w:ascii="Times New Roman" w:hAnsi="Times New Roman" w:cs="Times New Roman"/>
          <w:sz w:val="24"/>
          <w:szCs w:val="24"/>
        </w:rPr>
        <w:t>.</w:t>
      </w:r>
      <w:r w:rsidRPr="007577DE">
        <w:rPr>
          <w:rFonts w:ascii="Times New Roman" w:hAnsi="Times New Roman" w:cs="Times New Roman"/>
          <w:sz w:val="24"/>
          <w:szCs w:val="24"/>
        </w:rPr>
        <w:t xml:space="preserve"> Finančné prostriedky boli poskytnuté sprostredkovateľovi Štátnemu fondu rozvoja bývania</w:t>
      </w:r>
      <w:r w:rsidR="00661C72" w:rsidRPr="007577DE">
        <w:rPr>
          <w:rFonts w:ascii="Times New Roman" w:hAnsi="Times New Roman" w:cs="Times New Roman"/>
          <w:sz w:val="24"/>
          <w:szCs w:val="24"/>
        </w:rPr>
        <w:t xml:space="preserve"> (ďalej aj „ŠFRB“)</w:t>
      </w:r>
      <w:r w:rsidRPr="007577DE">
        <w:rPr>
          <w:rFonts w:ascii="Times New Roman" w:hAnsi="Times New Roman" w:cs="Times New Roman"/>
          <w:sz w:val="24"/>
          <w:szCs w:val="24"/>
        </w:rPr>
        <w:t xml:space="preserve"> z troch operačných programov</w:t>
      </w:r>
      <w:r w:rsidR="00E67FF3" w:rsidRPr="007577DE">
        <w:rPr>
          <w:rFonts w:ascii="Times New Roman" w:hAnsi="Times New Roman" w:cs="Times New Roman"/>
          <w:sz w:val="24"/>
          <w:szCs w:val="24"/>
        </w:rPr>
        <w:t>,</w:t>
      </w:r>
      <w:r w:rsidRPr="007577DE">
        <w:rPr>
          <w:rFonts w:ascii="Times New Roman" w:hAnsi="Times New Roman" w:cs="Times New Roman"/>
          <w:sz w:val="24"/>
          <w:szCs w:val="24"/>
        </w:rPr>
        <w:t xml:space="preserve"> a to </w:t>
      </w:r>
      <w:r w:rsidR="00A17E88" w:rsidRPr="007577DE">
        <w:rPr>
          <w:rFonts w:ascii="Times New Roman" w:hAnsi="Times New Roman" w:cs="Times New Roman"/>
          <w:sz w:val="24"/>
          <w:szCs w:val="24"/>
        </w:rPr>
        <w:t xml:space="preserve">z </w:t>
      </w:r>
      <w:r w:rsidRPr="007577DE">
        <w:rPr>
          <w:rFonts w:ascii="Times New Roman" w:hAnsi="Times New Roman" w:cs="Times New Roman"/>
          <w:sz w:val="24"/>
          <w:szCs w:val="24"/>
        </w:rPr>
        <w:t>Regionáln</w:t>
      </w:r>
      <w:r w:rsidR="00A17E88" w:rsidRPr="007577DE">
        <w:rPr>
          <w:rFonts w:ascii="Times New Roman" w:hAnsi="Times New Roman" w:cs="Times New Roman"/>
          <w:sz w:val="24"/>
          <w:szCs w:val="24"/>
        </w:rPr>
        <w:t>eho</w:t>
      </w:r>
      <w:r w:rsidRPr="007577DE">
        <w:rPr>
          <w:rFonts w:ascii="Times New Roman" w:hAnsi="Times New Roman" w:cs="Times New Roman"/>
          <w:sz w:val="24"/>
          <w:szCs w:val="24"/>
        </w:rPr>
        <w:t xml:space="preserve"> operačn</w:t>
      </w:r>
      <w:r w:rsidR="00A17E88" w:rsidRPr="007577DE">
        <w:rPr>
          <w:rFonts w:ascii="Times New Roman" w:hAnsi="Times New Roman" w:cs="Times New Roman"/>
          <w:sz w:val="24"/>
          <w:szCs w:val="24"/>
        </w:rPr>
        <w:t>ého</w:t>
      </w:r>
      <w:r w:rsidRPr="007577DE">
        <w:rPr>
          <w:rFonts w:ascii="Times New Roman" w:hAnsi="Times New Roman" w:cs="Times New Roman"/>
          <w:sz w:val="24"/>
          <w:szCs w:val="24"/>
        </w:rPr>
        <w:t xml:space="preserve"> program</w:t>
      </w:r>
      <w:r w:rsidR="00A17E88" w:rsidRPr="007577DE">
        <w:rPr>
          <w:rFonts w:ascii="Times New Roman" w:hAnsi="Times New Roman" w:cs="Times New Roman"/>
          <w:sz w:val="24"/>
          <w:szCs w:val="24"/>
        </w:rPr>
        <w:t>u</w:t>
      </w:r>
      <w:r w:rsidR="00661C72" w:rsidRPr="007577DE">
        <w:rPr>
          <w:rFonts w:ascii="Times New Roman" w:hAnsi="Times New Roman" w:cs="Times New Roman"/>
          <w:sz w:val="24"/>
          <w:szCs w:val="24"/>
        </w:rPr>
        <w:t xml:space="preserve"> (ďalej aj „ROP“)</w:t>
      </w:r>
      <w:r w:rsidRPr="007577DE">
        <w:rPr>
          <w:rFonts w:ascii="Times New Roman" w:hAnsi="Times New Roman" w:cs="Times New Roman"/>
          <w:sz w:val="24"/>
          <w:szCs w:val="24"/>
        </w:rPr>
        <w:t>, Operačn</w:t>
      </w:r>
      <w:r w:rsidR="00A17E88" w:rsidRPr="007577DE">
        <w:rPr>
          <w:rFonts w:ascii="Times New Roman" w:hAnsi="Times New Roman" w:cs="Times New Roman"/>
          <w:sz w:val="24"/>
          <w:szCs w:val="24"/>
        </w:rPr>
        <w:t>ého</w:t>
      </w:r>
      <w:r w:rsidRPr="007577DE">
        <w:rPr>
          <w:rFonts w:ascii="Times New Roman" w:hAnsi="Times New Roman" w:cs="Times New Roman"/>
          <w:sz w:val="24"/>
          <w:szCs w:val="24"/>
        </w:rPr>
        <w:t xml:space="preserve"> program</w:t>
      </w:r>
      <w:r w:rsidR="00A17E88" w:rsidRPr="007577DE">
        <w:rPr>
          <w:rFonts w:ascii="Times New Roman" w:hAnsi="Times New Roman" w:cs="Times New Roman"/>
          <w:sz w:val="24"/>
          <w:szCs w:val="24"/>
        </w:rPr>
        <w:t>u</w:t>
      </w:r>
      <w:r w:rsidRPr="007577DE">
        <w:rPr>
          <w:rFonts w:ascii="Times New Roman" w:hAnsi="Times New Roman" w:cs="Times New Roman"/>
          <w:sz w:val="24"/>
          <w:szCs w:val="24"/>
        </w:rPr>
        <w:t xml:space="preserve"> Bratislavský kraj </w:t>
      </w:r>
      <w:r w:rsidR="00661C72" w:rsidRPr="007577DE">
        <w:rPr>
          <w:rFonts w:ascii="Times New Roman" w:hAnsi="Times New Roman" w:cs="Times New Roman"/>
          <w:sz w:val="24"/>
          <w:szCs w:val="24"/>
        </w:rPr>
        <w:t xml:space="preserve">(ďalej aj „OP BK“) </w:t>
      </w:r>
      <w:r w:rsidRPr="007577DE">
        <w:rPr>
          <w:rFonts w:ascii="Times New Roman" w:hAnsi="Times New Roman" w:cs="Times New Roman"/>
          <w:sz w:val="24"/>
          <w:szCs w:val="24"/>
        </w:rPr>
        <w:t>a Operačn</w:t>
      </w:r>
      <w:r w:rsidR="00A17E88" w:rsidRPr="007577DE">
        <w:rPr>
          <w:rFonts w:ascii="Times New Roman" w:hAnsi="Times New Roman" w:cs="Times New Roman"/>
          <w:sz w:val="24"/>
          <w:szCs w:val="24"/>
        </w:rPr>
        <w:t>ého</w:t>
      </w:r>
      <w:r w:rsidRPr="007577DE">
        <w:rPr>
          <w:rFonts w:ascii="Times New Roman" w:hAnsi="Times New Roman" w:cs="Times New Roman"/>
          <w:sz w:val="24"/>
          <w:szCs w:val="24"/>
        </w:rPr>
        <w:t xml:space="preserve"> program</w:t>
      </w:r>
      <w:r w:rsidR="00A17E88" w:rsidRPr="007577DE">
        <w:rPr>
          <w:rFonts w:ascii="Times New Roman" w:hAnsi="Times New Roman" w:cs="Times New Roman"/>
          <w:sz w:val="24"/>
          <w:szCs w:val="24"/>
        </w:rPr>
        <w:t>u</w:t>
      </w:r>
      <w:r w:rsidRPr="007577DE">
        <w:rPr>
          <w:rFonts w:ascii="Times New Roman" w:hAnsi="Times New Roman" w:cs="Times New Roman"/>
          <w:sz w:val="24"/>
          <w:szCs w:val="24"/>
        </w:rPr>
        <w:t xml:space="preserve"> Konkurencieschopnosť a</w:t>
      </w:r>
      <w:r w:rsidR="00661C72" w:rsidRPr="007577DE">
        <w:rPr>
          <w:rFonts w:ascii="Times New Roman" w:hAnsi="Times New Roman" w:cs="Times New Roman"/>
          <w:sz w:val="24"/>
          <w:szCs w:val="24"/>
        </w:rPr>
        <w:t> </w:t>
      </w:r>
      <w:r w:rsidRPr="007577DE">
        <w:rPr>
          <w:rFonts w:ascii="Times New Roman" w:hAnsi="Times New Roman" w:cs="Times New Roman"/>
          <w:sz w:val="24"/>
          <w:szCs w:val="24"/>
        </w:rPr>
        <w:t>hospodárs</w:t>
      </w:r>
      <w:r w:rsidR="00661C72" w:rsidRPr="007577DE">
        <w:rPr>
          <w:rFonts w:ascii="Times New Roman" w:hAnsi="Times New Roman" w:cs="Times New Roman"/>
          <w:sz w:val="24"/>
          <w:szCs w:val="24"/>
        </w:rPr>
        <w:t>ky rast (ďalej aj „OP KaHR“).</w:t>
      </w:r>
    </w:p>
    <w:p w14:paraId="0C6FFFE0" w14:textId="77E24F66" w:rsidR="00661C72" w:rsidRPr="007577DE" w:rsidRDefault="00661C72" w:rsidP="00411EEA">
      <w:pPr>
        <w:jc w:val="both"/>
        <w:rPr>
          <w:rFonts w:ascii="Times New Roman" w:hAnsi="Times New Roman" w:cs="Times New Roman"/>
          <w:sz w:val="24"/>
          <w:szCs w:val="24"/>
        </w:rPr>
      </w:pPr>
      <w:r w:rsidRPr="007577DE">
        <w:rPr>
          <w:rFonts w:ascii="Times New Roman" w:hAnsi="Times New Roman" w:cs="Times New Roman"/>
          <w:sz w:val="24"/>
          <w:szCs w:val="24"/>
        </w:rPr>
        <w:t xml:space="preserve">Okrem prostriedkov zo štrukturálnych fondov poskytol ŠFRB </w:t>
      </w:r>
      <w:r w:rsidR="00E73341" w:rsidRPr="007577DE">
        <w:rPr>
          <w:rFonts w:ascii="Times New Roman" w:hAnsi="Times New Roman" w:cs="Times New Roman"/>
          <w:sz w:val="24"/>
          <w:szCs w:val="24"/>
        </w:rPr>
        <w:t xml:space="preserve">v rokoch 2014-2016 </w:t>
      </w:r>
      <w:r w:rsidRPr="007577DE">
        <w:rPr>
          <w:rFonts w:ascii="Times New Roman" w:hAnsi="Times New Roman" w:cs="Times New Roman"/>
          <w:sz w:val="24"/>
          <w:szCs w:val="24"/>
        </w:rPr>
        <w:t>finančné prostriedky na zlepšovanie tepelnotechnických vlastností bytových domov zo štátneho rozpočtu</w:t>
      </w:r>
      <w:r w:rsidR="00D11389" w:rsidRPr="007577DE">
        <w:rPr>
          <w:rFonts w:ascii="Times New Roman" w:hAnsi="Times New Roman" w:cs="Times New Roman"/>
          <w:sz w:val="24"/>
          <w:szCs w:val="24"/>
        </w:rPr>
        <w:t xml:space="preserve"> SR v celkovej výške </w:t>
      </w:r>
      <w:r w:rsidR="00B874F5" w:rsidRPr="007577DE">
        <w:rPr>
          <w:rFonts w:ascii="Times New Roman" w:hAnsi="Times New Roman" w:cs="Times New Roman"/>
          <w:sz w:val="24"/>
          <w:szCs w:val="24"/>
        </w:rPr>
        <w:t xml:space="preserve">viac ako </w:t>
      </w:r>
      <w:r w:rsidR="003274B3" w:rsidRPr="007577DE">
        <w:rPr>
          <w:rFonts w:ascii="Times New Roman" w:hAnsi="Times New Roman" w:cs="Times New Roman"/>
          <w:sz w:val="24"/>
          <w:szCs w:val="24"/>
        </w:rPr>
        <w:t xml:space="preserve">262 </w:t>
      </w:r>
      <w:r w:rsidR="00B874F5" w:rsidRPr="007577DE">
        <w:rPr>
          <w:rFonts w:ascii="Times New Roman" w:hAnsi="Times New Roman" w:cs="Times New Roman"/>
          <w:sz w:val="24"/>
          <w:szCs w:val="24"/>
        </w:rPr>
        <w:t>mil.</w:t>
      </w:r>
      <w:r w:rsidR="003274B3" w:rsidRPr="007577DE">
        <w:rPr>
          <w:rFonts w:ascii="Times New Roman" w:hAnsi="Times New Roman" w:cs="Times New Roman"/>
          <w:sz w:val="24"/>
          <w:szCs w:val="24"/>
        </w:rPr>
        <w:t xml:space="preserve"> </w:t>
      </w:r>
      <w:r w:rsidR="000C2919">
        <w:rPr>
          <w:rFonts w:ascii="Times New Roman" w:hAnsi="Times New Roman" w:cs="Times New Roman"/>
          <w:sz w:val="24"/>
          <w:szCs w:val="24"/>
        </w:rPr>
        <w:t>Eur</w:t>
      </w:r>
      <w:r w:rsidR="00D11389" w:rsidRPr="007577DE">
        <w:rPr>
          <w:rFonts w:ascii="Times New Roman" w:hAnsi="Times New Roman" w:cs="Times New Roman"/>
          <w:sz w:val="24"/>
          <w:szCs w:val="24"/>
        </w:rPr>
        <w:t>.</w:t>
      </w:r>
      <w:r w:rsidR="00CD7212" w:rsidRPr="007577DE">
        <w:rPr>
          <w:rFonts w:ascii="Times New Roman" w:hAnsi="Times New Roman" w:cs="Times New Roman"/>
          <w:sz w:val="24"/>
          <w:szCs w:val="24"/>
        </w:rPr>
        <w:t xml:space="preserve"> V roku 2016 bol vyhlásený Program na podporu zatepľovania rodinných domov</w:t>
      </w:r>
      <w:r w:rsidR="00780D08" w:rsidRPr="007577DE">
        <w:rPr>
          <w:rFonts w:ascii="Times New Roman" w:hAnsi="Times New Roman" w:cs="Times New Roman"/>
          <w:sz w:val="24"/>
          <w:szCs w:val="24"/>
        </w:rPr>
        <w:t>, na ktorý bolo vyčlenených</w:t>
      </w:r>
      <w:r w:rsidR="00A17E88" w:rsidRPr="007577DE">
        <w:rPr>
          <w:rFonts w:ascii="Times New Roman" w:hAnsi="Times New Roman" w:cs="Times New Roman"/>
          <w:sz w:val="24"/>
          <w:szCs w:val="24"/>
        </w:rPr>
        <w:t xml:space="preserve"> ďalších</w:t>
      </w:r>
      <w:r w:rsidR="00780D08" w:rsidRPr="007577DE">
        <w:rPr>
          <w:rFonts w:ascii="Times New Roman" w:hAnsi="Times New Roman" w:cs="Times New Roman"/>
          <w:sz w:val="24"/>
          <w:szCs w:val="24"/>
        </w:rPr>
        <w:t xml:space="preserve"> 30 mil</w:t>
      </w:r>
      <w:r w:rsidR="003A4BD2">
        <w:rPr>
          <w:rFonts w:ascii="Times New Roman" w:hAnsi="Times New Roman" w:cs="Times New Roman"/>
          <w:sz w:val="24"/>
          <w:szCs w:val="24"/>
        </w:rPr>
        <w:t>.</w:t>
      </w:r>
      <w:r w:rsidR="00780D08" w:rsidRPr="007577DE">
        <w:rPr>
          <w:rFonts w:ascii="Times New Roman" w:hAnsi="Times New Roman" w:cs="Times New Roman"/>
          <w:sz w:val="24"/>
          <w:szCs w:val="24"/>
        </w:rPr>
        <w:t xml:space="preserve"> </w:t>
      </w:r>
      <w:r w:rsidR="000C2919">
        <w:rPr>
          <w:rFonts w:ascii="Times New Roman" w:hAnsi="Times New Roman" w:cs="Times New Roman"/>
          <w:sz w:val="24"/>
          <w:szCs w:val="24"/>
        </w:rPr>
        <w:t>Eur</w:t>
      </w:r>
      <w:r w:rsidR="00780D08" w:rsidRPr="007577DE">
        <w:rPr>
          <w:rFonts w:ascii="Times New Roman" w:hAnsi="Times New Roman" w:cs="Times New Roman"/>
          <w:sz w:val="24"/>
          <w:szCs w:val="24"/>
        </w:rPr>
        <w:t xml:space="preserve"> zo štátneho rozpočtu</w:t>
      </w:r>
      <w:r w:rsidR="00D74F59" w:rsidRPr="007577DE">
        <w:rPr>
          <w:rFonts w:ascii="Times New Roman" w:hAnsi="Times New Roman" w:cs="Times New Roman"/>
          <w:sz w:val="24"/>
          <w:szCs w:val="24"/>
        </w:rPr>
        <w:t>.</w:t>
      </w:r>
      <w:r w:rsidR="003B1A29" w:rsidRPr="007577DE">
        <w:rPr>
          <w:rFonts w:ascii="Times New Roman" w:hAnsi="Times New Roman" w:cs="Times New Roman"/>
          <w:sz w:val="24"/>
          <w:szCs w:val="24"/>
        </w:rPr>
        <w:t xml:space="preserve"> </w:t>
      </w:r>
    </w:p>
    <w:p w14:paraId="5932DF71" w14:textId="112FD83F" w:rsidR="00DE2B59" w:rsidRPr="007577DE" w:rsidRDefault="00DE2B59" w:rsidP="00411EEA">
      <w:pPr>
        <w:jc w:val="both"/>
        <w:rPr>
          <w:rFonts w:ascii="Times New Roman" w:hAnsi="Times New Roman" w:cs="Times New Roman"/>
          <w:sz w:val="24"/>
          <w:szCs w:val="24"/>
        </w:rPr>
      </w:pPr>
      <w:r w:rsidRPr="007577DE">
        <w:rPr>
          <w:rFonts w:ascii="Times New Roman" w:hAnsi="Times New Roman" w:cs="Times New Roman"/>
          <w:sz w:val="24"/>
          <w:szCs w:val="24"/>
        </w:rPr>
        <w:t>Výstavba nových budov</w:t>
      </w:r>
      <w:r w:rsidR="00A17E88" w:rsidRPr="007577DE">
        <w:rPr>
          <w:rFonts w:ascii="Times New Roman" w:hAnsi="Times New Roman" w:cs="Times New Roman"/>
          <w:sz w:val="24"/>
          <w:szCs w:val="24"/>
        </w:rPr>
        <w:t>,</w:t>
      </w:r>
      <w:r w:rsidRPr="007577DE">
        <w:rPr>
          <w:rFonts w:ascii="Times New Roman" w:hAnsi="Times New Roman" w:cs="Times New Roman"/>
          <w:sz w:val="24"/>
          <w:szCs w:val="24"/>
        </w:rPr>
        <w:t xml:space="preserve"> ako aj požiadavky na významnú obnovu existujúcic</w:t>
      </w:r>
      <w:r w:rsidR="00141EDF" w:rsidRPr="007577DE">
        <w:rPr>
          <w:rFonts w:ascii="Times New Roman" w:hAnsi="Times New Roman" w:cs="Times New Roman"/>
          <w:sz w:val="24"/>
          <w:szCs w:val="24"/>
        </w:rPr>
        <w:t>h budov sú ustanovené zákonom č.</w:t>
      </w:r>
      <w:r w:rsidRPr="007577DE">
        <w:rPr>
          <w:rFonts w:ascii="Times New Roman" w:hAnsi="Times New Roman" w:cs="Times New Roman"/>
          <w:sz w:val="24"/>
          <w:szCs w:val="24"/>
        </w:rPr>
        <w:t xml:space="preserve"> 555/2005 Z. z. o energetickej hospodárnosti budov a vykonávacími predpismi k tomuto zákonu. </w:t>
      </w:r>
      <w:r w:rsidR="00141EDF" w:rsidRPr="007577DE">
        <w:rPr>
          <w:rFonts w:ascii="Times New Roman" w:hAnsi="Times New Roman" w:cs="Times New Roman"/>
          <w:sz w:val="24"/>
          <w:szCs w:val="24"/>
        </w:rPr>
        <w:t xml:space="preserve">Na základe zvyšovania informovanosti a poskytovania poradenstva cieľovým skupinám napr. aj prostredníctvom národného projektu Žiť energiou, ktorý realizovala SIEA v rokoch 2014-2016 boli budovy postavené alebo obnovené nad rámec minimálnych požiadaviek, čo prispelo k úsporám energie v budovách na bývanie a poskytovanie komerčných služieb vyčísliteľným prostredníctvom systému INFOREG, ktorý slúži na vydávanie certifikátov budov. </w:t>
      </w:r>
    </w:p>
    <w:p w14:paraId="3FB7EDD8" w14:textId="29D87F27" w:rsidR="00D11389" w:rsidRPr="007577DE" w:rsidRDefault="00D11389" w:rsidP="00411EEA">
      <w:pPr>
        <w:jc w:val="both"/>
        <w:rPr>
          <w:rFonts w:ascii="Times New Roman" w:hAnsi="Times New Roman" w:cs="Times New Roman"/>
          <w:sz w:val="24"/>
          <w:szCs w:val="24"/>
        </w:rPr>
      </w:pPr>
      <w:r w:rsidRPr="007577DE">
        <w:rPr>
          <w:rFonts w:ascii="Times New Roman" w:hAnsi="Times New Roman" w:cs="Times New Roman"/>
          <w:sz w:val="24"/>
          <w:szCs w:val="24"/>
        </w:rPr>
        <w:t xml:space="preserve">Aplikáciou ustanovení zákona č. 321/2014 Z. z. o energetickej efektívnosti s účinnosťou od 1. decembra 2014 boli postupne vykonávané opatrenia na úsporu energie na technických zariadeniach budov a to najmä </w:t>
      </w:r>
      <w:r w:rsidR="00E67FF3" w:rsidRPr="007577DE">
        <w:rPr>
          <w:rFonts w:ascii="Times New Roman" w:hAnsi="Times New Roman" w:cs="Times New Roman"/>
          <w:sz w:val="24"/>
          <w:szCs w:val="24"/>
        </w:rPr>
        <w:t xml:space="preserve">povinným </w:t>
      </w:r>
      <w:r w:rsidRPr="007577DE">
        <w:rPr>
          <w:rFonts w:ascii="Times New Roman" w:hAnsi="Times New Roman" w:cs="Times New Roman"/>
          <w:sz w:val="24"/>
          <w:szCs w:val="24"/>
        </w:rPr>
        <w:t>hydraulickým vyregulovaním rozvodov tepla a teplej vody a</w:t>
      </w:r>
      <w:r w:rsidR="0020622D" w:rsidRPr="007577DE">
        <w:rPr>
          <w:rFonts w:ascii="Times New Roman" w:hAnsi="Times New Roman" w:cs="Times New Roman"/>
          <w:sz w:val="24"/>
          <w:szCs w:val="24"/>
        </w:rPr>
        <w:t> zabezpeč</w:t>
      </w:r>
      <w:r w:rsidR="004A579A" w:rsidRPr="007577DE">
        <w:rPr>
          <w:rFonts w:ascii="Times New Roman" w:hAnsi="Times New Roman" w:cs="Times New Roman"/>
          <w:sz w:val="24"/>
          <w:szCs w:val="24"/>
        </w:rPr>
        <w:t>en</w:t>
      </w:r>
      <w:r w:rsidR="0020622D" w:rsidRPr="007577DE">
        <w:rPr>
          <w:rFonts w:ascii="Times New Roman" w:hAnsi="Times New Roman" w:cs="Times New Roman"/>
          <w:sz w:val="24"/>
          <w:szCs w:val="24"/>
        </w:rPr>
        <w:t xml:space="preserve">ím </w:t>
      </w:r>
      <w:r w:rsidRPr="007577DE">
        <w:rPr>
          <w:rFonts w:ascii="Times New Roman" w:hAnsi="Times New Roman" w:cs="Times New Roman"/>
          <w:sz w:val="24"/>
          <w:szCs w:val="24"/>
        </w:rPr>
        <w:t xml:space="preserve">rozvodov teplej vody vhodnou </w:t>
      </w:r>
      <w:r w:rsidR="0020622D" w:rsidRPr="007577DE">
        <w:rPr>
          <w:rFonts w:ascii="Times New Roman" w:hAnsi="Times New Roman" w:cs="Times New Roman"/>
          <w:sz w:val="24"/>
          <w:szCs w:val="24"/>
        </w:rPr>
        <w:t xml:space="preserve">tepelnou </w:t>
      </w:r>
      <w:r w:rsidRPr="007577DE">
        <w:rPr>
          <w:rFonts w:ascii="Times New Roman" w:hAnsi="Times New Roman" w:cs="Times New Roman"/>
          <w:sz w:val="24"/>
          <w:szCs w:val="24"/>
        </w:rPr>
        <w:t xml:space="preserve">izoláciou. </w:t>
      </w:r>
    </w:p>
    <w:p w14:paraId="0E2C5D86" w14:textId="22A1037E" w:rsidR="00D11389" w:rsidRPr="007577DE" w:rsidRDefault="00D11389" w:rsidP="00411EEA">
      <w:pPr>
        <w:jc w:val="both"/>
        <w:rPr>
          <w:rFonts w:ascii="Times New Roman" w:hAnsi="Times New Roman" w:cs="Times New Roman"/>
          <w:sz w:val="24"/>
          <w:szCs w:val="24"/>
        </w:rPr>
      </w:pPr>
      <w:r w:rsidRPr="007577DE">
        <w:rPr>
          <w:rFonts w:ascii="Times New Roman" w:hAnsi="Times New Roman" w:cs="Times New Roman"/>
          <w:sz w:val="24"/>
          <w:szCs w:val="24"/>
        </w:rPr>
        <w:lastRenderedPageBreak/>
        <w:t xml:space="preserve">Novelizáciou zákona </w:t>
      </w:r>
      <w:r w:rsidR="00B215D3" w:rsidRPr="007577DE">
        <w:rPr>
          <w:rFonts w:ascii="Times New Roman" w:hAnsi="Times New Roman" w:cs="Times New Roman"/>
          <w:sz w:val="24"/>
          <w:szCs w:val="24"/>
        </w:rPr>
        <w:t xml:space="preserve">č. 657/2004 Z. z. </w:t>
      </w:r>
      <w:r w:rsidRPr="007577DE">
        <w:rPr>
          <w:rFonts w:ascii="Times New Roman" w:hAnsi="Times New Roman" w:cs="Times New Roman"/>
          <w:sz w:val="24"/>
          <w:szCs w:val="24"/>
        </w:rPr>
        <w:t>o</w:t>
      </w:r>
      <w:r w:rsidR="00DE2B59" w:rsidRPr="007577DE">
        <w:rPr>
          <w:rFonts w:ascii="Times New Roman" w:hAnsi="Times New Roman" w:cs="Times New Roman"/>
          <w:sz w:val="24"/>
          <w:szCs w:val="24"/>
        </w:rPr>
        <w:t> </w:t>
      </w:r>
      <w:r w:rsidRPr="007577DE">
        <w:rPr>
          <w:rFonts w:ascii="Times New Roman" w:hAnsi="Times New Roman" w:cs="Times New Roman"/>
          <w:sz w:val="24"/>
          <w:szCs w:val="24"/>
        </w:rPr>
        <w:t xml:space="preserve">tepelnej energetike, boli ustanovené povinnosti </w:t>
      </w:r>
      <w:r w:rsidR="0020622D" w:rsidRPr="007577DE">
        <w:rPr>
          <w:rFonts w:ascii="Times New Roman" w:hAnsi="Times New Roman" w:cs="Times New Roman"/>
          <w:sz w:val="24"/>
          <w:szCs w:val="24"/>
        </w:rPr>
        <w:t xml:space="preserve">v súvislosti s inštaláciou merania množstva teplej vody a množstva tepla na vykurovanie pre konečných spotrebiteľov, ktorými sú najmä byty v bytových domoch </w:t>
      </w:r>
      <w:r w:rsidR="00525505" w:rsidRPr="007577DE">
        <w:rPr>
          <w:rFonts w:ascii="Times New Roman" w:hAnsi="Times New Roman" w:cs="Times New Roman"/>
          <w:sz w:val="24"/>
          <w:szCs w:val="24"/>
        </w:rPr>
        <w:t xml:space="preserve">aj </w:t>
      </w:r>
      <w:r w:rsidRPr="007577DE">
        <w:rPr>
          <w:rFonts w:ascii="Times New Roman" w:hAnsi="Times New Roman" w:cs="Times New Roman"/>
          <w:sz w:val="24"/>
          <w:szCs w:val="24"/>
        </w:rPr>
        <w:t>pre budovy s</w:t>
      </w:r>
      <w:r w:rsidR="00DE2B59" w:rsidRPr="007577DE">
        <w:rPr>
          <w:rFonts w:ascii="Times New Roman" w:hAnsi="Times New Roman" w:cs="Times New Roman"/>
          <w:sz w:val="24"/>
          <w:szCs w:val="24"/>
        </w:rPr>
        <w:t> </w:t>
      </w:r>
      <w:r w:rsidRPr="007577DE">
        <w:rPr>
          <w:rFonts w:ascii="Times New Roman" w:hAnsi="Times New Roman" w:cs="Times New Roman"/>
          <w:sz w:val="24"/>
          <w:szCs w:val="24"/>
        </w:rPr>
        <w:t>tzv. vlastnými plynovými kotolňami</w:t>
      </w:r>
      <w:r w:rsidR="00525505" w:rsidRPr="007577DE">
        <w:rPr>
          <w:rFonts w:ascii="Times New Roman" w:hAnsi="Times New Roman" w:cs="Times New Roman"/>
          <w:sz w:val="24"/>
          <w:szCs w:val="24"/>
        </w:rPr>
        <w:t>. Inštaláciou meradiel sa najmä domácnosti začali viacej venovať sledovaniu spotreby energie, čo  prispelo najmä k</w:t>
      </w:r>
      <w:r w:rsidR="00DE2B59" w:rsidRPr="007577DE">
        <w:rPr>
          <w:rFonts w:ascii="Times New Roman" w:hAnsi="Times New Roman" w:cs="Times New Roman"/>
          <w:sz w:val="24"/>
          <w:szCs w:val="24"/>
        </w:rPr>
        <w:t> </w:t>
      </w:r>
      <w:r w:rsidR="00525505" w:rsidRPr="007577DE">
        <w:rPr>
          <w:rFonts w:ascii="Times New Roman" w:hAnsi="Times New Roman" w:cs="Times New Roman"/>
          <w:sz w:val="24"/>
          <w:szCs w:val="24"/>
        </w:rPr>
        <w:t>úsporám tepla na vykurovanie a</w:t>
      </w:r>
      <w:r w:rsidR="00DE2B59" w:rsidRPr="007577DE">
        <w:rPr>
          <w:rFonts w:ascii="Times New Roman" w:hAnsi="Times New Roman" w:cs="Times New Roman"/>
          <w:sz w:val="24"/>
          <w:szCs w:val="24"/>
        </w:rPr>
        <w:t> </w:t>
      </w:r>
      <w:r w:rsidR="00525505" w:rsidRPr="007577DE">
        <w:rPr>
          <w:rFonts w:ascii="Times New Roman" w:hAnsi="Times New Roman" w:cs="Times New Roman"/>
          <w:sz w:val="24"/>
          <w:szCs w:val="24"/>
        </w:rPr>
        <w:t xml:space="preserve">prípravu teplej vody. </w:t>
      </w:r>
    </w:p>
    <w:p w14:paraId="36524459" w14:textId="67063F0C" w:rsidR="00525505" w:rsidRPr="007577DE" w:rsidRDefault="00DE2B59" w:rsidP="00411EEA">
      <w:pPr>
        <w:jc w:val="both"/>
        <w:rPr>
          <w:rFonts w:ascii="Times New Roman" w:hAnsi="Times New Roman" w:cs="Times New Roman"/>
          <w:sz w:val="24"/>
          <w:szCs w:val="24"/>
        </w:rPr>
      </w:pPr>
      <w:r w:rsidRPr="007577DE">
        <w:rPr>
          <w:rFonts w:ascii="Times New Roman" w:hAnsi="Times New Roman" w:cs="Times New Roman"/>
          <w:sz w:val="24"/>
          <w:szCs w:val="24"/>
        </w:rPr>
        <w:t>K opatreniam na úsporu energie v budovách prispieva aj legislatívna podpora pre rozvoj energetických služieb a to najmä ustanovením konkrétnych transparentných podmienok ich poskytovania.</w:t>
      </w:r>
    </w:p>
    <w:p w14:paraId="0013993D" w14:textId="13AD6A47" w:rsidR="00D44064" w:rsidRPr="007577DE" w:rsidRDefault="00D44064" w:rsidP="00411EEA">
      <w:pPr>
        <w:jc w:val="both"/>
        <w:rPr>
          <w:rFonts w:ascii="Times New Roman" w:hAnsi="Times New Roman" w:cs="Times New Roman"/>
          <w:sz w:val="24"/>
          <w:szCs w:val="24"/>
        </w:rPr>
      </w:pPr>
      <w:r w:rsidRPr="007577DE">
        <w:rPr>
          <w:rFonts w:ascii="Times New Roman" w:hAnsi="Times New Roman" w:cs="Times New Roman"/>
          <w:sz w:val="24"/>
          <w:szCs w:val="24"/>
        </w:rPr>
        <w:t>Podrobné vyhodnotenie opatrení energetickej efektívnosti v sektore budov je uvedené v prílohe č. 1 tab. P1-1.</w:t>
      </w:r>
      <w:r w:rsidR="00D471E9" w:rsidRPr="007577DE">
        <w:rPr>
          <w:rFonts w:ascii="Times New Roman" w:hAnsi="Times New Roman" w:cs="Times New Roman"/>
          <w:sz w:val="24"/>
          <w:szCs w:val="24"/>
        </w:rPr>
        <w:t xml:space="preserve"> </w:t>
      </w:r>
      <w:r w:rsidR="00E67FF3" w:rsidRPr="007577DE">
        <w:rPr>
          <w:rFonts w:ascii="Times New Roman" w:hAnsi="Times New Roman" w:cs="Times New Roman"/>
          <w:sz w:val="24"/>
          <w:szCs w:val="24"/>
        </w:rPr>
        <w:t xml:space="preserve">Niektoré významné </w:t>
      </w:r>
      <w:r w:rsidR="00D471E9" w:rsidRPr="007577DE">
        <w:rPr>
          <w:rFonts w:ascii="Times New Roman" w:hAnsi="Times New Roman" w:cs="Times New Roman"/>
          <w:sz w:val="24"/>
          <w:szCs w:val="24"/>
        </w:rPr>
        <w:t xml:space="preserve">podporné opatrenia, ktoré prispievajú k plneniu cieľov opatrení energetickej efektívnosti v sektore budov sa individuálne nevyhodnocujú z dôvodu zamedzenia dvojitému započítavaniu úspor energie. Prehľad podporných opatrení je uvedený v prílohe č. 1 tab. P1-2. </w:t>
      </w:r>
    </w:p>
    <w:p w14:paraId="5F1F6550" w14:textId="160FCB1F" w:rsidR="00BF111E" w:rsidRDefault="00BF111E">
      <w:pPr>
        <w:rPr>
          <w:rFonts w:ascii="Times New Roman" w:eastAsiaTheme="majorEastAsia" w:hAnsi="Times New Roman" w:cs="Times New Roman"/>
          <w:b/>
          <w:bCs/>
          <w:color w:val="5B9BD5" w:themeColor="accent1"/>
        </w:rPr>
      </w:pPr>
    </w:p>
    <w:p w14:paraId="5B902761" w14:textId="05E22CC5" w:rsidR="001D5205" w:rsidRPr="000578FE" w:rsidRDefault="001D5205" w:rsidP="005F7B58">
      <w:pPr>
        <w:pStyle w:val="Nadpis3"/>
        <w:keepNext w:val="0"/>
        <w:keepLines w:val="0"/>
        <w:numPr>
          <w:ilvl w:val="2"/>
          <w:numId w:val="43"/>
        </w:numPr>
        <w:rPr>
          <w:rFonts w:ascii="Times New Roman" w:hAnsi="Times New Roman" w:cs="Times New Roman"/>
          <w:color w:val="auto"/>
        </w:rPr>
      </w:pPr>
      <w:bookmarkStart w:id="50" w:name="_Toc480547232"/>
      <w:r w:rsidRPr="000578FE">
        <w:rPr>
          <w:rFonts w:ascii="Times New Roman" w:hAnsi="Times New Roman" w:cs="Times New Roman"/>
          <w:color w:val="auto"/>
        </w:rPr>
        <w:t>Opatrenia energetickej efektívnosti v sektore priemysel</w:t>
      </w:r>
      <w:bookmarkEnd w:id="50"/>
    </w:p>
    <w:p w14:paraId="4711A7F7" w14:textId="77777777" w:rsidR="00CD05EA" w:rsidRPr="009F2998" w:rsidRDefault="00CD05EA" w:rsidP="00B64D7F">
      <w:pPr>
        <w:pStyle w:val="Nadpis4"/>
        <w:numPr>
          <w:ilvl w:val="0"/>
          <w:numId w:val="0"/>
        </w:numPr>
        <w:rPr>
          <w:rFonts w:ascii="Times New Roman" w:hAnsi="Times New Roman" w:cs="Times New Roman"/>
        </w:rPr>
      </w:pPr>
    </w:p>
    <w:p w14:paraId="52292B97" w14:textId="599DC0F8" w:rsidR="00CD05EA" w:rsidRPr="000745A8" w:rsidRDefault="00CD05EA" w:rsidP="00CD05EA">
      <w:pPr>
        <w:jc w:val="both"/>
        <w:rPr>
          <w:rFonts w:ascii="Times New Roman" w:hAnsi="Times New Roman" w:cs="Times New Roman"/>
          <w:sz w:val="24"/>
          <w:szCs w:val="24"/>
        </w:rPr>
      </w:pPr>
      <w:r w:rsidRPr="000745A8">
        <w:rPr>
          <w:rFonts w:ascii="Times New Roman" w:hAnsi="Times New Roman" w:cs="Times New Roman"/>
          <w:sz w:val="24"/>
          <w:szCs w:val="24"/>
        </w:rPr>
        <w:t xml:space="preserve">Opatrenia energetickej efektívnosti v sektore </w:t>
      </w:r>
      <w:r w:rsidR="00887867" w:rsidRPr="000745A8">
        <w:rPr>
          <w:rFonts w:ascii="Times New Roman" w:hAnsi="Times New Roman" w:cs="Times New Roman"/>
          <w:sz w:val="24"/>
          <w:szCs w:val="24"/>
        </w:rPr>
        <w:t>priemysel</w:t>
      </w:r>
      <w:r w:rsidRPr="000745A8">
        <w:rPr>
          <w:rFonts w:ascii="Times New Roman" w:hAnsi="Times New Roman" w:cs="Times New Roman"/>
          <w:sz w:val="24"/>
          <w:szCs w:val="24"/>
        </w:rPr>
        <w:t xml:space="preserve"> sú zamerané najmä na</w:t>
      </w:r>
      <w:r w:rsidR="00887867" w:rsidRPr="000745A8">
        <w:rPr>
          <w:rFonts w:ascii="Times New Roman" w:hAnsi="Times New Roman" w:cs="Times New Roman"/>
          <w:sz w:val="24"/>
          <w:szCs w:val="24"/>
        </w:rPr>
        <w:t xml:space="preserve"> znižovanie energetickej náročnosti priemyselnej výroby prostredníctvom</w:t>
      </w:r>
      <w:r w:rsidRPr="000745A8">
        <w:rPr>
          <w:rFonts w:ascii="Times New Roman" w:hAnsi="Times New Roman" w:cs="Times New Roman"/>
          <w:sz w:val="24"/>
          <w:szCs w:val="24"/>
        </w:rPr>
        <w:t>:</w:t>
      </w:r>
    </w:p>
    <w:p w14:paraId="6F942C98" w14:textId="2BB452E4" w:rsidR="00887867" w:rsidRPr="000745A8" w:rsidRDefault="00375311" w:rsidP="008F19ED">
      <w:pPr>
        <w:pStyle w:val="Odsekzoznamu"/>
        <w:numPr>
          <w:ilvl w:val="0"/>
          <w:numId w:val="6"/>
        </w:numPr>
        <w:jc w:val="both"/>
        <w:rPr>
          <w:rFonts w:ascii="Times New Roman" w:hAnsi="Times New Roman" w:cs="Times New Roman"/>
          <w:sz w:val="24"/>
          <w:szCs w:val="24"/>
        </w:rPr>
      </w:pPr>
      <w:r w:rsidRPr="000745A8">
        <w:rPr>
          <w:rFonts w:ascii="Times New Roman" w:hAnsi="Times New Roman" w:cs="Times New Roman"/>
          <w:sz w:val="24"/>
          <w:szCs w:val="24"/>
        </w:rPr>
        <w:t xml:space="preserve">podpory </w:t>
      </w:r>
      <w:r w:rsidR="00887867" w:rsidRPr="000745A8">
        <w:rPr>
          <w:rFonts w:ascii="Times New Roman" w:hAnsi="Times New Roman" w:cs="Times New Roman"/>
          <w:sz w:val="24"/>
          <w:szCs w:val="24"/>
        </w:rPr>
        <w:t xml:space="preserve">inovácií a technologických transferov v priemyselných podnikoch </w:t>
      </w:r>
      <w:r w:rsidR="001C68B1" w:rsidRPr="000745A8">
        <w:rPr>
          <w:rFonts w:ascii="Times New Roman" w:hAnsi="Times New Roman" w:cs="Times New Roman"/>
          <w:sz w:val="24"/>
          <w:szCs w:val="24"/>
        </w:rPr>
        <w:br/>
      </w:r>
      <w:r w:rsidR="00887867" w:rsidRPr="000745A8">
        <w:rPr>
          <w:rFonts w:ascii="Times New Roman" w:hAnsi="Times New Roman" w:cs="Times New Roman"/>
          <w:sz w:val="24"/>
          <w:szCs w:val="24"/>
        </w:rPr>
        <w:t>(výrobné linky a technológie),</w:t>
      </w:r>
    </w:p>
    <w:p w14:paraId="4168D351" w14:textId="3FDCAC33" w:rsidR="00887867" w:rsidRPr="000745A8" w:rsidRDefault="00375311" w:rsidP="008F19ED">
      <w:pPr>
        <w:pStyle w:val="Odsekzoznamu"/>
        <w:numPr>
          <w:ilvl w:val="0"/>
          <w:numId w:val="6"/>
        </w:numPr>
        <w:jc w:val="both"/>
        <w:rPr>
          <w:rFonts w:ascii="Times New Roman" w:hAnsi="Times New Roman" w:cs="Times New Roman"/>
          <w:sz w:val="24"/>
          <w:szCs w:val="24"/>
        </w:rPr>
      </w:pPr>
      <w:r w:rsidRPr="000745A8">
        <w:rPr>
          <w:rFonts w:ascii="Times New Roman" w:hAnsi="Times New Roman" w:cs="Times New Roman"/>
          <w:sz w:val="24"/>
          <w:szCs w:val="24"/>
        </w:rPr>
        <w:t xml:space="preserve">podpory </w:t>
      </w:r>
      <w:r w:rsidR="00887867" w:rsidRPr="000745A8">
        <w:rPr>
          <w:rFonts w:ascii="Times New Roman" w:hAnsi="Times New Roman" w:cs="Times New Roman"/>
          <w:sz w:val="24"/>
          <w:szCs w:val="24"/>
        </w:rPr>
        <w:t>opatren</w:t>
      </w:r>
      <w:r w:rsidRPr="000745A8">
        <w:rPr>
          <w:rFonts w:ascii="Times New Roman" w:hAnsi="Times New Roman" w:cs="Times New Roman"/>
          <w:sz w:val="24"/>
          <w:szCs w:val="24"/>
        </w:rPr>
        <w:t>í</w:t>
      </w:r>
      <w:r w:rsidR="00887867" w:rsidRPr="000745A8">
        <w:rPr>
          <w:rFonts w:ascii="Times New Roman" w:hAnsi="Times New Roman" w:cs="Times New Roman"/>
          <w:sz w:val="24"/>
          <w:szCs w:val="24"/>
        </w:rPr>
        <w:t xml:space="preserve"> v oblasti využívania energie v priemyselných podnikoch </w:t>
      </w:r>
      <w:r w:rsidR="001C68B1" w:rsidRPr="000745A8">
        <w:rPr>
          <w:rFonts w:ascii="Times New Roman" w:hAnsi="Times New Roman" w:cs="Times New Roman"/>
          <w:sz w:val="24"/>
          <w:szCs w:val="24"/>
        </w:rPr>
        <w:br/>
      </w:r>
      <w:r w:rsidR="00887867" w:rsidRPr="000745A8">
        <w:rPr>
          <w:rFonts w:ascii="Times New Roman" w:hAnsi="Times New Roman" w:cs="Times New Roman"/>
          <w:sz w:val="24"/>
          <w:szCs w:val="24"/>
        </w:rPr>
        <w:t>(priemyselná energetika),</w:t>
      </w:r>
    </w:p>
    <w:p w14:paraId="08E8DAB7" w14:textId="62DE5F0F" w:rsidR="00CD05EA" w:rsidRDefault="00375311" w:rsidP="008F19ED">
      <w:pPr>
        <w:pStyle w:val="Odsekzoznamu"/>
        <w:numPr>
          <w:ilvl w:val="0"/>
          <w:numId w:val="6"/>
        </w:numPr>
        <w:jc w:val="both"/>
        <w:rPr>
          <w:rFonts w:ascii="Times New Roman" w:hAnsi="Times New Roman" w:cs="Times New Roman"/>
          <w:sz w:val="24"/>
          <w:szCs w:val="24"/>
        </w:rPr>
      </w:pPr>
      <w:r w:rsidRPr="000745A8">
        <w:rPr>
          <w:rFonts w:ascii="Times New Roman" w:hAnsi="Times New Roman" w:cs="Times New Roman"/>
          <w:sz w:val="24"/>
          <w:szCs w:val="24"/>
        </w:rPr>
        <w:t>realizácie opatrení na základe výsledkov povinných energetických auditov</w:t>
      </w:r>
      <w:r w:rsidR="00D20B44" w:rsidRPr="000745A8">
        <w:rPr>
          <w:rFonts w:ascii="Times New Roman" w:hAnsi="Times New Roman" w:cs="Times New Roman"/>
          <w:sz w:val="24"/>
          <w:szCs w:val="24"/>
        </w:rPr>
        <w:t xml:space="preserve"> a využívania </w:t>
      </w:r>
      <w:r w:rsidR="00887867" w:rsidRPr="000745A8">
        <w:rPr>
          <w:rFonts w:ascii="Times New Roman" w:hAnsi="Times New Roman" w:cs="Times New Roman"/>
          <w:sz w:val="24"/>
          <w:szCs w:val="24"/>
        </w:rPr>
        <w:t>podporný</w:t>
      </w:r>
      <w:r w:rsidRPr="000745A8">
        <w:rPr>
          <w:rFonts w:ascii="Times New Roman" w:hAnsi="Times New Roman" w:cs="Times New Roman"/>
          <w:sz w:val="24"/>
          <w:szCs w:val="24"/>
        </w:rPr>
        <w:t xml:space="preserve">ch </w:t>
      </w:r>
      <w:r w:rsidR="00887867" w:rsidRPr="000745A8">
        <w:rPr>
          <w:rFonts w:ascii="Times New Roman" w:hAnsi="Times New Roman" w:cs="Times New Roman"/>
          <w:sz w:val="24"/>
          <w:szCs w:val="24"/>
        </w:rPr>
        <w:t>nástroj</w:t>
      </w:r>
      <w:r w:rsidRPr="000745A8">
        <w:rPr>
          <w:rFonts w:ascii="Times New Roman" w:hAnsi="Times New Roman" w:cs="Times New Roman"/>
          <w:sz w:val="24"/>
          <w:szCs w:val="24"/>
        </w:rPr>
        <w:t>ov na znižovanie energetickej náročnosti priemyselnej výroby</w:t>
      </w:r>
      <w:r w:rsidR="00D20B44" w:rsidRPr="000745A8">
        <w:rPr>
          <w:rFonts w:ascii="Times New Roman" w:hAnsi="Times New Roman" w:cs="Times New Roman"/>
          <w:sz w:val="24"/>
          <w:szCs w:val="24"/>
        </w:rPr>
        <w:t>.</w:t>
      </w:r>
    </w:p>
    <w:p w14:paraId="786AA87B" w14:textId="77777777" w:rsidR="009E7DCA" w:rsidRDefault="009E7DCA" w:rsidP="000578FE">
      <w:pPr>
        <w:pStyle w:val="Odsekzoznamu"/>
        <w:jc w:val="both"/>
        <w:rPr>
          <w:rFonts w:ascii="Times New Roman" w:hAnsi="Times New Roman" w:cs="Times New Roman"/>
          <w:sz w:val="24"/>
          <w:szCs w:val="24"/>
        </w:rPr>
      </w:pPr>
    </w:p>
    <w:p w14:paraId="4057E953" w14:textId="310B74A9" w:rsidR="009E7DCA" w:rsidRPr="000578FE" w:rsidRDefault="009E7DCA" w:rsidP="000578FE">
      <w:pPr>
        <w:keepNext/>
        <w:jc w:val="both"/>
        <w:rPr>
          <w:rFonts w:ascii="Times New Roman" w:hAnsi="Times New Roman" w:cs="Times New Roman"/>
          <w:sz w:val="24"/>
          <w:szCs w:val="24"/>
        </w:rPr>
      </w:pPr>
      <w:r w:rsidRPr="009E7DCA">
        <w:rPr>
          <w:rFonts w:ascii="Times New Roman" w:hAnsi="Times New Roman" w:cs="Times New Roman"/>
          <w:sz w:val="24"/>
          <w:szCs w:val="24"/>
        </w:rPr>
        <w:t xml:space="preserve">Graf č. </w:t>
      </w:r>
      <w:r w:rsidR="00AE42A2">
        <w:rPr>
          <w:rFonts w:ascii="Times New Roman" w:hAnsi="Times New Roman" w:cs="Times New Roman"/>
          <w:sz w:val="24"/>
          <w:szCs w:val="24"/>
        </w:rPr>
        <w:t>8</w:t>
      </w:r>
      <w:r w:rsidRPr="009E7DCA">
        <w:rPr>
          <w:rFonts w:ascii="Times New Roman" w:hAnsi="Times New Roman" w:cs="Times New Roman"/>
          <w:sz w:val="24"/>
          <w:szCs w:val="24"/>
        </w:rPr>
        <w:t xml:space="preserve">: </w:t>
      </w:r>
      <w:r w:rsidRPr="000578FE">
        <w:rPr>
          <w:rFonts w:ascii="Times New Roman" w:hAnsi="Times New Roman" w:cs="Times New Roman"/>
          <w:sz w:val="24"/>
          <w:szCs w:val="24"/>
        </w:rPr>
        <w:t>Zníženie konečnej energetickej spotreby  v sektore priemysel - podiel skupín opatrení na plnení cieľa v rokoch 2014-2016</w:t>
      </w: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3"/>
        <w:gridCol w:w="5329"/>
      </w:tblGrid>
      <w:tr w:rsidR="00FE5933" w:rsidRPr="009F2998" w14:paraId="7CE13EC0" w14:textId="77777777" w:rsidTr="00AC7FF7">
        <w:trPr>
          <w:trHeight w:val="3606"/>
        </w:trPr>
        <w:tc>
          <w:tcPr>
            <w:tcW w:w="2063" w:type="pct"/>
          </w:tcPr>
          <w:p w14:paraId="5A29E772" w14:textId="1EB45B1A" w:rsidR="00FE5933" w:rsidRPr="009F2998" w:rsidRDefault="00FE5933" w:rsidP="00FE5933">
            <w:pPr>
              <w:jc w:val="center"/>
              <w:rPr>
                <w:rFonts w:ascii="Times New Roman" w:hAnsi="Times New Roman" w:cs="Times New Roman"/>
              </w:rPr>
            </w:pPr>
            <w:r w:rsidRPr="009F2998">
              <w:rPr>
                <w:rFonts w:ascii="Times New Roman" w:hAnsi="Times New Roman" w:cs="Times New Roman"/>
                <w:noProof/>
                <w:lang w:eastAsia="sk-SK"/>
              </w:rPr>
              <w:drawing>
                <wp:anchor distT="0" distB="0" distL="114300" distR="114300" simplePos="0" relativeHeight="251657216" behindDoc="1" locked="0" layoutInCell="1" allowOverlap="1" wp14:anchorId="7DCFDB83" wp14:editId="4480CC60">
                  <wp:simplePos x="0" y="0"/>
                  <wp:positionH relativeFrom="margin">
                    <wp:posOffset>187960</wp:posOffset>
                  </wp:positionH>
                  <wp:positionV relativeFrom="paragraph">
                    <wp:posOffset>92710</wp:posOffset>
                  </wp:positionV>
                  <wp:extent cx="2225675" cy="2085975"/>
                  <wp:effectExtent l="0" t="0" r="3175" b="0"/>
                  <wp:wrapNone/>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tc>
        <w:tc>
          <w:tcPr>
            <w:tcW w:w="2937" w:type="pct"/>
          </w:tcPr>
          <w:tbl>
            <w:tblPr>
              <w:tblpPr w:leftFromText="141" w:rightFromText="141" w:vertAnchor="text" w:horzAnchor="margin" w:tblpY="932"/>
              <w:tblOverlap w:val="never"/>
              <w:tblW w:w="5103" w:type="dxa"/>
              <w:tblCellMar>
                <w:left w:w="70" w:type="dxa"/>
                <w:right w:w="70" w:type="dxa"/>
              </w:tblCellMar>
              <w:tblLook w:val="04A0" w:firstRow="1" w:lastRow="0" w:firstColumn="1" w:lastColumn="0" w:noHBand="0" w:noVBand="1"/>
            </w:tblPr>
            <w:tblGrid>
              <w:gridCol w:w="284"/>
              <w:gridCol w:w="3685"/>
              <w:gridCol w:w="1134"/>
            </w:tblGrid>
            <w:tr w:rsidR="00FE5933" w:rsidRPr="00370A1A" w14:paraId="23A351AB" w14:textId="77777777" w:rsidTr="00FE5933">
              <w:trPr>
                <w:trHeight w:val="225"/>
              </w:trPr>
              <w:tc>
                <w:tcPr>
                  <w:tcW w:w="2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5494A" w14:textId="77777777" w:rsidR="00FE5933" w:rsidRPr="004E746F" w:rsidRDefault="00FE5933" w:rsidP="00FE5933">
                  <w:pPr>
                    <w:spacing w:after="0" w:line="240" w:lineRule="auto"/>
                    <w:jc w:val="center"/>
                    <w:rPr>
                      <w:rFonts w:ascii="Times New Roman" w:eastAsia="Times New Roman" w:hAnsi="Times New Roman" w:cs="Times New Roman"/>
                      <w:sz w:val="20"/>
                      <w:szCs w:val="20"/>
                      <w:lang w:eastAsia="sk-SK"/>
                    </w:rPr>
                  </w:pPr>
                </w:p>
              </w:tc>
              <w:tc>
                <w:tcPr>
                  <w:tcW w:w="3685" w:type="dxa"/>
                  <w:tcBorders>
                    <w:top w:val="single" w:sz="4" w:space="0" w:color="auto"/>
                    <w:left w:val="nil"/>
                    <w:bottom w:val="single" w:sz="4" w:space="0" w:color="auto"/>
                    <w:right w:val="single" w:sz="4" w:space="0" w:color="auto"/>
                  </w:tcBorders>
                  <w:shd w:val="clear" w:color="auto" w:fill="auto"/>
                  <w:noWrap/>
                  <w:vAlign w:val="bottom"/>
                </w:tcPr>
                <w:p w14:paraId="2D998D40" w14:textId="77777777" w:rsidR="00FE5933" w:rsidRPr="00370A1A" w:rsidRDefault="00FE5933" w:rsidP="00FE5933">
                  <w:pPr>
                    <w:spacing w:after="0" w:line="240" w:lineRule="auto"/>
                    <w:rPr>
                      <w:rFonts w:ascii="Times New Roman" w:eastAsia="Times New Roman" w:hAnsi="Times New Roman" w:cs="Times New Roman"/>
                      <w:color w:val="000000"/>
                      <w:sz w:val="20"/>
                      <w:szCs w:val="20"/>
                      <w:lang w:eastAsia="sk-SK"/>
                    </w:rPr>
                  </w:pPr>
                  <w:r w:rsidRPr="00370A1A">
                    <w:rPr>
                      <w:rFonts w:ascii="Times New Roman" w:eastAsia="Times New Roman" w:hAnsi="Times New Roman" w:cs="Times New Roman"/>
                      <w:color w:val="000000"/>
                      <w:sz w:val="20"/>
                      <w:szCs w:val="20"/>
                      <w:lang w:eastAsia="sk-SK"/>
                    </w:rPr>
                    <w:t xml:space="preserve">Skupiny opatrení v priemysle: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6CCA358" w14:textId="77777777" w:rsidR="00FE5933" w:rsidRPr="00370A1A" w:rsidRDefault="00FE5933" w:rsidP="00FE5933">
                  <w:pPr>
                    <w:spacing w:after="0" w:line="240" w:lineRule="auto"/>
                    <w:jc w:val="right"/>
                    <w:rPr>
                      <w:rFonts w:ascii="Times New Roman" w:eastAsia="Times New Roman" w:hAnsi="Times New Roman" w:cs="Times New Roman"/>
                      <w:color w:val="000000"/>
                      <w:sz w:val="20"/>
                      <w:szCs w:val="20"/>
                      <w:lang w:eastAsia="sk-SK"/>
                    </w:rPr>
                  </w:pPr>
                  <w:r w:rsidRPr="00370A1A">
                    <w:rPr>
                      <w:rFonts w:ascii="Times New Roman" w:eastAsia="Times New Roman" w:hAnsi="Times New Roman" w:cs="Times New Roman"/>
                      <w:color w:val="000000"/>
                      <w:sz w:val="20"/>
                      <w:szCs w:val="20"/>
                      <w:lang w:eastAsia="sk-SK"/>
                    </w:rPr>
                    <w:t>Úspora [TJ]</w:t>
                  </w:r>
                </w:p>
              </w:tc>
            </w:tr>
            <w:tr w:rsidR="00ED7AE8" w:rsidRPr="00370A1A" w14:paraId="246CCAB8" w14:textId="77777777" w:rsidTr="00AF5415">
              <w:trPr>
                <w:trHeight w:val="225"/>
              </w:trPr>
              <w:tc>
                <w:tcPr>
                  <w:tcW w:w="284" w:type="dxa"/>
                  <w:tcBorders>
                    <w:top w:val="single" w:sz="4" w:space="0" w:color="auto"/>
                    <w:left w:val="single" w:sz="4" w:space="0" w:color="auto"/>
                    <w:bottom w:val="single" w:sz="4" w:space="0" w:color="auto"/>
                    <w:right w:val="single" w:sz="4" w:space="0" w:color="auto"/>
                  </w:tcBorders>
                  <w:shd w:val="clear" w:color="000000" w:fill="FF7857"/>
                  <w:noWrap/>
                  <w:vAlign w:val="center"/>
                  <w:hideMark/>
                </w:tcPr>
                <w:p w14:paraId="4B80D9C6" w14:textId="77777777" w:rsidR="00ED7AE8" w:rsidRPr="004E746F" w:rsidRDefault="00ED7AE8">
                  <w:pPr>
                    <w:spacing w:after="0" w:line="240" w:lineRule="auto"/>
                    <w:rPr>
                      <w:rFonts w:ascii="Times New Roman" w:eastAsia="Times New Roman" w:hAnsi="Times New Roman" w:cs="Times New Roman"/>
                      <w:color w:val="000000"/>
                      <w:sz w:val="20"/>
                      <w:szCs w:val="20"/>
                      <w:lang w:eastAsia="sk-SK"/>
                    </w:rPr>
                  </w:pPr>
                  <w:r w:rsidRPr="004E746F">
                    <w:rPr>
                      <w:rFonts w:ascii="Times New Roman" w:eastAsia="Times New Roman" w:hAnsi="Times New Roman" w:cs="Times New Roman"/>
                      <w:color w:val="000000"/>
                      <w:sz w:val="20"/>
                      <w:szCs w:val="20"/>
                      <w:lang w:eastAsia="sk-SK"/>
                    </w:rPr>
                    <w:t> </w:t>
                  </w:r>
                </w:p>
              </w:tc>
              <w:tc>
                <w:tcPr>
                  <w:tcW w:w="3685" w:type="dxa"/>
                  <w:tcBorders>
                    <w:top w:val="single" w:sz="4" w:space="0" w:color="auto"/>
                    <w:left w:val="nil"/>
                    <w:bottom w:val="single" w:sz="4" w:space="0" w:color="auto"/>
                    <w:right w:val="single" w:sz="4" w:space="0" w:color="auto"/>
                  </w:tcBorders>
                  <w:shd w:val="clear" w:color="auto" w:fill="auto"/>
                  <w:noWrap/>
                  <w:vAlign w:val="center"/>
                  <w:hideMark/>
                </w:tcPr>
                <w:p w14:paraId="292F53CD" w14:textId="77777777" w:rsidR="00ED7AE8" w:rsidRPr="00370A1A" w:rsidRDefault="00ED7AE8">
                  <w:pPr>
                    <w:spacing w:after="0" w:line="240" w:lineRule="auto"/>
                    <w:rPr>
                      <w:rFonts w:ascii="Times New Roman" w:eastAsia="Times New Roman" w:hAnsi="Times New Roman" w:cs="Times New Roman"/>
                      <w:color w:val="000000"/>
                      <w:sz w:val="20"/>
                      <w:szCs w:val="20"/>
                      <w:lang w:eastAsia="sk-SK"/>
                    </w:rPr>
                  </w:pPr>
                  <w:r w:rsidRPr="00370A1A">
                    <w:rPr>
                      <w:rFonts w:ascii="Times New Roman" w:eastAsia="Times New Roman" w:hAnsi="Times New Roman" w:cs="Times New Roman"/>
                      <w:color w:val="000000"/>
                      <w:sz w:val="20"/>
                      <w:szCs w:val="20"/>
                      <w:lang w:eastAsia="sk-SK"/>
                    </w:rPr>
                    <w:t>Inovácie a technologické transfery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EB545" w14:textId="316898A4" w:rsidR="00ED7AE8" w:rsidRPr="00ED7AE8" w:rsidRDefault="00ED7AE8">
                  <w:pPr>
                    <w:spacing w:after="0" w:line="240" w:lineRule="auto"/>
                    <w:jc w:val="right"/>
                    <w:rPr>
                      <w:rFonts w:ascii="Times New Roman" w:eastAsia="Times New Roman" w:hAnsi="Times New Roman" w:cs="Times New Roman"/>
                      <w:color w:val="000000"/>
                      <w:sz w:val="20"/>
                      <w:szCs w:val="20"/>
                      <w:lang w:eastAsia="sk-SK"/>
                    </w:rPr>
                  </w:pPr>
                  <w:r w:rsidRPr="00AF5415">
                    <w:rPr>
                      <w:rFonts w:ascii="Times New Roman" w:hAnsi="Times New Roman" w:cs="Times New Roman"/>
                      <w:color w:val="000000"/>
                      <w:sz w:val="20"/>
                      <w:szCs w:val="20"/>
                    </w:rPr>
                    <w:t>6,86</w:t>
                  </w:r>
                </w:p>
              </w:tc>
            </w:tr>
            <w:tr w:rsidR="00ED7AE8" w:rsidRPr="00370A1A" w14:paraId="1907E6DD" w14:textId="77777777" w:rsidTr="00AF5415">
              <w:trPr>
                <w:trHeight w:val="273"/>
              </w:trPr>
              <w:tc>
                <w:tcPr>
                  <w:tcW w:w="284" w:type="dxa"/>
                  <w:tcBorders>
                    <w:top w:val="nil"/>
                    <w:left w:val="single" w:sz="4" w:space="0" w:color="auto"/>
                    <w:bottom w:val="single" w:sz="4" w:space="0" w:color="auto"/>
                    <w:right w:val="single" w:sz="4" w:space="0" w:color="auto"/>
                  </w:tcBorders>
                  <w:shd w:val="clear" w:color="000000" w:fill="FF9933"/>
                  <w:noWrap/>
                  <w:vAlign w:val="center"/>
                  <w:hideMark/>
                </w:tcPr>
                <w:p w14:paraId="7CA9C696" w14:textId="77777777" w:rsidR="00ED7AE8" w:rsidRPr="004E746F" w:rsidRDefault="00ED7AE8">
                  <w:pPr>
                    <w:spacing w:after="0" w:line="240" w:lineRule="auto"/>
                    <w:rPr>
                      <w:rFonts w:ascii="Times New Roman" w:eastAsia="Times New Roman" w:hAnsi="Times New Roman" w:cs="Times New Roman"/>
                      <w:color w:val="000000"/>
                      <w:sz w:val="20"/>
                      <w:szCs w:val="20"/>
                      <w:lang w:eastAsia="sk-SK"/>
                    </w:rPr>
                  </w:pPr>
                  <w:r w:rsidRPr="004E746F">
                    <w:rPr>
                      <w:rFonts w:ascii="Times New Roman" w:eastAsia="Times New Roman" w:hAnsi="Times New Roman" w:cs="Times New Roman"/>
                      <w:color w:val="000000"/>
                      <w:sz w:val="20"/>
                      <w:szCs w:val="20"/>
                      <w:lang w:eastAsia="sk-SK"/>
                    </w:rPr>
                    <w:t> </w:t>
                  </w:r>
                </w:p>
              </w:tc>
              <w:tc>
                <w:tcPr>
                  <w:tcW w:w="3685" w:type="dxa"/>
                  <w:tcBorders>
                    <w:top w:val="nil"/>
                    <w:left w:val="nil"/>
                    <w:bottom w:val="single" w:sz="4" w:space="0" w:color="auto"/>
                    <w:right w:val="single" w:sz="4" w:space="0" w:color="auto"/>
                  </w:tcBorders>
                  <w:shd w:val="clear" w:color="auto" w:fill="auto"/>
                  <w:noWrap/>
                  <w:vAlign w:val="center"/>
                  <w:hideMark/>
                </w:tcPr>
                <w:p w14:paraId="18346F37" w14:textId="77777777" w:rsidR="00ED7AE8" w:rsidRPr="00370A1A" w:rsidRDefault="00ED7AE8">
                  <w:pPr>
                    <w:spacing w:after="0" w:line="240" w:lineRule="auto"/>
                    <w:rPr>
                      <w:rFonts w:ascii="Times New Roman" w:eastAsia="Times New Roman" w:hAnsi="Times New Roman" w:cs="Times New Roman"/>
                      <w:color w:val="000000"/>
                      <w:sz w:val="20"/>
                      <w:szCs w:val="20"/>
                      <w:lang w:eastAsia="sk-SK"/>
                    </w:rPr>
                  </w:pPr>
                  <w:r w:rsidRPr="00370A1A">
                    <w:rPr>
                      <w:rFonts w:ascii="Times New Roman" w:eastAsia="Times New Roman" w:hAnsi="Times New Roman" w:cs="Times New Roman"/>
                      <w:color w:val="000000"/>
                      <w:sz w:val="20"/>
                      <w:szCs w:val="20"/>
                      <w:lang w:eastAsia="sk-SK"/>
                    </w:rPr>
                    <w:t>Využívanie energie v priem. podnikoch</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E9B5B3C" w14:textId="4C64B49B" w:rsidR="00ED7AE8" w:rsidRPr="00ED7AE8" w:rsidRDefault="00ED7AE8">
                  <w:pPr>
                    <w:spacing w:after="0" w:line="240" w:lineRule="auto"/>
                    <w:jc w:val="right"/>
                    <w:rPr>
                      <w:rFonts w:ascii="Times New Roman" w:eastAsia="Times New Roman" w:hAnsi="Times New Roman" w:cs="Times New Roman"/>
                      <w:color w:val="000000"/>
                      <w:sz w:val="20"/>
                      <w:szCs w:val="20"/>
                      <w:lang w:eastAsia="sk-SK"/>
                    </w:rPr>
                  </w:pPr>
                  <w:r w:rsidRPr="00AF5415">
                    <w:rPr>
                      <w:rFonts w:ascii="Times New Roman" w:hAnsi="Times New Roman" w:cs="Times New Roman"/>
                      <w:color w:val="000000"/>
                      <w:sz w:val="20"/>
                      <w:szCs w:val="20"/>
                    </w:rPr>
                    <w:t>622,12</w:t>
                  </w:r>
                </w:p>
              </w:tc>
            </w:tr>
            <w:tr w:rsidR="00ED7AE8" w:rsidRPr="00370A1A" w14:paraId="3F55B4E1" w14:textId="77777777" w:rsidTr="00AF5415">
              <w:trPr>
                <w:trHeight w:val="232"/>
              </w:trPr>
              <w:tc>
                <w:tcPr>
                  <w:tcW w:w="284" w:type="dxa"/>
                  <w:tcBorders>
                    <w:top w:val="nil"/>
                    <w:left w:val="single" w:sz="4" w:space="0" w:color="auto"/>
                    <w:bottom w:val="single" w:sz="4" w:space="0" w:color="auto"/>
                    <w:right w:val="single" w:sz="4" w:space="0" w:color="auto"/>
                  </w:tcBorders>
                  <w:shd w:val="clear" w:color="000000" w:fill="FFCC00"/>
                  <w:noWrap/>
                  <w:vAlign w:val="center"/>
                  <w:hideMark/>
                </w:tcPr>
                <w:p w14:paraId="5F306C7F" w14:textId="77777777" w:rsidR="00ED7AE8" w:rsidRPr="004E746F" w:rsidRDefault="00ED7AE8">
                  <w:pPr>
                    <w:spacing w:after="0" w:line="240" w:lineRule="auto"/>
                    <w:rPr>
                      <w:rFonts w:ascii="Times New Roman" w:eastAsia="Times New Roman" w:hAnsi="Times New Roman" w:cs="Times New Roman"/>
                      <w:color w:val="000000"/>
                      <w:sz w:val="20"/>
                      <w:szCs w:val="20"/>
                      <w:lang w:eastAsia="sk-SK"/>
                    </w:rPr>
                  </w:pPr>
                  <w:r w:rsidRPr="004E746F">
                    <w:rPr>
                      <w:rFonts w:ascii="Times New Roman" w:eastAsia="Times New Roman" w:hAnsi="Times New Roman" w:cs="Times New Roman"/>
                      <w:color w:val="000000"/>
                      <w:sz w:val="20"/>
                      <w:szCs w:val="20"/>
                      <w:lang w:eastAsia="sk-SK"/>
                    </w:rPr>
                    <w:t> </w:t>
                  </w:r>
                </w:p>
              </w:tc>
              <w:tc>
                <w:tcPr>
                  <w:tcW w:w="3685" w:type="dxa"/>
                  <w:tcBorders>
                    <w:top w:val="nil"/>
                    <w:left w:val="nil"/>
                    <w:bottom w:val="single" w:sz="4" w:space="0" w:color="auto"/>
                    <w:right w:val="single" w:sz="4" w:space="0" w:color="auto"/>
                  </w:tcBorders>
                  <w:shd w:val="clear" w:color="auto" w:fill="auto"/>
                  <w:noWrap/>
                  <w:vAlign w:val="center"/>
                  <w:hideMark/>
                </w:tcPr>
                <w:p w14:paraId="5FBF3786" w14:textId="77777777" w:rsidR="00ED7AE8" w:rsidRPr="00370A1A" w:rsidRDefault="00ED7AE8">
                  <w:pPr>
                    <w:spacing w:after="0" w:line="240" w:lineRule="auto"/>
                    <w:rPr>
                      <w:rFonts w:ascii="Times New Roman" w:eastAsia="Times New Roman" w:hAnsi="Times New Roman" w:cs="Times New Roman"/>
                      <w:color w:val="000000"/>
                      <w:sz w:val="20"/>
                      <w:szCs w:val="20"/>
                      <w:lang w:eastAsia="sk-SK"/>
                    </w:rPr>
                  </w:pPr>
                  <w:r w:rsidRPr="00370A1A">
                    <w:rPr>
                      <w:rFonts w:ascii="Times New Roman" w:eastAsia="Times New Roman" w:hAnsi="Times New Roman" w:cs="Times New Roman"/>
                      <w:color w:val="000000"/>
                      <w:sz w:val="20"/>
                      <w:szCs w:val="20"/>
                      <w:lang w:eastAsia="sk-SK"/>
                    </w:rPr>
                    <w:t>Energetické audity a iné podporné nástroje</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5C20564" w14:textId="151EC2FB" w:rsidR="00ED7AE8" w:rsidRPr="00ED7AE8" w:rsidRDefault="00ED7AE8">
                  <w:pPr>
                    <w:spacing w:after="0" w:line="240" w:lineRule="auto"/>
                    <w:jc w:val="right"/>
                    <w:rPr>
                      <w:rFonts w:ascii="Times New Roman" w:eastAsia="Times New Roman" w:hAnsi="Times New Roman" w:cs="Times New Roman"/>
                      <w:color w:val="000000"/>
                      <w:sz w:val="20"/>
                      <w:szCs w:val="20"/>
                      <w:lang w:eastAsia="sk-SK"/>
                    </w:rPr>
                  </w:pPr>
                  <w:r w:rsidRPr="00AF5415">
                    <w:rPr>
                      <w:rFonts w:ascii="Times New Roman" w:hAnsi="Times New Roman" w:cs="Times New Roman"/>
                      <w:color w:val="000000"/>
                      <w:sz w:val="20"/>
                      <w:szCs w:val="20"/>
                    </w:rPr>
                    <w:t>2 143,06</w:t>
                  </w:r>
                </w:p>
              </w:tc>
            </w:tr>
            <w:tr w:rsidR="00ED7AE8" w:rsidRPr="00370A1A" w14:paraId="0B5E0A55" w14:textId="77777777" w:rsidTr="00AF5415">
              <w:trPr>
                <w:trHeight w:val="244"/>
              </w:trPr>
              <w:tc>
                <w:tcPr>
                  <w:tcW w:w="284" w:type="dxa"/>
                  <w:tcBorders>
                    <w:top w:val="nil"/>
                    <w:left w:val="nil"/>
                    <w:bottom w:val="nil"/>
                    <w:right w:val="nil"/>
                  </w:tcBorders>
                  <w:shd w:val="clear" w:color="auto" w:fill="auto"/>
                  <w:noWrap/>
                  <w:vAlign w:val="center"/>
                  <w:hideMark/>
                </w:tcPr>
                <w:p w14:paraId="5608F6A0" w14:textId="77777777" w:rsidR="00ED7AE8" w:rsidRPr="004E746F" w:rsidRDefault="00ED7AE8" w:rsidP="00AF5415">
                  <w:pPr>
                    <w:spacing w:after="0" w:line="240" w:lineRule="auto"/>
                    <w:rPr>
                      <w:rFonts w:ascii="Times New Roman" w:eastAsia="Times New Roman" w:hAnsi="Times New Roman" w:cs="Times New Roman"/>
                      <w:color w:val="000000"/>
                      <w:sz w:val="20"/>
                      <w:szCs w:val="20"/>
                      <w:lang w:eastAsia="sk-SK"/>
                    </w:rPr>
                  </w:pPr>
                </w:p>
              </w:tc>
              <w:tc>
                <w:tcPr>
                  <w:tcW w:w="3685" w:type="dxa"/>
                  <w:tcBorders>
                    <w:top w:val="nil"/>
                    <w:left w:val="single" w:sz="4" w:space="0" w:color="auto"/>
                    <w:bottom w:val="single" w:sz="4" w:space="0" w:color="auto"/>
                    <w:right w:val="single" w:sz="4" w:space="0" w:color="auto"/>
                  </w:tcBorders>
                  <w:shd w:val="clear" w:color="auto" w:fill="auto"/>
                  <w:noWrap/>
                  <w:vAlign w:val="center"/>
                  <w:hideMark/>
                </w:tcPr>
                <w:p w14:paraId="30EA3EA1" w14:textId="77777777" w:rsidR="00ED7AE8" w:rsidRPr="00370A1A" w:rsidRDefault="00ED7AE8">
                  <w:pPr>
                    <w:spacing w:after="0" w:line="240" w:lineRule="auto"/>
                    <w:rPr>
                      <w:rFonts w:ascii="Times New Roman" w:eastAsia="Times New Roman" w:hAnsi="Times New Roman" w:cs="Times New Roman"/>
                      <w:b/>
                      <w:color w:val="000000"/>
                      <w:sz w:val="20"/>
                      <w:szCs w:val="20"/>
                      <w:lang w:eastAsia="sk-SK"/>
                    </w:rPr>
                  </w:pPr>
                  <w:r w:rsidRPr="00370A1A">
                    <w:rPr>
                      <w:rFonts w:ascii="Times New Roman" w:eastAsia="Times New Roman" w:hAnsi="Times New Roman" w:cs="Times New Roman"/>
                      <w:b/>
                      <w:color w:val="000000"/>
                      <w:sz w:val="20"/>
                      <w:szCs w:val="20"/>
                      <w:lang w:eastAsia="sk-SK"/>
                    </w:rPr>
                    <w:t>Spolu:</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5716C8C" w14:textId="4D06140A" w:rsidR="00ED7AE8" w:rsidRPr="00ED7AE8" w:rsidRDefault="00ED7AE8">
                  <w:pPr>
                    <w:spacing w:after="0" w:line="240" w:lineRule="auto"/>
                    <w:jc w:val="right"/>
                    <w:rPr>
                      <w:rFonts w:ascii="Times New Roman" w:eastAsia="Times New Roman" w:hAnsi="Times New Roman" w:cs="Times New Roman"/>
                      <w:b/>
                      <w:color w:val="000000"/>
                      <w:sz w:val="20"/>
                      <w:szCs w:val="20"/>
                      <w:lang w:eastAsia="sk-SK"/>
                    </w:rPr>
                  </w:pPr>
                  <w:r w:rsidRPr="00AF5415">
                    <w:rPr>
                      <w:rFonts w:ascii="Times New Roman" w:hAnsi="Times New Roman" w:cs="Times New Roman"/>
                      <w:b/>
                      <w:bCs/>
                      <w:color w:val="000000"/>
                      <w:sz w:val="20"/>
                      <w:szCs w:val="20"/>
                    </w:rPr>
                    <w:t>2 772,04</w:t>
                  </w:r>
                </w:p>
              </w:tc>
            </w:tr>
          </w:tbl>
          <w:p w14:paraId="14A0EE43" w14:textId="77777777" w:rsidR="00FE5933" w:rsidRPr="009F2998" w:rsidRDefault="00FE5933" w:rsidP="00FE5933">
            <w:pPr>
              <w:jc w:val="both"/>
              <w:rPr>
                <w:rFonts w:ascii="Times New Roman" w:hAnsi="Times New Roman" w:cs="Times New Roman"/>
              </w:rPr>
            </w:pPr>
          </w:p>
        </w:tc>
      </w:tr>
    </w:tbl>
    <w:p w14:paraId="13AE5263" w14:textId="44918BFE" w:rsidR="00FE5933" w:rsidRPr="009F2998" w:rsidRDefault="00FE5933" w:rsidP="00FE5933">
      <w:pPr>
        <w:jc w:val="both"/>
        <w:rPr>
          <w:rFonts w:ascii="Times New Roman" w:hAnsi="Times New Roman" w:cs="Times New Roman"/>
        </w:rPr>
      </w:pPr>
    </w:p>
    <w:p w14:paraId="31529B40" w14:textId="6B28E406" w:rsidR="000A4E10" w:rsidRPr="000745A8" w:rsidRDefault="00375311" w:rsidP="00CD05EA">
      <w:pPr>
        <w:jc w:val="both"/>
        <w:rPr>
          <w:rFonts w:ascii="Times New Roman" w:hAnsi="Times New Roman" w:cs="Times New Roman"/>
          <w:sz w:val="24"/>
          <w:szCs w:val="24"/>
        </w:rPr>
      </w:pPr>
      <w:r w:rsidRPr="000745A8">
        <w:rPr>
          <w:rFonts w:ascii="Times New Roman" w:hAnsi="Times New Roman" w:cs="Times New Roman"/>
          <w:sz w:val="24"/>
          <w:szCs w:val="24"/>
        </w:rPr>
        <w:lastRenderedPageBreak/>
        <w:t xml:space="preserve">Podpora inovácií a technologických transferov v priemyselných podnikoch bola v rokoch 2014-2015 zabezpečená najmä prostredníctvom OP KaHR opatrením </w:t>
      </w:r>
      <w:r w:rsidR="00591854" w:rsidRPr="000745A8">
        <w:rPr>
          <w:rFonts w:ascii="Times New Roman" w:hAnsi="Times New Roman" w:cs="Times New Roman"/>
          <w:sz w:val="24"/>
          <w:szCs w:val="24"/>
        </w:rPr>
        <w:t xml:space="preserve">„Inovácie a technologické transfery“ a to najmä v malých a stredných podnikoch, kde </w:t>
      </w:r>
      <w:r w:rsidR="006636BE" w:rsidRPr="000745A8">
        <w:rPr>
          <w:rFonts w:ascii="Times New Roman" w:hAnsi="Times New Roman" w:cs="Times New Roman"/>
          <w:sz w:val="24"/>
          <w:szCs w:val="24"/>
        </w:rPr>
        <w:t xml:space="preserve">sa </w:t>
      </w:r>
      <w:r w:rsidR="00591854" w:rsidRPr="000745A8">
        <w:rPr>
          <w:rFonts w:ascii="Times New Roman" w:hAnsi="Times New Roman" w:cs="Times New Roman"/>
          <w:sz w:val="24"/>
          <w:szCs w:val="24"/>
        </w:rPr>
        <w:t>zmen</w:t>
      </w:r>
      <w:r w:rsidR="006636BE" w:rsidRPr="000745A8">
        <w:rPr>
          <w:rFonts w:ascii="Times New Roman" w:hAnsi="Times New Roman" w:cs="Times New Roman"/>
          <w:sz w:val="24"/>
          <w:szCs w:val="24"/>
        </w:rPr>
        <w:t xml:space="preserve">ou </w:t>
      </w:r>
      <w:r w:rsidR="00591854" w:rsidRPr="000745A8">
        <w:rPr>
          <w:rFonts w:ascii="Times New Roman" w:hAnsi="Times New Roman" w:cs="Times New Roman"/>
          <w:sz w:val="24"/>
          <w:szCs w:val="24"/>
        </w:rPr>
        <w:t xml:space="preserve">výrobných alebo technologických procesov </w:t>
      </w:r>
      <w:r w:rsidR="006636BE" w:rsidRPr="000745A8">
        <w:rPr>
          <w:rFonts w:ascii="Times New Roman" w:hAnsi="Times New Roman" w:cs="Times New Roman"/>
          <w:sz w:val="24"/>
          <w:szCs w:val="24"/>
        </w:rPr>
        <w:t xml:space="preserve">znížila energetická náročnosť výroby. </w:t>
      </w:r>
      <w:r w:rsidR="000A4E10" w:rsidRPr="000745A8">
        <w:rPr>
          <w:rFonts w:ascii="Times New Roman" w:hAnsi="Times New Roman" w:cs="Times New Roman"/>
          <w:sz w:val="24"/>
          <w:szCs w:val="24"/>
        </w:rPr>
        <w:t>K plneniu cieľa úspor energie v priemysle prispeli aj projekty realizované v rámci Operačného programu Bratislavský kraj.</w:t>
      </w:r>
    </w:p>
    <w:p w14:paraId="4970553B" w14:textId="5DA85F4F" w:rsidR="00591854" w:rsidRPr="000745A8" w:rsidRDefault="00591854" w:rsidP="00CD05EA">
      <w:pPr>
        <w:jc w:val="both"/>
        <w:rPr>
          <w:rFonts w:ascii="Times New Roman" w:hAnsi="Times New Roman" w:cs="Times New Roman"/>
          <w:sz w:val="24"/>
          <w:szCs w:val="24"/>
        </w:rPr>
      </w:pPr>
      <w:r w:rsidRPr="000745A8">
        <w:rPr>
          <w:rFonts w:ascii="Times New Roman" w:hAnsi="Times New Roman" w:cs="Times New Roman"/>
          <w:sz w:val="24"/>
          <w:szCs w:val="24"/>
        </w:rPr>
        <w:t xml:space="preserve">Úspory energie podporou inovácií a technologických transferov prostredníctvom operačného programu Výskum a inovácie (ďalej </w:t>
      </w:r>
      <w:r w:rsidR="00CA49D6">
        <w:rPr>
          <w:rFonts w:ascii="Times New Roman" w:hAnsi="Times New Roman" w:cs="Times New Roman"/>
          <w:sz w:val="24"/>
          <w:szCs w:val="24"/>
        </w:rPr>
        <w:t>len</w:t>
      </w:r>
      <w:r w:rsidR="00CA49D6" w:rsidRPr="000745A8">
        <w:rPr>
          <w:rFonts w:ascii="Times New Roman" w:hAnsi="Times New Roman" w:cs="Times New Roman"/>
          <w:sz w:val="24"/>
          <w:szCs w:val="24"/>
        </w:rPr>
        <w:t xml:space="preserve"> </w:t>
      </w:r>
      <w:r w:rsidRPr="000745A8">
        <w:rPr>
          <w:rFonts w:ascii="Times New Roman" w:hAnsi="Times New Roman" w:cs="Times New Roman"/>
          <w:sz w:val="24"/>
          <w:szCs w:val="24"/>
        </w:rPr>
        <w:t xml:space="preserve">„OP VaI“) je z dôvodu náročných procesov implementácie Európskych </w:t>
      </w:r>
      <w:r w:rsidR="00BE3E43" w:rsidRPr="000745A8">
        <w:rPr>
          <w:rFonts w:ascii="Times New Roman" w:hAnsi="Times New Roman" w:cs="Times New Roman"/>
          <w:sz w:val="24"/>
          <w:szCs w:val="24"/>
        </w:rPr>
        <w:t xml:space="preserve">štrukturálnych a </w:t>
      </w:r>
      <w:r w:rsidRPr="000745A8">
        <w:rPr>
          <w:rFonts w:ascii="Times New Roman" w:hAnsi="Times New Roman" w:cs="Times New Roman"/>
          <w:sz w:val="24"/>
          <w:szCs w:val="24"/>
        </w:rPr>
        <w:t xml:space="preserve">investičných fondov </w:t>
      </w:r>
      <w:r w:rsidR="00EA16E4" w:rsidRPr="000745A8">
        <w:rPr>
          <w:rFonts w:ascii="Times New Roman" w:hAnsi="Times New Roman" w:cs="Times New Roman"/>
          <w:sz w:val="24"/>
          <w:szCs w:val="24"/>
        </w:rPr>
        <w:t xml:space="preserve">(ďalej aj „EŠIF“) </w:t>
      </w:r>
      <w:r w:rsidRPr="000745A8">
        <w:rPr>
          <w:rFonts w:ascii="Times New Roman" w:hAnsi="Times New Roman" w:cs="Times New Roman"/>
          <w:sz w:val="24"/>
          <w:szCs w:val="24"/>
        </w:rPr>
        <w:t xml:space="preserve">možné očakávať až od roku 2017. </w:t>
      </w:r>
    </w:p>
    <w:p w14:paraId="43B02609" w14:textId="511846D2" w:rsidR="00866168" w:rsidRPr="000745A8" w:rsidRDefault="00EE49FB" w:rsidP="00CD05EA">
      <w:pPr>
        <w:jc w:val="both"/>
        <w:rPr>
          <w:rFonts w:ascii="Times New Roman" w:hAnsi="Times New Roman" w:cs="Times New Roman"/>
          <w:sz w:val="24"/>
          <w:szCs w:val="24"/>
        </w:rPr>
      </w:pPr>
      <w:r w:rsidRPr="000745A8">
        <w:rPr>
          <w:rFonts w:ascii="Times New Roman" w:hAnsi="Times New Roman" w:cs="Times New Roman"/>
          <w:sz w:val="24"/>
          <w:szCs w:val="24"/>
        </w:rPr>
        <w:t xml:space="preserve">Podpora efektívneho využívania </w:t>
      </w:r>
      <w:r w:rsidR="00EA16E4" w:rsidRPr="000745A8">
        <w:rPr>
          <w:rFonts w:ascii="Times New Roman" w:hAnsi="Times New Roman" w:cs="Times New Roman"/>
          <w:sz w:val="24"/>
          <w:szCs w:val="24"/>
        </w:rPr>
        <w:t>energie v priemyselných podnikoch bol</w:t>
      </w:r>
      <w:r w:rsidRPr="000745A8">
        <w:rPr>
          <w:rFonts w:ascii="Times New Roman" w:hAnsi="Times New Roman" w:cs="Times New Roman"/>
          <w:sz w:val="24"/>
          <w:szCs w:val="24"/>
        </w:rPr>
        <w:t>a</w:t>
      </w:r>
      <w:r w:rsidR="00EA16E4" w:rsidRPr="000745A8">
        <w:rPr>
          <w:rFonts w:ascii="Times New Roman" w:hAnsi="Times New Roman" w:cs="Times New Roman"/>
          <w:sz w:val="24"/>
          <w:szCs w:val="24"/>
        </w:rPr>
        <w:t xml:space="preserve"> v rokoch 2014-2015 </w:t>
      </w:r>
      <w:r w:rsidR="009E7DCA">
        <w:rPr>
          <w:rFonts w:ascii="Times New Roman" w:hAnsi="Times New Roman" w:cs="Times New Roman"/>
          <w:sz w:val="24"/>
          <w:szCs w:val="24"/>
        </w:rPr>
        <w:t xml:space="preserve">podporená </w:t>
      </w:r>
      <w:r w:rsidR="00EA16E4" w:rsidRPr="000745A8">
        <w:rPr>
          <w:rFonts w:ascii="Times New Roman" w:hAnsi="Times New Roman" w:cs="Times New Roman"/>
          <w:sz w:val="24"/>
          <w:szCs w:val="24"/>
        </w:rPr>
        <w:t xml:space="preserve">najmä z OP KaHR a to opatrením </w:t>
      </w:r>
      <w:r w:rsidR="00866168" w:rsidRPr="000745A8">
        <w:rPr>
          <w:rFonts w:ascii="Times New Roman" w:hAnsi="Times New Roman" w:cs="Times New Roman"/>
          <w:sz w:val="24"/>
          <w:szCs w:val="24"/>
        </w:rPr>
        <w:t>„Zvýšenie energetickej efektívnosti primárnych energetických zdrojov a zvýšenie podielu spotreby OZE na celkovej spotrebe energie“, kde podniky realizovali najmä nasledujúce aktivity:</w:t>
      </w:r>
    </w:p>
    <w:p w14:paraId="0FD63E13" w14:textId="47D25BDA" w:rsidR="00866168" w:rsidRPr="000745A8" w:rsidRDefault="00866168" w:rsidP="007157D7">
      <w:pPr>
        <w:pStyle w:val="Odsekzoznamu"/>
        <w:numPr>
          <w:ilvl w:val="0"/>
          <w:numId w:val="8"/>
        </w:numPr>
        <w:jc w:val="both"/>
        <w:rPr>
          <w:rFonts w:ascii="Times New Roman" w:hAnsi="Times New Roman" w:cs="Times New Roman"/>
          <w:sz w:val="24"/>
          <w:szCs w:val="24"/>
        </w:rPr>
      </w:pPr>
      <w:r w:rsidRPr="000745A8">
        <w:rPr>
          <w:rFonts w:ascii="Times New Roman" w:hAnsi="Times New Roman" w:cs="Times New Roman"/>
          <w:sz w:val="24"/>
          <w:szCs w:val="24"/>
        </w:rPr>
        <w:t>zlepšovanie  tepelnotechnických vlastností výrobných hál, prevádzkových a administratívno-výrobných budov, výmena tepelného zdroja, energetický manažment,</w:t>
      </w:r>
    </w:p>
    <w:p w14:paraId="369D811E" w14:textId="4BD58411" w:rsidR="00866168" w:rsidRPr="0072665B" w:rsidRDefault="00866168" w:rsidP="0072665B">
      <w:pPr>
        <w:pStyle w:val="Odsekzoznamu"/>
        <w:numPr>
          <w:ilvl w:val="0"/>
          <w:numId w:val="8"/>
        </w:numPr>
        <w:jc w:val="both"/>
        <w:rPr>
          <w:rFonts w:ascii="Times New Roman" w:hAnsi="Times New Roman" w:cs="Times New Roman"/>
          <w:sz w:val="24"/>
          <w:szCs w:val="24"/>
        </w:rPr>
      </w:pPr>
      <w:r w:rsidRPr="0072665B">
        <w:rPr>
          <w:rFonts w:ascii="Times New Roman" w:hAnsi="Times New Roman" w:cs="Times New Roman"/>
          <w:sz w:val="24"/>
          <w:szCs w:val="24"/>
        </w:rPr>
        <w:t>rekonštrukcia a modernizácia existujúcich energetických zdrojov na báze fosílnych palív za</w:t>
      </w:r>
      <w:r w:rsidR="0072665B" w:rsidRPr="0072665B">
        <w:rPr>
          <w:rFonts w:ascii="Times New Roman" w:hAnsi="Times New Roman" w:cs="Times New Roman"/>
          <w:sz w:val="24"/>
          <w:szCs w:val="24"/>
        </w:rPr>
        <w:t xml:space="preserve"> </w:t>
      </w:r>
      <w:r w:rsidRPr="0072665B">
        <w:rPr>
          <w:rFonts w:ascii="Times New Roman" w:hAnsi="Times New Roman" w:cs="Times New Roman"/>
          <w:sz w:val="24"/>
          <w:szCs w:val="24"/>
        </w:rPr>
        <w:t>účelom zvýšenia účinnosti zariadení</w:t>
      </w:r>
      <w:r w:rsidR="000A4E10" w:rsidRPr="0072665B">
        <w:rPr>
          <w:rFonts w:ascii="Times New Roman" w:hAnsi="Times New Roman" w:cs="Times New Roman"/>
          <w:sz w:val="24"/>
          <w:szCs w:val="24"/>
        </w:rPr>
        <w:t>,</w:t>
      </w:r>
    </w:p>
    <w:p w14:paraId="390E118C" w14:textId="7387947E" w:rsidR="00866168" w:rsidRPr="000745A8" w:rsidRDefault="00866168" w:rsidP="007157D7">
      <w:pPr>
        <w:pStyle w:val="Odsekzoznamu"/>
        <w:numPr>
          <w:ilvl w:val="0"/>
          <w:numId w:val="8"/>
        </w:numPr>
        <w:jc w:val="both"/>
        <w:rPr>
          <w:rFonts w:ascii="Times New Roman" w:hAnsi="Times New Roman" w:cs="Times New Roman"/>
          <w:sz w:val="24"/>
          <w:szCs w:val="24"/>
        </w:rPr>
      </w:pPr>
      <w:r w:rsidRPr="000745A8">
        <w:rPr>
          <w:rFonts w:ascii="Times New Roman" w:hAnsi="Times New Roman" w:cs="Times New Roman"/>
          <w:sz w:val="24"/>
          <w:szCs w:val="24"/>
        </w:rPr>
        <w:t>vysokoúčinná kombinovaná výroba elektriny a</w:t>
      </w:r>
      <w:r w:rsidR="00256E3A">
        <w:rPr>
          <w:rFonts w:ascii="Times New Roman" w:hAnsi="Times New Roman" w:cs="Times New Roman"/>
          <w:sz w:val="24"/>
          <w:szCs w:val="24"/>
        </w:rPr>
        <w:t> </w:t>
      </w:r>
      <w:r w:rsidRPr="000745A8">
        <w:rPr>
          <w:rFonts w:ascii="Times New Roman" w:hAnsi="Times New Roman" w:cs="Times New Roman"/>
          <w:sz w:val="24"/>
          <w:szCs w:val="24"/>
        </w:rPr>
        <w:t>tepla</w:t>
      </w:r>
      <w:r w:rsidR="00256E3A">
        <w:rPr>
          <w:rFonts w:ascii="Times New Roman" w:hAnsi="Times New Roman" w:cs="Times New Roman"/>
          <w:sz w:val="24"/>
          <w:szCs w:val="24"/>
        </w:rPr>
        <w:t xml:space="preserve"> (KVET)</w:t>
      </w:r>
      <w:r w:rsidRPr="000745A8">
        <w:rPr>
          <w:rFonts w:ascii="Times New Roman" w:hAnsi="Times New Roman" w:cs="Times New Roman"/>
          <w:sz w:val="24"/>
          <w:szCs w:val="24"/>
        </w:rPr>
        <w:t xml:space="preserve"> v podnikoch,</w:t>
      </w:r>
    </w:p>
    <w:p w14:paraId="541B53DF" w14:textId="5DA24875" w:rsidR="00866168" w:rsidRPr="000745A8" w:rsidRDefault="00866168" w:rsidP="007157D7">
      <w:pPr>
        <w:pStyle w:val="Odsekzoznamu"/>
        <w:numPr>
          <w:ilvl w:val="0"/>
          <w:numId w:val="8"/>
        </w:numPr>
        <w:jc w:val="both"/>
        <w:rPr>
          <w:rFonts w:ascii="Times New Roman" w:hAnsi="Times New Roman" w:cs="Times New Roman"/>
          <w:sz w:val="24"/>
          <w:szCs w:val="24"/>
        </w:rPr>
      </w:pPr>
      <w:r w:rsidRPr="000745A8">
        <w:rPr>
          <w:rFonts w:ascii="Times New Roman" w:hAnsi="Times New Roman" w:cs="Times New Roman"/>
          <w:sz w:val="24"/>
          <w:szCs w:val="24"/>
        </w:rPr>
        <w:t>rekonštrukcia existujúcich tepelných zariadení na rozvod tepla (napr. zlepšenie izolácie potrubných rozvodov, zavádzanie systémov na sledovanie úniku tepla, rekonštrukcia odovzdávacích staníc tepla a iné) v podnikoch.</w:t>
      </w:r>
    </w:p>
    <w:p w14:paraId="3ADCB931" w14:textId="33589B0A" w:rsidR="00C41EA4" w:rsidRPr="000745A8" w:rsidRDefault="006636BE" w:rsidP="00C41EA4">
      <w:pPr>
        <w:jc w:val="both"/>
        <w:rPr>
          <w:rFonts w:ascii="Times New Roman" w:hAnsi="Times New Roman" w:cs="Times New Roman"/>
          <w:sz w:val="24"/>
          <w:szCs w:val="24"/>
        </w:rPr>
      </w:pPr>
      <w:r w:rsidRPr="000E01BC">
        <w:rPr>
          <w:rFonts w:ascii="Times New Roman" w:hAnsi="Times New Roman" w:cs="Times New Roman"/>
          <w:sz w:val="24"/>
          <w:szCs w:val="24"/>
        </w:rPr>
        <w:t xml:space="preserve">Podobné aktivity boli v rokoch 2014-2015 realizované z programu </w:t>
      </w:r>
      <w:r w:rsidR="00375311" w:rsidRPr="000E01BC">
        <w:rPr>
          <w:rFonts w:ascii="Times New Roman" w:hAnsi="Times New Roman" w:cs="Times New Roman"/>
          <w:sz w:val="24"/>
          <w:szCs w:val="24"/>
        </w:rPr>
        <w:t>Slovseff II.</w:t>
      </w:r>
      <w:r w:rsidRPr="000E01BC">
        <w:rPr>
          <w:rFonts w:ascii="Times New Roman" w:hAnsi="Times New Roman" w:cs="Times New Roman"/>
          <w:sz w:val="24"/>
          <w:szCs w:val="24"/>
        </w:rPr>
        <w:t xml:space="preserve"> Úverový program, na ktorý poskytuje finančné prostriedky Európska banka pre obnovu a rozvoj prostredníctvom komerčných bánk </w:t>
      </w:r>
      <w:r w:rsidR="008C0C59" w:rsidRPr="000E01BC">
        <w:rPr>
          <w:rFonts w:ascii="Times New Roman" w:hAnsi="Times New Roman" w:cs="Times New Roman"/>
          <w:sz w:val="24"/>
          <w:szCs w:val="24"/>
        </w:rPr>
        <w:t xml:space="preserve"> na Slovensku podporený bonusom vo forme nenávratného finančného príspevku z </w:t>
      </w:r>
      <w:r w:rsidR="008C0C59" w:rsidRPr="000578FE">
        <w:rPr>
          <w:rFonts w:ascii="Times New Roman" w:hAnsi="Times New Roman" w:cs="Times New Roman"/>
          <w:bCs/>
          <w:sz w:val="24"/>
          <w:szCs w:val="24"/>
        </w:rPr>
        <w:t xml:space="preserve">Medzinárodného fondu na podporu odstavenia elektrárne </w:t>
      </w:r>
      <w:r w:rsidR="002C4F05" w:rsidRPr="000578FE">
        <w:rPr>
          <w:rFonts w:ascii="Times New Roman" w:hAnsi="Times New Roman" w:cs="Times New Roman"/>
          <w:bCs/>
          <w:sz w:val="24"/>
          <w:szCs w:val="24"/>
        </w:rPr>
        <w:t xml:space="preserve">Jaslovské Bohunice </w:t>
      </w:r>
      <w:r w:rsidR="008C0C59" w:rsidRPr="000578FE">
        <w:rPr>
          <w:rFonts w:ascii="Times New Roman" w:hAnsi="Times New Roman" w:cs="Times New Roman"/>
          <w:bCs/>
          <w:sz w:val="24"/>
          <w:szCs w:val="24"/>
        </w:rPr>
        <w:t>(ďalej aj „BIDSF“) pokračuje treťou etapou</w:t>
      </w:r>
      <w:r w:rsidR="004F0D91">
        <w:rPr>
          <w:rFonts w:ascii="Times New Roman" w:hAnsi="Times New Roman" w:cs="Times New Roman"/>
          <w:bCs/>
          <w:sz w:val="24"/>
          <w:szCs w:val="24"/>
        </w:rPr>
        <w:t>,</w:t>
      </w:r>
      <w:r w:rsidR="008C0C59" w:rsidRPr="000578FE">
        <w:rPr>
          <w:rFonts w:ascii="Times New Roman" w:hAnsi="Times New Roman" w:cs="Times New Roman"/>
          <w:bCs/>
          <w:sz w:val="24"/>
          <w:szCs w:val="24"/>
        </w:rPr>
        <w:t xml:space="preserve"> a to programom Slovseff III., v ktorom je bonus poskytovaný </w:t>
      </w:r>
      <w:r w:rsidR="00C41EA4" w:rsidRPr="000E01BC">
        <w:rPr>
          <w:rFonts w:ascii="Times New Roman" w:hAnsi="Times New Roman" w:cs="Times New Roman"/>
          <w:sz w:val="24"/>
          <w:szCs w:val="24"/>
        </w:rPr>
        <w:t xml:space="preserve">v rámci Zelenej investičnej schémy financovanej z výnosov z emisných </w:t>
      </w:r>
      <w:r w:rsidR="004F0D91">
        <w:rPr>
          <w:rFonts w:ascii="Times New Roman" w:hAnsi="Times New Roman" w:cs="Times New Roman"/>
          <w:sz w:val="24"/>
          <w:szCs w:val="24"/>
        </w:rPr>
        <w:t>k</w:t>
      </w:r>
      <w:bookmarkStart w:id="51" w:name="_GoBack"/>
      <w:bookmarkEnd w:id="51"/>
      <w:r w:rsidR="004F0D91">
        <w:rPr>
          <w:rFonts w:ascii="Times New Roman" w:hAnsi="Times New Roman" w:cs="Times New Roman"/>
          <w:sz w:val="24"/>
          <w:szCs w:val="24"/>
        </w:rPr>
        <w:t>vót</w:t>
      </w:r>
      <w:r w:rsidR="004F0D91" w:rsidRPr="000E01BC">
        <w:rPr>
          <w:rFonts w:ascii="Times New Roman" w:hAnsi="Times New Roman" w:cs="Times New Roman"/>
          <w:sz w:val="24"/>
          <w:szCs w:val="24"/>
        </w:rPr>
        <w:t xml:space="preserve"> </w:t>
      </w:r>
      <w:r w:rsidR="00C41EA4" w:rsidRPr="000E01BC">
        <w:rPr>
          <w:rFonts w:ascii="Times New Roman" w:hAnsi="Times New Roman" w:cs="Times New Roman"/>
          <w:sz w:val="24"/>
          <w:szCs w:val="24"/>
        </w:rPr>
        <w:t>skleníkových plynov</w:t>
      </w:r>
      <w:r w:rsidR="00C41EA4" w:rsidRPr="000745A8">
        <w:rPr>
          <w:rFonts w:ascii="Times New Roman" w:hAnsi="Times New Roman" w:cs="Times New Roman"/>
          <w:sz w:val="24"/>
          <w:szCs w:val="24"/>
        </w:rPr>
        <w:t xml:space="preserve">. </w:t>
      </w:r>
    </w:p>
    <w:p w14:paraId="08BBB872" w14:textId="77777777" w:rsidR="00227988" w:rsidRPr="000745A8" w:rsidRDefault="00227988" w:rsidP="00227988">
      <w:pPr>
        <w:jc w:val="both"/>
        <w:rPr>
          <w:rFonts w:ascii="Times New Roman" w:hAnsi="Times New Roman" w:cs="Times New Roman"/>
          <w:sz w:val="24"/>
          <w:szCs w:val="24"/>
        </w:rPr>
      </w:pPr>
      <w:r w:rsidRPr="000745A8">
        <w:rPr>
          <w:rFonts w:ascii="Times New Roman" w:hAnsi="Times New Roman" w:cs="Times New Roman"/>
          <w:sz w:val="24"/>
          <w:szCs w:val="24"/>
        </w:rPr>
        <w:t>S účinnosťou od 1. januára 2009 zaviedla SR povinné energetické audity pre priemyselné a poľnohospodárske podniky,</w:t>
      </w:r>
      <w:r w:rsidRPr="000578FE">
        <w:rPr>
          <w:sz w:val="24"/>
          <w:szCs w:val="24"/>
          <w:vertAlign w:val="superscript"/>
        </w:rPr>
        <w:footnoteReference w:id="19"/>
      </w:r>
      <w:r w:rsidRPr="000745A8">
        <w:rPr>
          <w:rFonts w:ascii="Times New Roman" w:hAnsi="Times New Roman" w:cs="Times New Roman"/>
          <w:sz w:val="24"/>
          <w:szCs w:val="24"/>
        </w:rPr>
        <w:t xml:space="preserve"> a to podľa množstva spotrebovanej energie s termínom ukončenia v decembri 2011 pre podniky s celkovou ročnou spotrebou do 20 000 MWh a v decembri 2013 pre podniky s celkovou ročnou spotrebou viac ako 20 000 MWh. Na základe výstupov z energetických auditov</w:t>
      </w:r>
      <w:r w:rsidRPr="000578FE">
        <w:rPr>
          <w:sz w:val="24"/>
          <w:szCs w:val="24"/>
          <w:vertAlign w:val="superscript"/>
        </w:rPr>
        <w:footnoteReference w:id="20"/>
      </w:r>
      <w:r w:rsidRPr="000745A8">
        <w:rPr>
          <w:rFonts w:ascii="Times New Roman" w:hAnsi="Times New Roman" w:cs="Times New Roman"/>
          <w:sz w:val="24"/>
          <w:szCs w:val="24"/>
        </w:rPr>
        <w:t xml:space="preserve"> realizovali mnohé podniky z vlastných prostriedkov najmä organizačné a nízkonákladové opatrenia. Informácie o realizovaných opatreniach jednotlivé podniky spravidla neposkytujú. Informácie o využití potenciálu úspor energie identifikovaných v energetických auditoch budú k dispozícii v štvorročných intervaloch pri opakovaných </w:t>
      </w:r>
      <w:r w:rsidRPr="000745A8">
        <w:rPr>
          <w:rFonts w:ascii="Times New Roman" w:hAnsi="Times New Roman" w:cs="Times New Roman"/>
          <w:sz w:val="24"/>
          <w:szCs w:val="24"/>
        </w:rPr>
        <w:lastRenderedPageBreak/>
        <w:t>energetických auditoch pre veľké podniky</w:t>
      </w:r>
      <w:r w:rsidRPr="000578FE">
        <w:rPr>
          <w:sz w:val="24"/>
          <w:szCs w:val="24"/>
          <w:vertAlign w:val="superscript"/>
        </w:rPr>
        <w:footnoteReference w:id="21"/>
      </w:r>
      <w:r w:rsidRPr="000745A8">
        <w:rPr>
          <w:rFonts w:ascii="Times New Roman" w:hAnsi="Times New Roman" w:cs="Times New Roman"/>
          <w:sz w:val="24"/>
          <w:szCs w:val="24"/>
        </w:rPr>
        <w:t xml:space="preserve"> alebo na základe dobrovoľného poskytnutia informácií od podnikov, ktoré tieto opatrenia realizovali.</w:t>
      </w:r>
    </w:p>
    <w:p w14:paraId="4CAAB809" w14:textId="5C1BB837" w:rsidR="00D20B44" w:rsidRPr="000745A8" w:rsidRDefault="00D20B44" w:rsidP="00D20B44">
      <w:pPr>
        <w:jc w:val="both"/>
        <w:rPr>
          <w:rFonts w:ascii="Times New Roman" w:hAnsi="Times New Roman" w:cs="Times New Roman"/>
          <w:sz w:val="24"/>
          <w:szCs w:val="24"/>
        </w:rPr>
      </w:pPr>
      <w:r w:rsidRPr="000745A8">
        <w:rPr>
          <w:rFonts w:ascii="Times New Roman" w:hAnsi="Times New Roman" w:cs="Times New Roman"/>
          <w:sz w:val="24"/>
          <w:szCs w:val="24"/>
        </w:rPr>
        <w:t>Podrobné vyhodnotenie opatrení energetickej efektívnosti v sektore priemys</w:t>
      </w:r>
      <w:r w:rsidR="00200F3D" w:rsidRPr="000745A8">
        <w:rPr>
          <w:rFonts w:ascii="Times New Roman" w:hAnsi="Times New Roman" w:cs="Times New Roman"/>
          <w:sz w:val="24"/>
          <w:szCs w:val="24"/>
        </w:rPr>
        <w:t>e</w:t>
      </w:r>
      <w:r w:rsidRPr="000745A8">
        <w:rPr>
          <w:rFonts w:ascii="Times New Roman" w:hAnsi="Times New Roman" w:cs="Times New Roman"/>
          <w:sz w:val="24"/>
          <w:szCs w:val="24"/>
        </w:rPr>
        <w:t>l je uvedené v prílohe č. 1 tab. P2-1. Významné podporné opatrenia, ktoré prispievajú k plneniu cieľov opatrení energetickej efektívnosti v sektore priemys</w:t>
      </w:r>
      <w:r w:rsidR="00200F3D" w:rsidRPr="000745A8">
        <w:rPr>
          <w:rFonts w:ascii="Times New Roman" w:hAnsi="Times New Roman" w:cs="Times New Roman"/>
          <w:sz w:val="24"/>
          <w:szCs w:val="24"/>
        </w:rPr>
        <w:t>e</w:t>
      </w:r>
      <w:r w:rsidRPr="000745A8">
        <w:rPr>
          <w:rFonts w:ascii="Times New Roman" w:hAnsi="Times New Roman" w:cs="Times New Roman"/>
          <w:sz w:val="24"/>
          <w:szCs w:val="24"/>
        </w:rPr>
        <w:t xml:space="preserve">l sa individuálne nevyhodnocujú z dôvodu zamedzenia dvojitému započítavaniu úspor energie. Prehľad podporných opatrení je uvedený v prílohe č. 1 tab. P2-2. </w:t>
      </w:r>
    </w:p>
    <w:p w14:paraId="0FC0B245" w14:textId="77777777" w:rsidR="002D541C" w:rsidRPr="009F2998" w:rsidRDefault="002D541C" w:rsidP="002D541C">
      <w:pPr>
        <w:rPr>
          <w:rFonts w:ascii="Times New Roman" w:hAnsi="Times New Roman" w:cs="Times New Roman"/>
        </w:rPr>
      </w:pPr>
    </w:p>
    <w:p w14:paraId="6E83CB51" w14:textId="736D5887" w:rsidR="001D5205" w:rsidRPr="000578FE" w:rsidRDefault="001D5205" w:rsidP="005F7B58">
      <w:pPr>
        <w:pStyle w:val="Nadpis3"/>
        <w:keepNext w:val="0"/>
        <w:keepLines w:val="0"/>
        <w:numPr>
          <w:ilvl w:val="2"/>
          <w:numId w:val="43"/>
        </w:numPr>
        <w:rPr>
          <w:rFonts w:ascii="Times New Roman" w:hAnsi="Times New Roman" w:cs="Times New Roman"/>
          <w:color w:val="auto"/>
        </w:rPr>
      </w:pPr>
      <w:bookmarkStart w:id="52" w:name="_Toc480547233"/>
      <w:r w:rsidRPr="000578FE">
        <w:rPr>
          <w:rFonts w:ascii="Times New Roman" w:hAnsi="Times New Roman" w:cs="Times New Roman"/>
          <w:color w:val="auto"/>
        </w:rPr>
        <w:t>Opatrenia energetickej efektívnosti vo verejnom sektore</w:t>
      </w:r>
      <w:bookmarkEnd w:id="52"/>
      <w:r w:rsidRPr="000578FE">
        <w:rPr>
          <w:rFonts w:ascii="Times New Roman" w:hAnsi="Times New Roman" w:cs="Times New Roman"/>
          <w:color w:val="auto"/>
        </w:rPr>
        <w:t xml:space="preserve"> </w:t>
      </w:r>
    </w:p>
    <w:p w14:paraId="5575346D" w14:textId="77777777" w:rsidR="00B64D7F" w:rsidRPr="009F2998" w:rsidRDefault="00B64D7F" w:rsidP="000E2AED">
      <w:pPr>
        <w:rPr>
          <w:rFonts w:ascii="Times New Roman" w:hAnsi="Times New Roman" w:cs="Times New Roman"/>
        </w:rPr>
      </w:pPr>
    </w:p>
    <w:p w14:paraId="3AB4A9BA" w14:textId="5BEAC3F5" w:rsidR="00B64D7F" w:rsidRPr="000745A8" w:rsidRDefault="00B64D7F" w:rsidP="00B64D7F">
      <w:pPr>
        <w:jc w:val="both"/>
        <w:rPr>
          <w:rFonts w:ascii="Times New Roman" w:hAnsi="Times New Roman" w:cs="Times New Roman"/>
          <w:sz w:val="24"/>
          <w:szCs w:val="24"/>
        </w:rPr>
      </w:pPr>
      <w:r w:rsidRPr="000745A8">
        <w:rPr>
          <w:rFonts w:ascii="Times New Roman" w:hAnsi="Times New Roman" w:cs="Times New Roman"/>
          <w:sz w:val="24"/>
          <w:szCs w:val="24"/>
        </w:rPr>
        <w:t xml:space="preserve">Opatrenia energetickej efektívnosti vo verejnom </w:t>
      </w:r>
      <w:r w:rsidR="00E77F75" w:rsidRPr="000745A8">
        <w:rPr>
          <w:rFonts w:ascii="Times New Roman" w:hAnsi="Times New Roman" w:cs="Times New Roman"/>
          <w:sz w:val="24"/>
          <w:szCs w:val="24"/>
        </w:rPr>
        <w:t xml:space="preserve">sú </w:t>
      </w:r>
      <w:r w:rsidRPr="000745A8">
        <w:rPr>
          <w:rFonts w:ascii="Times New Roman" w:hAnsi="Times New Roman" w:cs="Times New Roman"/>
          <w:sz w:val="24"/>
          <w:szCs w:val="24"/>
        </w:rPr>
        <w:t>zamerané najmä na:</w:t>
      </w:r>
    </w:p>
    <w:p w14:paraId="5BE85A75" w14:textId="6C1AA4AB" w:rsidR="007916D4" w:rsidRPr="000745A8" w:rsidRDefault="00B64D7F" w:rsidP="008F19ED">
      <w:pPr>
        <w:pStyle w:val="Odsekzoznamu"/>
        <w:numPr>
          <w:ilvl w:val="0"/>
          <w:numId w:val="6"/>
        </w:numPr>
        <w:jc w:val="both"/>
        <w:rPr>
          <w:rFonts w:ascii="Times New Roman" w:hAnsi="Times New Roman" w:cs="Times New Roman"/>
          <w:sz w:val="24"/>
          <w:szCs w:val="24"/>
        </w:rPr>
      </w:pPr>
      <w:r w:rsidRPr="000745A8">
        <w:rPr>
          <w:rFonts w:ascii="Times New Roman" w:hAnsi="Times New Roman" w:cs="Times New Roman"/>
          <w:sz w:val="24"/>
          <w:szCs w:val="24"/>
        </w:rPr>
        <w:t xml:space="preserve">zlepšovanie tepelnotechnických vlastností </w:t>
      </w:r>
      <w:r w:rsidR="007916D4" w:rsidRPr="000745A8">
        <w:rPr>
          <w:rFonts w:ascii="Times New Roman" w:hAnsi="Times New Roman" w:cs="Times New Roman"/>
          <w:sz w:val="24"/>
          <w:szCs w:val="24"/>
        </w:rPr>
        <w:t>verejných budov zo štrukturálnych fondov EÚ 2007-2013</w:t>
      </w:r>
      <w:r w:rsidR="000B15D7" w:rsidRPr="000745A8">
        <w:rPr>
          <w:rFonts w:ascii="Times New Roman" w:hAnsi="Times New Roman" w:cs="Times New Roman"/>
          <w:sz w:val="24"/>
          <w:szCs w:val="24"/>
        </w:rPr>
        <w:t>, 2014 - 2020</w:t>
      </w:r>
      <w:r w:rsidR="007916D4" w:rsidRPr="000745A8">
        <w:rPr>
          <w:rFonts w:ascii="Times New Roman" w:hAnsi="Times New Roman" w:cs="Times New Roman"/>
          <w:sz w:val="24"/>
          <w:szCs w:val="24"/>
        </w:rPr>
        <w:t>,</w:t>
      </w:r>
    </w:p>
    <w:p w14:paraId="0ACD2274" w14:textId="16C440AC" w:rsidR="00D555FE" w:rsidRPr="000745A8" w:rsidRDefault="007916D4" w:rsidP="008F19ED">
      <w:pPr>
        <w:pStyle w:val="Odsekzoznamu"/>
        <w:numPr>
          <w:ilvl w:val="0"/>
          <w:numId w:val="6"/>
        </w:numPr>
        <w:jc w:val="both"/>
        <w:rPr>
          <w:rFonts w:ascii="Times New Roman" w:hAnsi="Times New Roman" w:cs="Times New Roman"/>
          <w:sz w:val="24"/>
          <w:szCs w:val="24"/>
        </w:rPr>
      </w:pPr>
      <w:r w:rsidRPr="000745A8">
        <w:rPr>
          <w:rFonts w:ascii="Times New Roman" w:hAnsi="Times New Roman" w:cs="Times New Roman"/>
          <w:sz w:val="24"/>
          <w:szCs w:val="24"/>
        </w:rPr>
        <w:t>zlepšovanie tepelnotechnických vlastností verejných budov z vlastných rozpočtových zdrojov,</w:t>
      </w:r>
    </w:p>
    <w:p w14:paraId="0CD30DF8" w14:textId="01F1B4CB" w:rsidR="007916D4" w:rsidRPr="004E746F" w:rsidRDefault="007916D4" w:rsidP="004E746F">
      <w:pPr>
        <w:pStyle w:val="Odsekzoznamu"/>
        <w:numPr>
          <w:ilvl w:val="0"/>
          <w:numId w:val="6"/>
        </w:numPr>
        <w:jc w:val="both"/>
        <w:rPr>
          <w:rFonts w:ascii="Times New Roman" w:hAnsi="Times New Roman" w:cs="Times New Roman"/>
          <w:sz w:val="24"/>
          <w:szCs w:val="24"/>
        </w:rPr>
      </w:pPr>
      <w:r w:rsidRPr="004E746F">
        <w:rPr>
          <w:rFonts w:ascii="Times New Roman" w:hAnsi="Times New Roman" w:cs="Times New Roman"/>
          <w:sz w:val="24"/>
          <w:szCs w:val="24"/>
        </w:rPr>
        <w:t>zlepšovanie tepelnotechnických vlastností verejných budov z národných a medzinárodných programov a fondov,</w:t>
      </w:r>
      <w:r w:rsidR="005E4412" w:rsidRPr="004E746F">
        <w:rPr>
          <w:rFonts w:ascii="Times New Roman" w:hAnsi="Times New Roman" w:cs="Times New Roman"/>
          <w:sz w:val="24"/>
          <w:szCs w:val="24"/>
        </w:rPr>
        <w:t xml:space="preserve"> </w:t>
      </w:r>
    </w:p>
    <w:p w14:paraId="4A627135" w14:textId="000080EC" w:rsidR="00C61956" w:rsidRPr="000745A8" w:rsidRDefault="00C61956" w:rsidP="00C61956">
      <w:pPr>
        <w:pStyle w:val="Odsekzoznamu"/>
        <w:numPr>
          <w:ilvl w:val="0"/>
          <w:numId w:val="6"/>
        </w:numPr>
        <w:jc w:val="both"/>
        <w:rPr>
          <w:rFonts w:ascii="Times New Roman" w:hAnsi="Times New Roman" w:cs="Times New Roman"/>
          <w:sz w:val="24"/>
          <w:szCs w:val="24"/>
        </w:rPr>
      </w:pPr>
      <w:r w:rsidRPr="000745A8">
        <w:rPr>
          <w:rFonts w:ascii="Times New Roman" w:hAnsi="Times New Roman" w:cs="Times New Roman"/>
          <w:sz w:val="24"/>
          <w:szCs w:val="24"/>
        </w:rPr>
        <w:t xml:space="preserve">modernizáciu verejného osvetlenia, </w:t>
      </w:r>
    </w:p>
    <w:p w14:paraId="458C5243" w14:textId="7F3A9506" w:rsidR="00253CC3" w:rsidRPr="000745A8" w:rsidRDefault="00B64D7F" w:rsidP="008F19ED">
      <w:pPr>
        <w:pStyle w:val="Odsekzoznamu"/>
        <w:numPr>
          <w:ilvl w:val="0"/>
          <w:numId w:val="6"/>
        </w:numPr>
        <w:jc w:val="both"/>
        <w:rPr>
          <w:rFonts w:ascii="Times New Roman" w:hAnsi="Times New Roman" w:cs="Times New Roman"/>
          <w:sz w:val="24"/>
          <w:szCs w:val="24"/>
        </w:rPr>
      </w:pPr>
      <w:r w:rsidRPr="000745A8">
        <w:rPr>
          <w:rFonts w:ascii="Times New Roman" w:hAnsi="Times New Roman" w:cs="Times New Roman"/>
          <w:sz w:val="24"/>
          <w:szCs w:val="24"/>
        </w:rPr>
        <w:t xml:space="preserve">opatrenia na úsporu energie na technických zariadeniach budov </w:t>
      </w:r>
      <w:r w:rsidR="00253CC3" w:rsidRPr="000745A8">
        <w:rPr>
          <w:rFonts w:ascii="Times New Roman" w:hAnsi="Times New Roman" w:cs="Times New Roman"/>
          <w:sz w:val="24"/>
          <w:szCs w:val="24"/>
        </w:rPr>
        <w:t xml:space="preserve">prostredníctvom energetických služieb, </w:t>
      </w:r>
    </w:p>
    <w:p w14:paraId="69725FA9" w14:textId="7CE6BCC0" w:rsidR="00B64D7F" w:rsidRPr="000745A8" w:rsidRDefault="00253CC3" w:rsidP="008F19ED">
      <w:pPr>
        <w:pStyle w:val="Odsekzoznamu"/>
        <w:numPr>
          <w:ilvl w:val="0"/>
          <w:numId w:val="6"/>
        </w:numPr>
        <w:jc w:val="both"/>
        <w:rPr>
          <w:rFonts w:ascii="Times New Roman" w:hAnsi="Times New Roman" w:cs="Times New Roman"/>
          <w:sz w:val="24"/>
          <w:szCs w:val="24"/>
        </w:rPr>
      </w:pPr>
      <w:r w:rsidRPr="000745A8">
        <w:rPr>
          <w:rFonts w:ascii="Times New Roman" w:hAnsi="Times New Roman" w:cs="Times New Roman"/>
          <w:sz w:val="24"/>
          <w:szCs w:val="24"/>
        </w:rPr>
        <w:t xml:space="preserve">opatrenia na úsporu energie </w:t>
      </w:r>
      <w:r w:rsidR="00B64D7F" w:rsidRPr="000745A8">
        <w:rPr>
          <w:rFonts w:ascii="Times New Roman" w:hAnsi="Times New Roman" w:cs="Times New Roman"/>
          <w:sz w:val="24"/>
          <w:szCs w:val="24"/>
        </w:rPr>
        <w:t>realizované na základe aplikácie koncepčných a strategických materiálov</w:t>
      </w:r>
      <w:r w:rsidRPr="000745A8">
        <w:rPr>
          <w:rFonts w:ascii="Times New Roman" w:hAnsi="Times New Roman" w:cs="Times New Roman"/>
          <w:sz w:val="24"/>
          <w:szCs w:val="24"/>
        </w:rPr>
        <w:t xml:space="preserve"> a </w:t>
      </w:r>
      <w:r w:rsidR="00B64D7F" w:rsidRPr="000745A8">
        <w:rPr>
          <w:rFonts w:ascii="Times New Roman" w:hAnsi="Times New Roman" w:cs="Times New Roman"/>
          <w:sz w:val="24"/>
          <w:szCs w:val="24"/>
        </w:rPr>
        <w:t>legislatívnych povinností.</w:t>
      </w:r>
    </w:p>
    <w:p w14:paraId="719356D3" w14:textId="77777777" w:rsidR="00C15827" w:rsidRDefault="00C15827" w:rsidP="00FE5933">
      <w:pPr>
        <w:jc w:val="both"/>
        <w:rPr>
          <w:rFonts w:ascii="Times New Roman" w:hAnsi="Times New Roman" w:cs="Times New Roman"/>
        </w:rPr>
      </w:pPr>
    </w:p>
    <w:p w14:paraId="31BF1FB1" w14:textId="11E048D3" w:rsidR="00FE5933" w:rsidRPr="009F2998" w:rsidRDefault="00375411" w:rsidP="000578FE">
      <w:pPr>
        <w:keepNext/>
        <w:jc w:val="both"/>
        <w:rPr>
          <w:rFonts w:ascii="Times New Roman" w:hAnsi="Times New Roman" w:cs="Times New Roman"/>
        </w:rPr>
      </w:pPr>
      <w:r w:rsidRPr="000578FE">
        <w:rPr>
          <w:rFonts w:ascii="Times New Roman" w:hAnsi="Times New Roman" w:cs="Times New Roman"/>
          <w:sz w:val="24"/>
          <w:szCs w:val="24"/>
        </w:rPr>
        <w:t xml:space="preserve">Graf č. </w:t>
      </w:r>
      <w:r w:rsidR="00AE42A2">
        <w:rPr>
          <w:rFonts w:ascii="Times New Roman" w:hAnsi="Times New Roman" w:cs="Times New Roman"/>
          <w:sz w:val="24"/>
          <w:szCs w:val="24"/>
        </w:rPr>
        <w:t>9</w:t>
      </w:r>
      <w:r w:rsidRPr="000578FE">
        <w:rPr>
          <w:rFonts w:ascii="Times New Roman" w:hAnsi="Times New Roman" w:cs="Times New Roman"/>
          <w:sz w:val="24"/>
          <w:szCs w:val="24"/>
        </w:rPr>
        <w:t>: Zníženie konečnej energetickej spotreby  vo verejnom sektore - podiel skupín opatrení na plnení cieľa v rokoch 2014-2016</w:t>
      </w:r>
    </w:p>
    <w:tbl>
      <w:tblPr>
        <w:tblStyle w:val="Mriekatabuky"/>
        <w:tblW w:w="0" w:type="auto"/>
        <w:tblInd w:w="-5" w:type="dxa"/>
        <w:tblLook w:val="04A0" w:firstRow="1" w:lastRow="0" w:firstColumn="1" w:lastColumn="0" w:noHBand="0" w:noVBand="1"/>
      </w:tblPr>
      <w:tblGrid>
        <w:gridCol w:w="4318"/>
        <w:gridCol w:w="4759"/>
      </w:tblGrid>
      <w:tr w:rsidR="00FE5933" w:rsidRPr="009F2998" w14:paraId="4F1B434B" w14:textId="77777777" w:rsidTr="000578FE">
        <w:trPr>
          <w:trHeight w:val="4048"/>
        </w:trPr>
        <w:tc>
          <w:tcPr>
            <w:tcW w:w="4318" w:type="dxa"/>
            <w:tcBorders>
              <w:top w:val="nil"/>
              <w:left w:val="nil"/>
              <w:bottom w:val="nil"/>
              <w:right w:val="nil"/>
            </w:tcBorders>
          </w:tcPr>
          <w:p w14:paraId="39492275" w14:textId="51180872" w:rsidR="00FE5933" w:rsidRPr="009F2998" w:rsidRDefault="00C34FEF" w:rsidP="00FE5933">
            <w:pPr>
              <w:jc w:val="both"/>
              <w:rPr>
                <w:rFonts w:ascii="Times New Roman" w:hAnsi="Times New Roman" w:cs="Times New Roman"/>
              </w:rPr>
            </w:pPr>
            <w:r w:rsidRPr="009F2998">
              <w:rPr>
                <w:rFonts w:ascii="Times New Roman" w:hAnsi="Times New Roman" w:cs="Times New Roman"/>
                <w:noProof/>
                <w:lang w:eastAsia="sk-SK"/>
              </w:rPr>
              <w:drawing>
                <wp:inline distT="0" distB="0" distL="0" distR="0" wp14:anchorId="2208D036" wp14:editId="36EBCB69">
                  <wp:extent cx="2428875" cy="2343150"/>
                  <wp:effectExtent l="0" t="0" r="0" b="0"/>
                  <wp:docPr id="23" name="Graf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4759" w:type="dxa"/>
            <w:tcBorders>
              <w:top w:val="nil"/>
              <w:left w:val="nil"/>
              <w:bottom w:val="nil"/>
              <w:right w:val="nil"/>
            </w:tcBorders>
          </w:tcPr>
          <w:tbl>
            <w:tblPr>
              <w:tblpPr w:leftFromText="141" w:rightFromText="141" w:vertAnchor="text" w:horzAnchor="margin" w:tblpY="527"/>
              <w:tblOverlap w:val="never"/>
              <w:tblW w:w="4503" w:type="dxa"/>
              <w:tblCellMar>
                <w:left w:w="70" w:type="dxa"/>
                <w:right w:w="70" w:type="dxa"/>
              </w:tblCellMar>
              <w:tblLook w:val="04A0" w:firstRow="1" w:lastRow="0" w:firstColumn="1" w:lastColumn="0" w:noHBand="0" w:noVBand="1"/>
            </w:tblPr>
            <w:tblGrid>
              <w:gridCol w:w="257"/>
              <w:gridCol w:w="3486"/>
              <w:gridCol w:w="760"/>
            </w:tblGrid>
            <w:tr w:rsidR="00C34FEF" w:rsidRPr="009F2998" w14:paraId="5936E718" w14:textId="77777777" w:rsidTr="00C34FEF">
              <w:trPr>
                <w:trHeight w:val="419"/>
              </w:trPr>
              <w:tc>
                <w:tcPr>
                  <w:tcW w:w="2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75536" w14:textId="77777777" w:rsidR="00C34FEF" w:rsidRPr="009F2998" w:rsidRDefault="00C34FEF" w:rsidP="00C34FEF">
                  <w:pPr>
                    <w:spacing w:after="0" w:line="240" w:lineRule="auto"/>
                    <w:rPr>
                      <w:rFonts w:ascii="Times New Roman" w:eastAsia="Times New Roman" w:hAnsi="Times New Roman" w:cs="Times New Roman"/>
                      <w:lang w:eastAsia="sk-SK"/>
                    </w:rPr>
                  </w:pPr>
                </w:p>
              </w:tc>
              <w:tc>
                <w:tcPr>
                  <w:tcW w:w="3486" w:type="dxa"/>
                  <w:tcBorders>
                    <w:top w:val="single" w:sz="4" w:space="0" w:color="auto"/>
                    <w:left w:val="nil"/>
                    <w:bottom w:val="single" w:sz="4" w:space="0" w:color="auto"/>
                    <w:right w:val="single" w:sz="4" w:space="0" w:color="auto"/>
                  </w:tcBorders>
                  <w:shd w:val="clear" w:color="auto" w:fill="auto"/>
                  <w:noWrap/>
                  <w:vAlign w:val="bottom"/>
                </w:tcPr>
                <w:p w14:paraId="662CCEC8" w14:textId="77777777" w:rsidR="00C34FEF" w:rsidRPr="009F2998" w:rsidRDefault="00C34FEF" w:rsidP="00C34FEF">
                  <w:pPr>
                    <w:spacing w:after="0" w:line="240" w:lineRule="auto"/>
                    <w:rPr>
                      <w:rFonts w:ascii="Times New Roman" w:eastAsia="Times New Roman" w:hAnsi="Times New Roman" w:cs="Times New Roman"/>
                      <w:color w:val="000000"/>
                      <w:sz w:val="20"/>
                      <w:szCs w:val="20"/>
                      <w:lang w:eastAsia="sk-SK"/>
                    </w:rPr>
                  </w:pPr>
                  <w:r w:rsidRPr="009F2998">
                    <w:rPr>
                      <w:rFonts w:ascii="Times New Roman" w:eastAsia="Times New Roman" w:hAnsi="Times New Roman" w:cs="Times New Roman"/>
                      <w:color w:val="000000"/>
                      <w:sz w:val="20"/>
                      <w:szCs w:val="20"/>
                      <w:lang w:eastAsia="sk-SK"/>
                    </w:rPr>
                    <w:t xml:space="preserve">Spôsob financovania: </w:t>
                  </w:r>
                </w:p>
              </w:tc>
              <w:tc>
                <w:tcPr>
                  <w:tcW w:w="760" w:type="dxa"/>
                  <w:tcBorders>
                    <w:top w:val="single" w:sz="4" w:space="0" w:color="auto"/>
                    <w:left w:val="nil"/>
                    <w:bottom w:val="single" w:sz="4" w:space="0" w:color="auto"/>
                    <w:right w:val="single" w:sz="4" w:space="0" w:color="auto"/>
                  </w:tcBorders>
                  <w:shd w:val="clear" w:color="auto" w:fill="auto"/>
                  <w:noWrap/>
                  <w:vAlign w:val="bottom"/>
                </w:tcPr>
                <w:p w14:paraId="6005CA83" w14:textId="77777777" w:rsidR="00C34FEF" w:rsidRPr="009F2998" w:rsidRDefault="00C34FEF" w:rsidP="00C34FEF">
                  <w:pPr>
                    <w:spacing w:after="0" w:line="240" w:lineRule="auto"/>
                    <w:jc w:val="center"/>
                    <w:rPr>
                      <w:rFonts w:ascii="Times New Roman" w:eastAsia="Times New Roman" w:hAnsi="Times New Roman" w:cs="Times New Roman"/>
                      <w:color w:val="000000"/>
                      <w:sz w:val="20"/>
                      <w:szCs w:val="20"/>
                      <w:lang w:eastAsia="sk-SK"/>
                    </w:rPr>
                  </w:pPr>
                  <w:r w:rsidRPr="009F2998">
                    <w:rPr>
                      <w:rFonts w:ascii="Times New Roman" w:eastAsia="Times New Roman" w:hAnsi="Times New Roman" w:cs="Times New Roman"/>
                      <w:color w:val="000000"/>
                      <w:sz w:val="20"/>
                      <w:szCs w:val="20"/>
                      <w:lang w:eastAsia="sk-SK"/>
                    </w:rPr>
                    <w:t>Úspora [TJ]</w:t>
                  </w:r>
                </w:p>
              </w:tc>
            </w:tr>
            <w:tr w:rsidR="001D160A" w:rsidRPr="009F2998" w14:paraId="1502DE1B" w14:textId="77777777" w:rsidTr="005F7B58">
              <w:trPr>
                <w:trHeight w:val="483"/>
              </w:trPr>
              <w:tc>
                <w:tcPr>
                  <w:tcW w:w="257" w:type="dxa"/>
                  <w:tcBorders>
                    <w:top w:val="single" w:sz="4" w:space="0" w:color="auto"/>
                    <w:left w:val="single" w:sz="4" w:space="0" w:color="auto"/>
                    <w:bottom w:val="single" w:sz="4" w:space="0" w:color="auto"/>
                    <w:right w:val="single" w:sz="4" w:space="0" w:color="auto"/>
                  </w:tcBorders>
                  <w:shd w:val="clear" w:color="000000" w:fill="FF7857"/>
                  <w:noWrap/>
                  <w:vAlign w:val="bottom"/>
                  <w:hideMark/>
                </w:tcPr>
                <w:p w14:paraId="2A4C65F4" w14:textId="77777777" w:rsidR="001D160A" w:rsidRPr="009F2998" w:rsidRDefault="001D160A" w:rsidP="001D160A">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3486" w:type="dxa"/>
                  <w:tcBorders>
                    <w:top w:val="single" w:sz="4" w:space="0" w:color="auto"/>
                    <w:left w:val="nil"/>
                    <w:bottom w:val="single" w:sz="4" w:space="0" w:color="auto"/>
                    <w:right w:val="single" w:sz="4" w:space="0" w:color="auto"/>
                  </w:tcBorders>
                  <w:shd w:val="clear" w:color="auto" w:fill="auto"/>
                  <w:noWrap/>
                  <w:vAlign w:val="bottom"/>
                  <w:hideMark/>
                </w:tcPr>
                <w:p w14:paraId="4FEFFA23" w14:textId="77777777" w:rsidR="001D160A" w:rsidRPr="009F2998" w:rsidRDefault="001D160A" w:rsidP="001D160A">
                  <w:pPr>
                    <w:spacing w:after="0" w:line="240" w:lineRule="auto"/>
                    <w:rPr>
                      <w:rFonts w:ascii="Times New Roman" w:eastAsia="Times New Roman" w:hAnsi="Times New Roman" w:cs="Times New Roman"/>
                      <w:color w:val="000000"/>
                      <w:sz w:val="20"/>
                      <w:szCs w:val="20"/>
                      <w:lang w:eastAsia="sk-SK"/>
                    </w:rPr>
                  </w:pPr>
                  <w:r w:rsidRPr="009F2998">
                    <w:rPr>
                      <w:rFonts w:ascii="Times New Roman" w:eastAsia="Times New Roman" w:hAnsi="Times New Roman" w:cs="Times New Roman"/>
                      <w:color w:val="000000"/>
                      <w:sz w:val="20"/>
                      <w:szCs w:val="20"/>
                      <w:lang w:eastAsia="sk-SK"/>
                    </w:rPr>
                    <w:t>Budovy ŠF EU 2007-2013</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BE8E8" w14:textId="69408C72" w:rsidR="001D160A" w:rsidRPr="001D160A" w:rsidRDefault="001D160A" w:rsidP="008A2E69">
                  <w:pPr>
                    <w:spacing w:after="0" w:line="240" w:lineRule="auto"/>
                    <w:jc w:val="right"/>
                    <w:rPr>
                      <w:rFonts w:ascii="Times New Roman" w:eastAsia="Times New Roman" w:hAnsi="Times New Roman" w:cs="Times New Roman"/>
                      <w:color w:val="000000"/>
                      <w:sz w:val="20"/>
                      <w:szCs w:val="20"/>
                      <w:lang w:eastAsia="sk-SK"/>
                    </w:rPr>
                  </w:pPr>
                  <w:r w:rsidRPr="005F7B58">
                    <w:rPr>
                      <w:rFonts w:ascii="Times New Roman" w:hAnsi="Times New Roman" w:cs="Times New Roman"/>
                      <w:sz w:val="20"/>
                      <w:szCs w:val="20"/>
                    </w:rPr>
                    <w:t>172,63</w:t>
                  </w:r>
                </w:p>
              </w:tc>
            </w:tr>
            <w:tr w:rsidR="001D160A" w:rsidRPr="009F2998" w14:paraId="686EA286" w14:textId="77777777" w:rsidTr="005F7B58">
              <w:trPr>
                <w:trHeight w:val="419"/>
              </w:trPr>
              <w:tc>
                <w:tcPr>
                  <w:tcW w:w="257" w:type="dxa"/>
                  <w:tcBorders>
                    <w:top w:val="nil"/>
                    <w:left w:val="single" w:sz="4" w:space="0" w:color="auto"/>
                    <w:bottom w:val="single" w:sz="4" w:space="0" w:color="auto"/>
                    <w:right w:val="single" w:sz="4" w:space="0" w:color="auto"/>
                  </w:tcBorders>
                  <w:shd w:val="clear" w:color="000000" w:fill="FF9933"/>
                  <w:noWrap/>
                  <w:vAlign w:val="bottom"/>
                  <w:hideMark/>
                </w:tcPr>
                <w:p w14:paraId="2A0F72C6" w14:textId="77777777" w:rsidR="001D160A" w:rsidRPr="009F2998" w:rsidRDefault="001D160A" w:rsidP="001D160A">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3486" w:type="dxa"/>
                  <w:tcBorders>
                    <w:top w:val="nil"/>
                    <w:left w:val="nil"/>
                    <w:bottom w:val="single" w:sz="4" w:space="0" w:color="auto"/>
                    <w:right w:val="single" w:sz="4" w:space="0" w:color="auto"/>
                  </w:tcBorders>
                  <w:shd w:val="clear" w:color="auto" w:fill="auto"/>
                  <w:noWrap/>
                  <w:vAlign w:val="bottom"/>
                  <w:hideMark/>
                </w:tcPr>
                <w:p w14:paraId="2DB2DBEA" w14:textId="77777777" w:rsidR="001D160A" w:rsidRPr="009F2998" w:rsidRDefault="001D160A" w:rsidP="001D160A">
                  <w:pPr>
                    <w:spacing w:after="0" w:line="240" w:lineRule="auto"/>
                    <w:rPr>
                      <w:rFonts w:ascii="Times New Roman" w:eastAsia="Times New Roman" w:hAnsi="Times New Roman" w:cs="Times New Roman"/>
                      <w:color w:val="000000"/>
                      <w:sz w:val="20"/>
                      <w:szCs w:val="20"/>
                      <w:lang w:eastAsia="sk-SK"/>
                    </w:rPr>
                  </w:pPr>
                  <w:r w:rsidRPr="009F2998">
                    <w:rPr>
                      <w:rFonts w:ascii="Times New Roman" w:eastAsia="Times New Roman" w:hAnsi="Times New Roman" w:cs="Times New Roman"/>
                      <w:color w:val="000000"/>
                      <w:sz w:val="20"/>
                      <w:szCs w:val="20"/>
                      <w:lang w:eastAsia="sk-SK"/>
                    </w:rPr>
                    <w:t>Budovy vlastné rozpočtové zdroje</w:t>
                  </w:r>
                </w:p>
              </w:tc>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1AB6C83" w14:textId="6C58EBFF" w:rsidR="001D160A" w:rsidRPr="001D160A" w:rsidRDefault="001D160A" w:rsidP="008A2E69">
                  <w:pPr>
                    <w:spacing w:after="0" w:line="240" w:lineRule="auto"/>
                    <w:jc w:val="right"/>
                    <w:rPr>
                      <w:rFonts w:ascii="Times New Roman" w:eastAsia="Times New Roman" w:hAnsi="Times New Roman" w:cs="Times New Roman"/>
                      <w:color w:val="000000"/>
                      <w:sz w:val="20"/>
                      <w:szCs w:val="20"/>
                      <w:lang w:eastAsia="sk-SK"/>
                    </w:rPr>
                  </w:pPr>
                  <w:r w:rsidRPr="005F7B58">
                    <w:rPr>
                      <w:rFonts w:ascii="Times New Roman" w:hAnsi="Times New Roman" w:cs="Times New Roman"/>
                      <w:sz w:val="20"/>
                      <w:szCs w:val="20"/>
                    </w:rPr>
                    <w:t>67,67</w:t>
                  </w:r>
                </w:p>
              </w:tc>
            </w:tr>
            <w:tr w:rsidR="001D160A" w:rsidRPr="009F2998" w14:paraId="2A00594C" w14:textId="77777777" w:rsidTr="005F7B58">
              <w:trPr>
                <w:trHeight w:val="232"/>
              </w:trPr>
              <w:tc>
                <w:tcPr>
                  <w:tcW w:w="257" w:type="dxa"/>
                  <w:tcBorders>
                    <w:top w:val="nil"/>
                    <w:left w:val="single" w:sz="4" w:space="0" w:color="auto"/>
                    <w:bottom w:val="single" w:sz="4" w:space="0" w:color="auto"/>
                    <w:right w:val="single" w:sz="4" w:space="0" w:color="auto"/>
                  </w:tcBorders>
                  <w:shd w:val="clear" w:color="000000" w:fill="FFCC00"/>
                  <w:noWrap/>
                  <w:vAlign w:val="bottom"/>
                  <w:hideMark/>
                </w:tcPr>
                <w:p w14:paraId="775DCCB6" w14:textId="77777777" w:rsidR="001D160A" w:rsidRPr="009F2998" w:rsidRDefault="001D160A" w:rsidP="001D160A">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3486" w:type="dxa"/>
                  <w:tcBorders>
                    <w:top w:val="nil"/>
                    <w:left w:val="nil"/>
                    <w:bottom w:val="single" w:sz="4" w:space="0" w:color="auto"/>
                    <w:right w:val="single" w:sz="4" w:space="0" w:color="auto"/>
                  </w:tcBorders>
                  <w:shd w:val="clear" w:color="auto" w:fill="auto"/>
                  <w:noWrap/>
                  <w:vAlign w:val="bottom"/>
                  <w:hideMark/>
                </w:tcPr>
                <w:p w14:paraId="648360BE" w14:textId="77777777" w:rsidR="001D160A" w:rsidRPr="009F2998" w:rsidRDefault="001D160A" w:rsidP="001D160A">
                  <w:pPr>
                    <w:spacing w:after="0" w:line="240" w:lineRule="auto"/>
                    <w:rPr>
                      <w:rFonts w:ascii="Times New Roman" w:eastAsia="Times New Roman" w:hAnsi="Times New Roman" w:cs="Times New Roman"/>
                      <w:color w:val="000000"/>
                      <w:sz w:val="20"/>
                      <w:szCs w:val="20"/>
                      <w:lang w:eastAsia="sk-SK"/>
                    </w:rPr>
                  </w:pPr>
                  <w:r w:rsidRPr="009F2998">
                    <w:rPr>
                      <w:rFonts w:ascii="Times New Roman" w:eastAsia="Times New Roman" w:hAnsi="Times New Roman" w:cs="Times New Roman"/>
                      <w:color w:val="000000"/>
                      <w:sz w:val="20"/>
                      <w:szCs w:val="20"/>
                      <w:lang w:eastAsia="sk-SK"/>
                    </w:rPr>
                    <w:t>Budovy národné a medzinárodné programy/fondy</w:t>
                  </w:r>
                </w:p>
              </w:tc>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F235854" w14:textId="2A6275C5" w:rsidR="001D160A" w:rsidRPr="001D160A" w:rsidRDefault="001D160A" w:rsidP="008A2E69">
                  <w:pPr>
                    <w:spacing w:after="0" w:line="240" w:lineRule="auto"/>
                    <w:jc w:val="right"/>
                    <w:rPr>
                      <w:rFonts w:ascii="Times New Roman" w:eastAsia="Times New Roman" w:hAnsi="Times New Roman" w:cs="Times New Roman"/>
                      <w:color w:val="000000"/>
                      <w:sz w:val="20"/>
                      <w:szCs w:val="20"/>
                      <w:lang w:eastAsia="sk-SK"/>
                    </w:rPr>
                  </w:pPr>
                  <w:r w:rsidRPr="005F7B58">
                    <w:rPr>
                      <w:rFonts w:ascii="Times New Roman" w:hAnsi="Times New Roman" w:cs="Times New Roman"/>
                      <w:sz w:val="20"/>
                      <w:szCs w:val="20"/>
                    </w:rPr>
                    <w:t>188,14</w:t>
                  </w:r>
                </w:p>
              </w:tc>
            </w:tr>
            <w:tr w:rsidR="001D160A" w:rsidRPr="009F2998" w14:paraId="213D04D3" w14:textId="77777777" w:rsidTr="005F7B58">
              <w:trPr>
                <w:trHeight w:val="475"/>
              </w:trPr>
              <w:tc>
                <w:tcPr>
                  <w:tcW w:w="257" w:type="dxa"/>
                  <w:tcBorders>
                    <w:top w:val="nil"/>
                    <w:left w:val="single" w:sz="4" w:space="0" w:color="auto"/>
                    <w:bottom w:val="single" w:sz="4" w:space="0" w:color="auto"/>
                    <w:right w:val="single" w:sz="4" w:space="0" w:color="auto"/>
                  </w:tcBorders>
                  <w:shd w:val="clear" w:color="000000" w:fill="92D050"/>
                  <w:noWrap/>
                  <w:vAlign w:val="bottom"/>
                  <w:hideMark/>
                </w:tcPr>
                <w:p w14:paraId="6A6E76B9" w14:textId="77777777" w:rsidR="001D160A" w:rsidRPr="009F2998" w:rsidRDefault="001D160A" w:rsidP="001D160A">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3486" w:type="dxa"/>
                  <w:tcBorders>
                    <w:top w:val="nil"/>
                    <w:left w:val="nil"/>
                    <w:bottom w:val="single" w:sz="4" w:space="0" w:color="auto"/>
                    <w:right w:val="single" w:sz="4" w:space="0" w:color="auto"/>
                  </w:tcBorders>
                  <w:shd w:val="clear" w:color="auto" w:fill="auto"/>
                  <w:noWrap/>
                  <w:vAlign w:val="bottom"/>
                  <w:hideMark/>
                </w:tcPr>
                <w:p w14:paraId="2ACD874D" w14:textId="77777777" w:rsidR="001D160A" w:rsidRPr="009F2998" w:rsidRDefault="001D160A" w:rsidP="001D160A">
                  <w:pPr>
                    <w:spacing w:after="0" w:line="240" w:lineRule="auto"/>
                    <w:rPr>
                      <w:rFonts w:ascii="Times New Roman" w:eastAsia="Times New Roman" w:hAnsi="Times New Roman" w:cs="Times New Roman"/>
                      <w:color w:val="000000"/>
                      <w:sz w:val="20"/>
                      <w:szCs w:val="20"/>
                      <w:lang w:eastAsia="sk-SK"/>
                    </w:rPr>
                  </w:pPr>
                  <w:r w:rsidRPr="009F2998">
                    <w:rPr>
                      <w:rFonts w:ascii="Times New Roman" w:eastAsia="Times New Roman" w:hAnsi="Times New Roman" w:cs="Times New Roman"/>
                      <w:color w:val="000000"/>
                      <w:sz w:val="20"/>
                      <w:szCs w:val="20"/>
                      <w:lang w:eastAsia="sk-SK"/>
                    </w:rPr>
                    <w:t>Modernizácia verejného osvetlenia</w:t>
                  </w:r>
                </w:p>
              </w:tc>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9CC64A0" w14:textId="1E4CE235" w:rsidR="001D160A" w:rsidRPr="001D160A" w:rsidRDefault="001D160A" w:rsidP="008A2E69">
                  <w:pPr>
                    <w:spacing w:after="0" w:line="240" w:lineRule="auto"/>
                    <w:jc w:val="right"/>
                    <w:rPr>
                      <w:rFonts w:ascii="Times New Roman" w:eastAsia="Times New Roman" w:hAnsi="Times New Roman" w:cs="Times New Roman"/>
                      <w:color w:val="000000"/>
                      <w:sz w:val="20"/>
                      <w:szCs w:val="20"/>
                      <w:lang w:eastAsia="sk-SK"/>
                    </w:rPr>
                  </w:pPr>
                  <w:r w:rsidRPr="005F7B58">
                    <w:rPr>
                      <w:rFonts w:ascii="Times New Roman" w:hAnsi="Times New Roman" w:cs="Times New Roman"/>
                      <w:sz w:val="20"/>
                      <w:szCs w:val="20"/>
                    </w:rPr>
                    <w:t>255,46</w:t>
                  </w:r>
                </w:p>
              </w:tc>
            </w:tr>
            <w:tr w:rsidR="001D160A" w:rsidRPr="009F2998" w14:paraId="5C0BC04A" w14:textId="77777777" w:rsidTr="005F7B58">
              <w:trPr>
                <w:trHeight w:val="240"/>
              </w:trPr>
              <w:tc>
                <w:tcPr>
                  <w:tcW w:w="257" w:type="dxa"/>
                  <w:tcBorders>
                    <w:top w:val="nil"/>
                    <w:left w:val="single" w:sz="4" w:space="0" w:color="auto"/>
                    <w:bottom w:val="single" w:sz="4" w:space="0" w:color="auto"/>
                    <w:right w:val="single" w:sz="4" w:space="0" w:color="auto"/>
                  </w:tcBorders>
                  <w:shd w:val="clear" w:color="000000" w:fill="9BE5FF"/>
                  <w:noWrap/>
                  <w:vAlign w:val="bottom"/>
                  <w:hideMark/>
                </w:tcPr>
                <w:p w14:paraId="3CEEDD0F" w14:textId="77777777" w:rsidR="001D160A" w:rsidRPr="009F2998" w:rsidRDefault="001D160A" w:rsidP="001D160A">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3486" w:type="dxa"/>
                  <w:tcBorders>
                    <w:top w:val="nil"/>
                    <w:left w:val="nil"/>
                    <w:bottom w:val="single" w:sz="4" w:space="0" w:color="auto"/>
                    <w:right w:val="single" w:sz="4" w:space="0" w:color="auto"/>
                  </w:tcBorders>
                  <w:shd w:val="clear" w:color="auto" w:fill="auto"/>
                  <w:noWrap/>
                  <w:vAlign w:val="bottom"/>
                  <w:hideMark/>
                </w:tcPr>
                <w:p w14:paraId="32A34A16" w14:textId="77777777" w:rsidR="001D160A" w:rsidRPr="009F2998" w:rsidRDefault="001D160A" w:rsidP="001D160A">
                  <w:pPr>
                    <w:spacing w:after="0" w:line="240" w:lineRule="auto"/>
                    <w:rPr>
                      <w:rFonts w:ascii="Times New Roman" w:eastAsia="Times New Roman" w:hAnsi="Times New Roman" w:cs="Times New Roman"/>
                      <w:color w:val="000000"/>
                      <w:sz w:val="20"/>
                      <w:szCs w:val="20"/>
                      <w:lang w:eastAsia="sk-SK"/>
                    </w:rPr>
                  </w:pPr>
                  <w:r w:rsidRPr="009F2998">
                    <w:rPr>
                      <w:rFonts w:ascii="Times New Roman" w:eastAsia="Times New Roman" w:hAnsi="Times New Roman" w:cs="Times New Roman"/>
                      <w:color w:val="000000"/>
                      <w:sz w:val="20"/>
                      <w:szCs w:val="20"/>
                      <w:lang w:eastAsia="sk-SK"/>
                    </w:rPr>
                    <w:t>Technické zariadenia budov - Energetické služby</w:t>
                  </w:r>
                </w:p>
              </w:tc>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D5E0C54" w14:textId="068EC45A" w:rsidR="001D160A" w:rsidRPr="001D160A" w:rsidRDefault="001D160A" w:rsidP="008A2E69">
                  <w:pPr>
                    <w:spacing w:after="0" w:line="240" w:lineRule="auto"/>
                    <w:jc w:val="right"/>
                    <w:rPr>
                      <w:rFonts w:ascii="Times New Roman" w:eastAsia="Times New Roman" w:hAnsi="Times New Roman" w:cs="Times New Roman"/>
                      <w:color w:val="000000"/>
                      <w:sz w:val="20"/>
                      <w:szCs w:val="20"/>
                      <w:lang w:eastAsia="sk-SK"/>
                    </w:rPr>
                  </w:pPr>
                  <w:r w:rsidRPr="005F7B58">
                    <w:rPr>
                      <w:rFonts w:ascii="Times New Roman" w:hAnsi="Times New Roman" w:cs="Times New Roman"/>
                      <w:sz w:val="20"/>
                      <w:szCs w:val="20"/>
                    </w:rPr>
                    <w:t>111,84</w:t>
                  </w:r>
                </w:p>
              </w:tc>
            </w:tr>
            <w:tr w:rsidR="001D160A" w:rsidRPr="009F2998" w14:paraId="1AE74F96" w14:textId="77777777" w:rsidTr="005F7B58">
              <w:trPr>
                <w:trHeight w:val="244"/>
              </w:trPr>
              <w:tc>
                <w:tcPr>
                  <w:tcW w:w="257" w:type="dxa"/>
                  <w:tcBorders>
                    <w:top w:val="nil"/>
                    <w:left w:val="nil"/>
                    <w:bottom w:val="nil"/>
                    <w:right w:val="nil"/>
                  </w:tcBorders>
                  <w:shd w:val="clear" w:color="auto" w:fill="auto"/>
                  <w:noWrap/>
                  <w:vAlign w:val="bottom"/>
                  <w:hideMark/>
                </w:tcPr>
                <w:p w14:paraId="49DCC58D" w14:textId="77777777" w:rsidR="001D160A" w:rsidRPr="009F2998" w:rsidRDefault="001D160A" w:rsidP="001D160A">
                  <w:pPr>
                    <w:spacing w:after="0" w:line="240" w:lineRule="auto"/>
                    <w:jc w:val="right"/>
                    <w:rPr>
                      <w:rFonts w:ascii="Times New Roman" w:eastAsia="Times New Roman" w:hAnsi="Times New Roman" w:cs="Times New Roman"/>
                      <w:color w:val="000000"/>
                      <w:sz w:val="18"/>
                      <w:szCs w:val="18"/>
                      <w:lang w:eastAsia="sk-SK"/>
                    </w:rPr>
                  </w:pPr>
                </w:p>
              </w:tc>
              <w:tc>
                <w:tcPr>
                  <w:tcW w:w="3486" w:type="dxa"/>
                  <w:tcBorders>
                    <w:top w:val="nil"/>
                    <w:left w:val="single" w:sz="4" w:space="0" w:color="auto"/>
                    <w:bottom w:val="single" w:sz="4" w:space="0" w:color="auto"/>
                    <w:right w:val="single" w:sz="4" w:space="0" w:color="auto"/>
                  </w:tcBorders>
                  <w:shd w:val="clear" w:color="auto" w:fill="auto"/>
                  <w:noWrap/>
                  <w:vAlign w:val="bottom"/>
                  <w:hideMark/>
                </w:tcPr>
                <w:p w14:paraId="359396ED" w14:textId="77777777" w:rsidR="001D160A" w:rsidRPr="009F2998" w:rsidRDefault="001D160A" w:rsidP="001D160A">
                  <w:pPr>
                    <w:spacing w:after="0" w:line="240" w:lineRule="auto"/>
                    <w:rPr>
                      <w:rFonts w:ascii="Times New Roman" w:eastAsia="Times New Roman" w:hAnsi="Times New Roman" w:cs="Times New Roman"/>
                      <w:b/>
                      <w:color w:val="000000"/>
                      <w:sz w:val="20"/>
                      <w:szCs w:val="20"/>
                      <w:lang w:eastAsia="sk-SK"/>
                    </w:rPr>
                  </w:pPr>
                  <w:r w:rsidRPr="009F2998">
                    <w:rPr>
                      <w:rFonts w:ascii="Times New Roman" w:eastAsia="Times New Roman" w:hAnsi="Times New Roman" w:cs="Times New Roman"/>
                      <w:b/>
                      <w:color w:val="000000"/>
                      <w:sz w:val="20"/>
                      <w:szCs w:val="20"/>
                      <w:lang w:eastAsia="sk-SK"/>
                    </w:rPr>
                    <w:t>Spolu:</w:t>
                  </w:r>
                </w:p>
              </w:tc>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A11E0BB" w14:textId="2E0F73E8" w:rsidR="001D160A" w:rsidRPr="001D160A" w:rsidRDefault="001D160A" w:rsidP="008A2E69">
                  <w:pPr>
                    <w:spacing w:after="0" w:line="240" w:lineRule="auto"/>
                    <w:jc w:val="right"/>
                    <w:rPr>
                      <w:rFonts w:ascii="Times New Roman" w:eastAsia="Times New Roman" w:hAnsi="Times New Roman" w:cs="Times New Roman"/>
                      <w:b/>
                      <w:color w:val="000000"/>
                      <w:sz w:val="20"/>
                      <w:szCs w:val="20"/>
                      <w:lang w:eastAsia="sk-SK"/>
                    </w:rPr>
                  </w:pPr>
                  <w:r w:rsidRPr="005F7B58">
                    <w:rPr>
                      <w:rFonts w:ascii="Times New Roman" w:hAnsi="Times New Roman" w:cs="Times New Roman"/>
                      <w:b/>
                      <w:sz w:val="20"/>
                      <w:szCs w:val="20"/>
                    </w:rPr>
                    <w:t>795,73</w:t>
                  </w:r>
                </w:p>
              </w:tc>
            </w:tr>
          </w:tbl>
          <w:p w14:paraId="45BBC256" w14:textId="77777777" w:rsidR="00FE5933" w:rsidRPr="009F2998" w:rsidRDefault="00FE5933" w:rsidP="002F3068">
            <w:pPr>
              <w:jc w:val="center"/>
              <w:rPr>
                <w:rFonts w:ascii="Times New Roman" w:hAnsi="Times New Roman" w:cs="Times New Roman"/>
              </w:rPr>
            </w:pPr>
          </w:p>
        </w:tc>
      </w:tr>
    </w:tbl>
    <w:p w14:paraId="106996B8" w14:textId="77777777" w:rsidR="00B64D7F" w:rsidRPr="009F2998" w:rsidRDefault="00B64D7F" w:rsidP="00B64D7F">
      <w:pPr>
        <w:jc w:val="both"/>
        <w:rPr>
          <w:rFonts w:ascii="Times New Roman" w:hAnsi="Times New Roman" w:cs="Times New Roman"/>
        </w:rPr>
      </w:pPr>
    </w:p>
    <w:p w14:paraId="6B7BCF96" w14:textId="30B18CF7" w:rsidR="006E2BE9" w:rsidRPr="000745A8" w:rsidRDefault="000B15D7" w:rsidP="000E2AED">
      <w:pPr>
        <w:jc w:val="both"/>
        <w:rPr>
          <w:rFonts w:ascii="Times New Roman" w:hAnsi="Times New Roman" w:cs="Times New Roman"/>
          <w:sz w:val="24"/>
          <w:szCs w:val="24"/>
        </w:rPr>
      </w:pPr>
      <w:r w:rsidRPr="000745A8">
        <w:rPr>
          <w:rFonts w:ascii="Times New Roman" w:hAnsi="Times New Roman" w:cs="Times New Roman"/>
          <w:sz w:val="24"/>
          <w:szCs w:val="24"/>
        </w:rPr>
        <w:lastRenderedPageBreak/>
        <w:t xml:space="preserve">Väčšina projektov na zlepšovanie tepelnotechnických vlastností verejných budov, financovaných zo </w:t>
      </w:r>
      <w:r w:rsidR="00E77F75" w:rsidRPr="000745A8">
        <w:rPr>
          <w:rFonts w:ascii="Times New Roman" w:hAnsi="Times New Roman" w:cs="Times New Roman"/>
          <w:sz w:val="24"/>
          <w:szCs w:val="24"/>
        </w:rPr>
        <w:t xml:space="preserve">štrukturálnych fondov EÚ </w:t>
      </w:r>
      <w:r w:rsidRPr="000745A8">
        <w:rPr>
          <w:rFonts w:ascii="Times New Roman" w:hAnsi="Times New Roman" w:cs="Times New Roman"/>
          <w:sz w:val="24"/>
          <w:szCs w:val="24"/>
        </w:rPr>
        <w:t xml:space="preserve">programového obdobia 2007 – 2013 bola realizovaná do konca roku 2013. V rokoch 2014 – 2015 pokračovalo dočerpanie týchto </w:t>
      </w:r>
      <w:r w:rsidR="00EE49FB" w:rsidRPr="000745A8">
        <w:rPr>
          <w:rFonts w:ascii="Times New Roman" w:hAnsi="Times New Roman" w:cs="Times New Roman"/>
          <w:sz w:val="24"/>
          <w:szCs w:val="24"/>
        </w:rPr>
        <w:t xml:space="preserve">finančných </w:t>
      </w:r>
      <w:r w:rsidRPr="000745A8">
        <w:rPr>
          <w:rFonts w:ascii="Times New Roman" w:hAnsi="Times New Roman" w:cs="Times New Roman"/>
          <w:sz w:val="24"/>
          <w:szCs w:val="24"/>
        </w:rPr>
        <w:t>prostriedkov</w:t>
      </w:r>
      <w:r w:rsidR="00C95F16" w:rsidRPr="000745A8">
        <w:rPr>
          <w:rFonts w:ascii="Times New Roman" w:hAnsi="Times New Roman" w:cs="Times New Roman"/>
          <w:sz w:val="24"/>
          <w:szCs w:val="24"/>
        </w:rPr>
        <w:t xml:space="preserve">, čím sa dosiahla úspora energie vo výške asi 180 TJ, z toho zhruba 75% až v roku 2015. </w:t>
      </w:r>
    </w:p>
    <w:p w14:paraId="350D4D84" w14:textId="2679A292" w:rsidR="00B64D7F" w:rsidRPr="000745A8" w:rsidRDefault="000B15D7" w:rsidP="000E2AED">
      <w:pPr>
        <w:jc w:val="both"/>
        <w:rPr>
          <w:rFonts w:ascii="Times New Roman" w:hAnsi="Times New Roman" w:cs="Times New Roman"/>
          <w:sz w:val="24"/>
          <w:szCs w:val="24"/>
        </w:rPr>
      </w:pPr>
      <w:r w:rsidRPr="000745A8">
        <w:rPr>
          <w:rFonts w:ascii="Times New Roman" w:hAnsi="Times New Roman" w:cs="Times New Roman"/>
          <w:sz w:val="24"/>
          <w:szCs w:val="24"/>
        </w:rPr>
        <w:t xml:space="preserve">Nové programové obdobie využívania </w:t>
      </w:r>
      <w:r w:rsidR="004A579A" w:rsidRPr="000745A8">
        <w:rPr>
          <w:rFonts w:ascii="Times New Roman" w:hAnsi="Times New Roman" w:cs="Times New Roman"/>
          <w:sz w:val="24"/>
          <w:szCs w:val="24"/>
        </w:rPr>
        <w:t xml:space="preserve">EŠIF </w:t>
      </w:r>
      <w:r w:rsidRPr="000745A8">
        <w:rPr>
          <w:rFonts w:ascii="Times New Roman" w:hAnsi="Times New Roman" w:cs="Times New Roman"/>
          <w:sz w:val="24"/>
          <w:szCs w:val="24"/>
        </w:rPr>
        <w:t>na základe Partnerskej dohody</w:t>
      </w:r>
      <w:r w:rsidRPr="000745A8">
        <w:rPr>
          <w:rStyle w:val="Odkaznapoznmkupodiarou"/>
          <w:rFonts w:ascii="Times New Roman" w:hAnsi="Times New Roman" w:cs="Times New Roman"/>
          <w:sz w:val="24"/>
          <w:szCs w:val="24"/>
        </w:rPr>
        <w:footnoteReference w:id="22"/>
      </w:r>
      <w:r w:rsidRPr="000745A8">
        <w:rPr>
          <w:rFonts w:ascii="Times New Roman" w:hAnsi="Times New Roman" w:cs="Times New Roman"/>
          <w:sz w:val="24"/>
          <w:szCs w:val="24"/>
        </w:rPr>
        <w:t xml:space="preserve">  </w:t>
      </w:r>
      <w:r w:rsidR="00D56045" w:rsidRPr="000745A8">
        <w:rPr>
          <w:rFonts w:ascii="Times New Roman" w:hAnsi="Times New Roman" w:cs="Times New Roman"/>
          <w:sz w:val="24"/>
          <w:szCs w:val="24"/>
        </w:rPr>
        <w:t xml:space="preserve">v roku 2014 neprispelo k financovaniu projektov energetickej efektívnosti a to z dôvodu, že jednotlivé operačné programy boli postupne schvaľované až v poslednom štvrťroku 2014.  </w:t>
      </w:r>
      <w:r w:rsidR="00EE49FB" w:rsidRPr="000745A8">
        <w:rPr>
          <w:rFonts w:ascii="Times New Roman" w:hAnsi="Times New Roman" w:cs="Times New Roman"/>
          <w:sz w:val="24"/>
          <w:szCs w:val="24"/>
        </w:rPr>
        <w:t>V roku 2015 boli pripravované a schvaľované postupy využívania EŠIF a až koncom roku 2015</w:t>
      </w:r>
      <w:r w:rsidR="00B117FC" w:rsidRPr="000745A8">
        <w:rPr>
          <w:rStyle w:val="Odkaznapoznmkupodiarou"/>
          <w:rFonts w:ascii="Times New Roman" w:hAnsi="Times New Roman" w:cs="Times New Roman"/>
          <w:sz w:val="24"/>
          <w:szCs w:val="24"/>
        </w:rPr>
        <w:footnoteReference w:id="23"/>
      </w:r>
      <w:r w:rsidR="00EE49FB" w:rsidRPr="000745A8">
        <w:rPr>
          <w:rFonts w:ascii="Times New Roman" w:hAnsi="Times New Roman" w:cs="Times New Roman"/>
          <w:sz w:val="24"/>
          <w:szCs w:val="24"/>
        </w:rPr>
        <w:t xml:space="preserve"> boli vyhlásené prvé výzvy na podávanie projektov</w:t>
      </w:r>
      <w:r w:rsidR="00B117FC" w:rsidRPr="000745A8">
        <w:rPr>
          <w:rFonts w:ascii="Times New Roman" w:hAnsi="Times New Roman" w:cs="Times New Roman"/>
          <w:sz w:val="24"/>
          <w:szCs w:val="24"/>
        </w:rPr>
        <w:t xml:space="preserve"> s možnosťou zlepšovania tepelnotechnických vlastností verejných budov, ale vzhľadom na proces hodnotenia a dĺžku realizácie projektov je možné očakávať </w:t>
      </w:r>
      <w:r w:rsidR="00C95F16" w:rsidRPr="000745A8">
        <w:rPr>
          <w:rFonts w:ascii="Times New Roman" w:hAnsi="Times New Roman" w:cs="Times New Roman"/>
          <w:sz w:val="24"/>
          <w:szCs w:val="24"/>
        </w:rPr>
        <w:t xml:space="preserve">významnú </w:t>
      </w:r>
      <w:r w:rsidR="00B117FC" w:rsidRPr="000745A8">
        <w:rPr>
          <w:rFonts w:ascii="Times New Roman" w:hAnsi="Times New Roman" w:cs="Times New Roman"/>
          <w:sz w:val="24"/>
          <w:szCs w:val="24"/>
        </w:rPr>
        <w:t>úsporu energie najskôr v roku 2017.</w:t>
      </w:r>
    </w:p>
    <w:p w14:paraId="19C6EF2B" w14:textId="235E866B" w:rsidR="006E2BE9" w:rsidRPr="000745A8" w:rsidRDefault="00F5709B" w:rsidP="000E2AED">
      <w:pPr>
        <w:rPr>
          <w:rFonts w:ascii="Times New Roman" w:hAnsi="Times New Roman" w:cs="Times New Roman"/>
          <w:sz w:val="24"/>
          <w:szCs w:val="24"/>
        </w:rPr>
      </w:pPr>
      <w:r w:rsidRPr="000745A8">
        <w:rPr>
          <w:rFonts w:ascii="Times New Roman" w:hAnsi="Times New Roman" w:cs="Times New Roman"/>
          <w:sz w:val="24"/>
          <w:szCs w:val="24"/>
        </w:rPr>
        <w:t xml:space="preserve">Využitím vlastných </w:t>
      </w:r>
      <w:r w:rsidR="00C95F16" w:rsidRPr="000745A8">
        <w:rPr>
          <w:rFonts w:ascii="Times New Roman" w:hAnsi="Times New Roman" w:cs="Times New Roman"/>
          <w:sz w:val="24"/>
          <w:szCs w:val="24"/>
        </w:rPr>
        <w:t>rozpočtov</w:t>
      </w:r>
      <w:r w:rsidRPr="000745A8">
        <w:rPr>
          <w:rFonts w:ascii="Times New Roman" w:hAnsi="Times New Roman" w:cs="Times New Roman"/>
          <w:sz w:val="24"/>
          <w:szCs w:val="24"/>
        </w:rPr>
        <w:t xml:space="preserve">ých </w:t>
      </w:r>
      <w:r w:rsidR="00C95F16" w:rsidRPr="000745A8">
        <w:rPr>
          <w:rFonts w:ascii="Times New Roman" w:hAnsi="Times New Roman" w:cs="Times New Roman"/>
          <w:sz w:val="24"/>
          <w:szCs w:val="24"/>
        </w:rPr>
        <w:t>zdroj</w:t>
      </w:r>
      <w:r w:rsidRPr="000745A8">
        <w:rPr>
          <w:rFonts w:ascii="Times New Roman" w:hAnsi="Times New Roman" w:cs="Times New Roman"/>
          <w:sz w:val="24"/>
          <w:szCs w:val="24"/>
        </w:rPr>
        <w:t>ov</w:t>
      </w:r>
      <w:r w:rsidR="00C95F16" w:rsidRPr="000745A8">
        <w:rPr>
          <w:rFonts w:ascii="Times New Roman" w:hAnsi="Times New Roman" w:cs="Times New Roman"/>
          <w:sz w:val="24"/>
          <w:szCs w:val="24"/>
        </w:rPr>
        <w:t xml:space="preserve"> orgánov štátnej správy a miestnej samosprávy sa </w:t>
      </w:r>
      <w:r w:rsidRPr="000745A8">
        <w:rPr>
          <w:rFonts w:ascii="Times New Roman" w:hAnsi="Times New Roman" w:cs="Times New Roman"/>
          <w:sz w:val="24"/>
          <w:szCs w:val="24"/>
        </w:rPr>
        <w:t xml:space="preserve"> vykonali opatrenia na zlepšenie tepelnotechnických vlastností verejných budov v rozsahu menšom ako 10% celkovej dosiahnutej úspory energie. </w:t>
      </w:r>
    </w:p>
    <w:p w14:paraId="6FC81377" w14:textId="63752B90" w:rsidR="00866F5F" w:rsidRPr="000745A8" w:rsidRDefault="00866F5F" w:rsidP="000E2AED">
      <w:pPr>
        <w:jc w:val="both"/>
        <w:rPr>
          <w:rFonts w:ascii="Times New Roman" w:hAnsi="Times New Roman" w:cs="Times New Roman"/>
          <w:sz w:val="24"/>
          <w:szCs w:val="24"/>
        </w:rPr>
      </w:pPr>
      <w:r w:rsidRPr="000745A8">
        <w:rPr>
          <w:rFonts w:ascii="Times New Roman" w:hAnsi="Times New Roman" w:cs="Times New Roman"/>
          <w:sz w:val="24"/>
          <w:szCs w:val="24"/>
        </w:rPr>
        <w:t>Na dosahovaných úsporách energie sa významne podieľali (okolo 20%) projekty podporené  z národných a medzinárodných programov a fondov ako napr. E</w:t>
      </w:r>
      <w:r w:rsidR="00CA49D6">
        <w:rPr>
          <w:rFonts w:ascii="Times New Roman" w:hAnsi="Times New Roman" w:cs="Times New Roman"/>
          <w:sz w:val="24"/>
          <w:szCs w:val="24"/>
        </w:rPr>
        <w:t>nvironmentálny fond</w:t>
      </w:r>
      <w:r w:rsidRPr="000745A8">
        <w:rPr>
          <w:rFonts w:ascii="Times New Roman" w:hAnsi="Times New Roman" w:cs="Times New Roman"/>
          <w:sz w:val="24"/>
          <w:szCs w:val="24"/>
        </w:rPr>
        <w:t>, E</w:t>
      </w:r>
      <w:r w:rsidR="00CA49D6">
        <w:rPr>
          <w:rFonts w:ascii="Times New Roman" w:hAnsi="Times New Roman" w:cs="Times New Roman"/>
          <w:sz w:val="24"/>
          <w:szCs w:val="24"/>
        </w:rPr>
        <w:t>kofond</w:t>
      </w:r>
      <w:r w:rsidRPr="000745A8">
        <w:rPr>
          <w:rFonts w:ascii="Times New Roman" w:hAnsi="Times New Roman" w:cs="Times New Roman"/>
          <w:sz w:val="24"/>
          <w:szCs w:val="24"/>
        </w:rPr>
        <w:t xml:space="preserve"> a M</w:t>
      </w:r>
      <w:r w:rsidR="00CA49D6">
        <w:rPr>
          <w:rFonts w:ascii="Times New Roman" w:hAnsi="Times New Roman" w:cs="Times New Roman"/>
          <w:sz w:val="24"/>
          <w:szCs w:val="24"/>
        </w:rPr>
        <w:t>unseff</w:t>
      </w:r>
      <w:r w:rsidRPr="000745A8">
        <w:rPr>
          <w:rFonts w:ascii="Times New Roman" w:hAnsi="Times New Roman" w:cs="Times New Roman"/>
          <w:sz w:val="24"/>
          <w:szCs w:val="24"/>
        </w:rPr>
        <w:t>.</w:t>
      </w:r>
    </w:p>
    <w:p w14:paraId="2099C53E" w14:textId="7E4E60C0" w:rsidR="00866F5F" w:rsidRPr="000745A8" w:rsidRDefault="00866F5F" w:rsidP="000E2AED">
      <w:pPr>
        <w:jc w:val="both"/>
        <w:rPr>
          <w:rFonts w:ascii="Times New Roman" w:hAnsi="Times New Roman" w:cs="Times New Roman"/>
          <w:sz w:val="24"/>
          <w:szCs w:val="24"/>
        </w:rPr>
      </w:pPr>
      <w:r w:rsidRPr="000745A8">
        <w:rPr>
          <w:rFonts w:ascii="Times New Roman" w:hAnsi="Times New Roman" w:cs="Times New Roman"/>
          <w:sz w:val="24"/>
          <w:szCs w:val="24"/>
        </w:rPr>
        <w:t xml:space="preserve">Prerozdelením finančných prostriedkov v OP KaHR bolo dodatočne poskytnutých </w:t>
      </w:r>
      <w:r w:rsidR="00EC2CAA" w:rsidRPr="000745A8">
        <w:rPr>
          <w:rFonts w:ascii="Times New Roman" w:hAnsi="Times New Roman" w:cs="Times New Roman"/>
          <w:sz w:val="24"/>
          <w:szCs w:val="24"/>
        </w:rPr>
        <w:t xml:space="preserve">viac ako </w:t>
      </w:r>
      <w:r w:rsidR="00EC2CAA" w:rsidRPr="007577DE">
        <w:rPr>
          <w:rFonts w:ascii="Times New Roman" w:hAnsi="Times New Roman" w:cs="Times New Roman"/>
          <w:sz w:val="24"/>
          <w:szCs w:val="24"/>
        </w:rPr>
        <w:t>57</w:t>
      </w:r>
      <w:r w:rsidRPr="007577DE">
        <w:rPr>
          <w:rFonts w:ascii="Times New Roman" w:hAnsi="Times New Roman" w:cs="Times New Roman"/>
          <w:sz w:val="24"/>
          <w:szCs w:val="24"/>
        </w:rPr>
        <w:t xml:space="preserve"> mil. </w:t>
      </w:r>
      <w:r w:rsidR="000C2919">
        <w:rPr>
          <w:rFonts w:ascii="Times New Roman" w:hAnsi="Times New Roman" w:cs="Times New Roman"/>
          <w:sz w:val="24"/>
          <w:szCs w:val="24"/>
        </w:rPr>
        <w:t>Eur</w:t>
      </w:r>
      <w:r w:rsidRPr="000745A8">
        <w:rPr>
          <w:rFonts w:ascii="Times New Roman" w:hAnsi="Times New Roman" w:cs="Times New Roman"/>
          <w:sz w:val="24"/>
          <w:szCs w:val="24"/>
        </w:rPr>
        <w:t xml:space="preserve"> </w:t>
      </w:r>
      <w:r w:rsidR="00EA574B" w:rsidRPr="000745A8">
        <w:rPr>
          <w:rFonts w:ascii="Times New Roman" w:hAnsi="Times New Roman" w:cs="Times New Roman"/>
          <w:sz w:val="24"/>
          <w:szCs w:val="24"/>
        </w:rPr>
        <w:t xml:space="preserve">na </w:t>
      </w:r>
      <w:r w:rsidRPr="000745A8">
        <w:rPr>
          <w:rFonts w:ascii="Times New Roman" w:hAnsi="Times New Roman" w:cs="Times New Roman"/>
          <w:sz w:val="24"/>
          <w:szCs w:val="24"/>
        </w:rPr>
        <w:t>modern</w:t>
      </w:r>
      <w:r w:rsidR="00EA574B" w:rsidRPr="000745A8">
        <w:rPr>
          <w:rFonts w:ascii="Times New Roman" w:hAnsi="Times New Roman" w:cs="Times New Roman"/>
          <w:sz w:val="24"/>
          <w:szCs w:val="24"/>
        </w:rPr>
        <w:t>izáciu</w:t>
      </w:r>
      <w:r w:rsidRPr="000745A8">
        <w:rPr>
          <w:rFonts w:ascii="Times New Roman" w:hAnsi="Times New Roman" w:cs="Times New Roman"/>
          <w:sz w:val="24"/>
          <w:szCs w:val="24"/>
        </w:rPr>
        <w:t xml:space="preserve"> verejného osvetlenia</w:t>
      </w:r>
      <w:r w:rsidR="00EA574B" w:rsidRPr="000745A8">
        <w:rPr>
          <w:rFonts w:ascii="Times New Roman" w:hAnsi="Times New Roman" w:cs="Times New Roman"/>
          <w:sz w:val="24"/>
          <w:szCs w:val="24"/>
        </w:rPr>
        <w:t xml:space="preserve">. </w:t>
      </w:r>
      <w:r w:rsidR="00EA574B" w:rsidRPr="007577DE">
        <w:rPr>
          <w:rFonts w:ascii="Times New Roman" w:hAnsi="Times New Roman" w:cs="Times New Roman"/>
          <w:sz w:val="24"/>
          <w:szCs w:val="24"/>
        </w:rPr>
        <w:t>Modernizáciou verejného osvetlenia</w:t>
      </w:r>
      <w:r w:rsidR="00EA574B" w:rsidRPr="000745A8">
        <w:rPr>
          <w:rFonts w:ascii="Times New Roman" w:hAnsi="Times New Roman" w:cs="Times New Roman"/>
          <w:sz w:val="24"/>
          <w:szCs w:val="24"/>
        </w:rPr>
        <w:t xml:space="preserve"> sa v rokoch 2014 -  2016 dosiahli úspory vo výške zhruba </w:t>
      </w:r>
      <w:r w:rsidR="006D50E3" w:rsidRPr="007577DE">
        <w:rPr>
          <w:rFonts w:ascii="Times New Roman" w:hAnsi="Times New Roman" w:cs="Times New Roman"/>
          <w:sz w:val="24"/>
          <w:szCs w:val="24"/>
        </w:rPr>
        <w:t>255</w:t>
      </w:r>
      <w:r w:rsidR="00EA574B" w:rsidRPr="007577DE">
        <w:rPr>
          <w:rFonts w:ascii="Times New Roman" w:hAnsi="Times New Roman" w:cs="Times New Roman"/>
          <w:sz w:val="24"/>
          <w:szCs w:val="24"/>
        </w:rPr>
        <w:t xml:space="preserve"> TJ</w:t>
      </w:r>
      <w:r w:rsidR="00EA574B" w:rsidRPr="000745A8">
        <w:rPr>
          <w:rFonts w:ascii="Times New Roman" w:hAnsi="Times New Roman" w:cs="Times New Roman"/>
          <w:sz w:val="24"/>
          <w:szCs w:val="24"/>
        </w:rPr>
        <w:t xml:space="preserve">, čo predstavuje jeden z najvýznamnejších príspevkov </w:t>
      </w:r>
      <w:r w:rsidR="00CD7212" w:rsidRPr="000745A8">
        <w:rPr>
          <w:rFonts w:ascii="Times New Roman" w:hAnsi="Times New Roman" w:cs="Times New Roman"/>
          <w:sz w:val="24"/>
          <w:szCs w:val="24"/>
        </w:rPr>
        <w:t>k dosiahnutým úsporám energie vo verejnom sektore.</w:t>
      </w:r>
    </w:p>
    <w:p w14:paraId="3A8F543B" w14:textId="1E46675B" w:rsidR="00183883" w:rsidRPr="000745A8" w:rsidRDefault="00183883" w:rsidP="000E2AED">
      <w:pPr>
        <w:jc w:val="both"/>
        <w:rPr>
          <w:rFonts w:ascii="Times New Roman" w:hAnsi="Times New Roman" w:cs="Times New Roman"/>
          <w:sz w:val="24"/>
          <w:szCs w:val="24"/>
        </w:rPr>
      </w:pPr>
      <w:r w:rsidRPr="000745A8">
        <w:rPr>
          <w:rFonts w:ascii="Times New Roman" w:hAnsi="Times New Roman" w:cs="Times New Roman"/>
          <w:sz w:val="24"/>
          <w:szCs w:val="24"/>
        </w:rPr>
        <w:t>Nadobudnutím účinnosti zákona č. 321/2014 Z. z. o energetickej efektívnosti sa vytvorili predpoklady pre aplikáciu energetických služieb aj vo verejnom sektore. Energetické služby boli využívané najmä na úspory energie na technických zariadeniach budov</w:t>
      </w:r>
      <w:r w:rsidR="004A579A" w:rsidRPr="000745A8">
        <w:rPr>
          <w:rFonts w:ascii="Times New Roman" w:hAnsi="Times New Roman" w:cs="Times New Roman"/>
          <w:sz w:val="24"/>
          <w:szCs w:val="24"/>
        </w:rPr>
        <w:t>.</w:t>
      </w:r>
      <w:r w:rsidRPr="000745A8">
        <w:rPr>
          <w:rFonts w:ascii="Times New Roman" w:hAnsi="Times New Roman" w:cs="Times New Roman"/>
          <w:sz w:val="24"/>
          <w:szCs w:val="24"/>
        </w:rPr>
        <w:t xml:space="preserve"> </w:t>
      </w:r>
      <w:r w:rsidR="004A579A" w:rsidRPr="000745A8">
        <w:rPr>
          <w:rFonts w:ascii="Times New Roman" w:hAnsi="Times New Roman" w:cs="Times New Roman"/>
          <w:sz w:val="24"/>
          <w:szCs w:val="24"/>
        </w:rPr>
        <w:t>Ú</w:t>
      </w:r>
      <w:r w:rsidRPr="000745A8">
        <w:rPr>
          <w:rFonts w:ascii="Times New Roman" w:hAnsi="Times New Roman" w:cs="Times New Roman"/>
          <w:sz w:val="24"/>
          <w:szCs w:val="24"/>
        </w:rPr>
        <w:t xml:space="preserve">spory dosiahnuté takýmto spôsobom predstavujú viac ako 10% úspor energie vo verejnom sektore. </w:t>
      </w:r>
    </w:p>
    <w:p w14:paraId="5CEE7AD7" w14:textId="22DA28DC" w:rsidR="00183883" w:rsidRPr="000745A8" w:rsidRDefault="00183883" w:rsidP="000E2AED">
      <w:pPr>
        <w:jc w:val="both"/>
        <w:rPr>
          <w:rFonts w:ascii="Times New Roman" w:hAnsi="Times New Roman" w:cs="Times New Roman"/>
          <w:sz w:val="24"/>
          <w:szCs w:val="24"/>
        </w:rPr>
      </w:pPr>
      <w:r w:rsidRPr="000745A8">
        <w:rPr>
          <w:rFonts w:ascii="Times New Roman" w:hAnsi="Times New Roman" w:cs="Times New Roman"/>
          <w:sz w:val="24"/>
          <w:szCs w:val="24"/>
        </w:rPr>
        <w:t xml:space="preserve">Aplikácia legislatívnych opatrení </w:t>
      </w:r>
      <w:r w:rsidR="00BF12F6" w:rsidRPr="00BF12F6">
        <w:rPr>
          <w:rFonts w:ascii="Times New Roman" w:hAnsi="Times New Roman" w:cs="Times New Roman"/>
          <w:sz w:val="24"/>
          <w:szCs w:val="24"/>
        </w:rPr>
        <w:t xml:space="preserve">vyplývajúcich </w:t>
      </w:r>
      <w:r w:rsidRPr="000745A8">
        <w:rPr>
          <w:rFonts w:ascii="Times New Roman" w:hAnsi="Times New Roman" w:cs="Times New Roman"/>
          <w:sz w:val="24"/>
          <w:szCs w:val="24"/>
        </w:rPr>
        <w:t xml:space="preserve">zo zákona č. 321/2014 Z. z. </w:t>
      </w:r>
      <w:r w:rsidR="00BF12F6" w:rsidRPr="00BF12F6">
        <w:rPr>
          <w:rFonts w:ascii="Times New Roman" w:hAnsi="Times New Roman" w:cs="Times New Roman"/>
          <w:sz w:val="24"/>
          <w:szCs w:val="24"/>
        </w:rPr>
        <w:t xml:space="preserve">o energetickej efektívnosti </w:t>
      </w:r>
      <w:r w:rsidRPr="000745A8">
        <w:rPr>
          <w:rFonts w:ascii="Times New Roman" w:hAnsi="Times New Roman" w:cs="Times New Roman"/>
          <w:sz w:val="24"/>
          <w:szCs w:val="24"/>
        </w:rPr>
        <w:t>k termínu 31.</w:t>
      </w:r>
      <w:r w:rsidR="00176FFE" w:rsidRPr="000745A8">
        <w:rPr>
          <w:rFonts w:ascii="Times New Roman" w:hAnsi="Times New Roman" w:cs="Times New Roman"/>
          <w:sz w:val="24"/>
          <w:szCs w:val="24"/>
        </w:rPr>
        <w:t xml:space="preserve"> </w:t>
      </w:r>
      <w:r w:rsidR="00945A4B" w:rsidRPr="000745A8">
        <w:rPr>
          <w:rFonts w:ascii="Times New Roman" w:hAnsi="Times New Roman" w:cs="Times New Roman"/>
          <w:sz w:val="24"/>
          <w:szCs w:val="24"/>
        </w:rPr>
        <w:t xml:space="preserve">decembra </w:t>
      </w:r>
      <w:r w:rsidRPr="000745A8">
        <w:rPr>
          <w:rFonts w:ascii="Times New Roman" w:hAnsi="Times New Roman" w:cs="Times New Roman"/>
          <w:sz w:val="24"/>
          <w:szCs w:val="24"/>
        </w:rPr>
        <w:t xml:space="preserve">2015 povinným </w:t>
      </w:r>
      <w:r w:rsidR="00227988" w:rsidRPr="000745A8">
        <w:rPr>
          <w:rFonts w:ascii="Times New Roman" w:hAnsi="Times New Roman" w:cs="Times New Roman"/>
          <w:sz w:val="24"/>
          <w:szCs w:val="24"/>
        </w:rPr>
        <w:t xml:space="preserve"> </w:t>
      </w:r>
      <w:r w:rsidRPr="000745A8">
        <w:rPr>
          <w:rFonts w:ascii="Times New Roman" w:hAnsi="Times New Roman" w:cs="Times New Roman"/>
          <w:sz w:val="24"/>
          <w:szCs w:val="24"/>
        </w:rPr>
        <w:t>opatrením rozvodov teplej vody vhodnou izoláciou nemá v prípade verejných budov zatiaľ významný vplyv na úspory energie, keďže uvedené opatrenia je možné posunúť o dva roky v prípade, ak povinný subjekt plánuje realizovať opatrenia na úsporu energie v rozsahu väčšom, ako ustanovuje zákon.</w:t>
      </w:r>
      <w:r w:rsidR="00945A4B" w:rsidRPr="000745A8">
        <w:rPr>
          <w:rFonts w:ascii="Times New Roman" w:hAnsi="Times New Roman" w:cs="Times New Roman"/>
          <w:sz w:val="24"/>
          <w:szCs w:val="24"/>
        </w:rPr>
        <w:t xml:space="preserve"> Zvýšenie požiadaviek na energetickú hospodárnosť budov od 1. januára 2016 sa </w:t>
      </w:r>
      <w:r w:rsidR="00F81A11" w:rsidRPr="000745A8">
        <w:rPr>
          <w:rFonts w:ascii="Times New Roman" w:hAnsi="Times New Roman" w:cs="Times New Roman"/>
          <w:sz w:val="24"/>
          <w:szCs w:val="24"/>
        </w:rPr>
        <w:t>vo verejnom sektore tiež významne neprejavilo</w:t>
      </w:r>
      <w:r w:rsidR="00227988" w:rsidRPr="000745A8">
        <w:rPr>
          <w:rFonts w:ascii="Times New Roman" w:hAnsi="Times New Roman" w:cs="Times New Roman"/>
          <w:sz w:val="24"/>
          <w:szCs w:val="24"/>
        </w:rPr>
        <w:t>,</w:t>
      </w:r>
      <w:r w:rsidR="00F81A11" w:rsidRPr="000745A8">
        <w:rPr>
          <w:rFonts w:ascii="Times New Roman" w:hAnsi="Times New Roman" w:cs="Times New Roman"/>
          <w:sz w:val="24"/>
          <w:szCs w:val="24"/>
        </w:rPr>
        <w:t xml:space="preserve"> a to </w:t>
      </w:r>
      <w:r w:rsidR="00227988" w:rsidRPr="000745A8">
        <w:rPr>
          <w:rFonts w:ascii="Times New Roman" w:hAnsi="Times New Roman" w:cs="Times New Roman"/>
          <w:sz w:val="24"/>
          <w:szCs w:val="24"/>
        </w:rPr>
        <w:t xml:space="preserve">najmä </w:t>
      </w:r>
      <w:r w:rsidR="00F81A11" w:rsidRPr="000745A8">
        <w:rPr>
          <w:rFonts w:ascii="Times New Roman" w:hAnsi="Times New Roman" w:cs="Times New Roman"/>
          <w:sz w:val="24"/>
          <w:szCs w:val="24"/>
        </w:rPr>
        <w:t>z dôvodu, že počet nových verejných budov je takmer zanedbateľný.</w:t>
      </w:r>
    </w:p>
    <w:p w14:paraId="4B5EC03E" w14:textId="6CB9B196" w:rsidR="007329CB" w:rsidRPr="000745A8" w:rsidRDefault="007329CB" w:rsidP="00176FFE">
      <w:pPr>
        <w:jc w:val="both"/>
        <w:rPr>
          <w:rFonts w:ascii="Times New Roman" w:hAnsi="Times New Roman" w:cs="Times New Roman"/>
          <w:sz w:val="24"/>
          <w:szCs w:val="24"/>
        </w:rPr>
      </w:pPr>
      <w:r w:rsidRPr="000745A8">
        <w:rPr>
          <w:rFonts w:ascii="Times New Roman" w:hAnsi="Times New Roman" w:cs="Times New Roman"/>
          <w:sz w:val="24"/>
          <w:szCs w:val="24"/>
        </w:rPr>
        <w:t xml:space="preserve">Uplatňovanie princípu energetickej efektívnosti do verejného obstarávania má </w:t>
      </w:r>
      <w:r w:rsidR="00176FFE" w:rsidRPr="000745A8">
        <w:rPr>
          <w:rFonts w:ascii="Times New Roman" w:hAnsi="Times New Roman" w:cs="Times New Roman"/>
          <w:sz w:val="24"/>
          <w:szCs w:val="24"/>
        </w:rPr>
        <w:t xml:space="preserve">síce </w:t>
      </w:r>
      <w:r w:rsidRPr="000745A8">
        <w:rPr>
          <w:rFonts w:ascii="Times New Roman" w:hAnsi="Times New Roman" w:cs="Times New Roman"/>
          <w:sz w:val="24"/>
          <w:szCs w:val="24"/>
        </w:rPr>
        <w:t>predpoklad, aby sa stalo jedným z dôležitých nástrojov dosahovania úspor energie vo verejnom sektore</w:t>
      </w:r>
      <w:r w:rsidR="00176FFE" w:rsidRPr="000745A8">
        <w:rPr>
          <w:rFonts w:ascii="Times New Roman" w:hAnsi="Times New Roman" w:cs="Times New Roman"/>
          <w:sz w:val="24"/>
          <w:szCs w:val="24"/>
        </w:rPr>
        <w:t xml:space="preserve">, ale </w:t>
      </w:r>
      <w:r w:rsidR="00227988" w:rsidRPr="000745A8">
        <w:rPr>
          <w:rFonts w:ascii="Times New Roman" w:hAnsi="Times New Roman" w:cs="Times New Roman"/>
          <w:sz w:val="24"/>
          <w:szCs w:val="24"/>
        </w:rPr>
        <w:t xml:space="preserve">vyhodnocovanie tohto opatrenia je administratívne náročné a jednotlivé rezorty nemajú na to dostatočné kapacity. </w:t>
      </w:r>
    </w:p>
    <w:p w14:paraId="5C6693E6" w14:textId="77777777" w:rsidR="00E8211C" w:rsidRPr="009F2998" w:rsidRDefault="00E8211C" w:rsidP="00176FFE">
      <w:pPr>
        <w:jc w:val="both"/>
        <w:rPr>
          <w:rFonts w:ascii="Times New Roman" w:hAnsi="Times New Roman" w:cs="Times New Roman"/>
          <w:szCs w:val="18"/>
        </w:rPr>
      </w:pPr>
    </w:p>
    <w:p w14:paraId="68CB8711" w14:textId="4884DEAD" w:rsidR="00E8211C" w:rsidRPr="000578FE" w:rsidRDefault="00E8211C" w:rsidP="005F7B58">
      <w:pPr>
        <w:pStyle w:val="Nadpis3"/>
        <w:keepNext w:val="0"/>
        <w:keepLines w:val="0"/>
        <w:numPr>
          <w:ilvl w:val="2"/>
          <w:numId w:val="43"/>
        </w:numPr>
        <w:rPr>
          <w:rFonts w:ascii="Times New Roman" w:hAnsi="Times New Roman" w:cs="Times New Roman"/>
          <w:color w:val="auto"/>
        </w:rPr>
      </w:pPr>
      <w:bookmarkStart w:id="53" w:name="_Toc480547234"/>
      <w:r w:rsidRPr="000578FE">
        <w:rPr>
          <w:rFonts w:ascii="Times New Roman" w:hAnsi="Times New Roman" w:cs="Times New Roman"/>
          <w:color w:val="auto"/>
        </w:rPr>
        <w:lastRenderedPageBreak/>
        <w:t>Opatrenia energetickej efektívnosti v sektore doprava</w:t>
      </w:r>
      <w:bookmarkEnd w:id="53"/>
    </w:p>
    <w:p w14:paraId="63098EFC" w14:textId="77777777" w:rsidR="00E8211C" w:rsidRPr="000745A8" w:rsidRDefault="00E8211C" w:rsidP="00E8211C">
      <w:pPr>
        <w:jc w:val="both"/>
        <w:rPr>
          <w:rFonts w:ascii="Times New Roman" w:hAnsi="Times New Roman" w:cs="Times New Roman"/>
          <w:sz w:val="24"/>
          <w:szCs w:val="24"/>
        </w:rPr>
      </w:pPr>
    </w:p>
    <w:p w14:paraId="00BF4466" w14:textId="77777777" w:rsidR="00E8211C" w:rsidRPr="000745A8" w:rsidRDefault="00E8211C" w:rsidP="00E8211C">
      <w:pPr>
        <w:jc w:val="both"/>
        <w:rPr>
          <w:rFonts w:ascii="Times New Roman" w:hAnsi="Times New Roman" w:cs="Times New Roman"/>
          <w:sz w:val="24"/>
          <w:szCs w:val="24"/>
        </w:rPr>
      </w:pPr>
      <w:r w:rsidRPr="000745A8">
        <w:rPr>
          <w:rFonts w:ascii="Times New Roman" w:hAnsi="Times New Roman" w:cs="Times New Roman"/>
          <w:sz w:val="24"/>
          <w:szCs w:val="24"/>
        </w:rPr>
        <w:t>Opatrenia energetickej efektívnosti v sektore doprava sú zamerané najmä na:</w:t>
      </w:r>
    </w:p>
    <w:p w14:paraId="44AFB148" w14:textId="77777777" w:rsidR="00E8211C" w:rsidRPr="000745A8" w:rsidRDefault="00E8211C" w:rsidP="008F19ED">
      <w:pPr>
        <w:pStyle w:val="Odsekzoznamu"/>
        <w:numPr>
          <w:ilvl w:val="0"/>
          <w:numId w:val="6"/>
        </w:numPr>
        <w:jc w:val="both"/>
        <w:rPr>
          <w:rFonts w:ascii="Times New Roman" w:hAnsi="Times New Roman" w:cs="Times New Roman"/>
          <w:sz w:val="24"/>
          <w:szCs w:val="24"/>
        </w:rPr>
      </w:pPr>
      <w:r w:rsidRPr="000745A8">
        <w:rPr>
          <w:rFonts w:ascii="Times New Roman" w:hAnsi="Times New Roman" w:cs="Times New Roman"/>
          <w:sz w:val="24"/>
          <w:szCs w:val="24"/>
        </w:rPr>
        <w:t>obnova a modernizácia vozidlového parku hromadnej dráhovej dopravy,</w:t>
      </w:r>
    </w:p>
    <w:p w14:paraId="2330E1CA" w14:textId="77777777" w:rsidR="00E8211C" w:rsidRPr="000745A8" w:rsidRDefault="00E8211C" w:rsidP="008F19ED">
      <w:pPr>
        <w:pStyle w:val="Odsekzoznamu"/>
        <w:numPr>
          <w:ilvl w:val="0"/>
          <w:numId w:val="6"/>
        </w:numPr>
        <w:jc w:val="both"/>
        <w:rPr>
          <w:rFonts w:ascii="Times New Roman" w:hAnsi="Times New Roman" w:cs="Times New Roman"/>
          <w:sz w:val="24"/>
          <w:szCs w:val="24"/>
        </w:rPr>
      </w:pPr>
      <w:r w:rsidRPr="000745A8">
        <w:rPr>
          <w:rFonts w:ascii="Times New Roman" w:hAnsi="Times New Roman" w:cs="Times New Roman"/>
          <w:sz w:val="24"/>
          <w:szCs w:val="24"/>
        </w:rPr>
        <w:t>obnova a modernizácia vozidlového parku hromadnej cestnej dopravy,</w:t>
      </w:r>
    </w:p>
    <w:p w14:paraId="0E089B5A" w14:textId="402DA39E" w:rsidR="007D403A" w:rsidRDefault="00E8211C" w:rsidP="007D403A">
      <w:pPr>
        <w:pStyle w:val="Odsekzoznamu"/>
        <w:numPr>
          <w:ilvl w:val="0"/>
          <w:numId w:val="6"/>
        </w:numPr>
        <w:jc w:val="both"/>
        <w:rPr>
          <w:rFonts w:ascii="Times New Roman" w:hAnsi="Times New Roman" w:cs="Times New Roman"/>
          <w:sz w:val="24"/>
          <w:szCs w:val="24"/>
        </w:rPr>
      </w:pPr>
      <w:r w:rsidRPr="000745A8">
        <w:rPr>
          <w:rFonts w:ascii="Times New Roman" w:hAnsi="Times New Roman" w:cs="Times New Roman"/>
          <w:sz w:val="24"/>
          <w:szCs w:val="24"/>
        </w:rPr>
        <w:t>budovanie a modernizácia dopravnej infraštruktúry.</w:t>
      </w:r>
    </w:p>
    <w:p w14:paraId="014EDFA5" w14:textId="77777777" w:rsidR="00375411" w:rsidRDefault="00375411" w:rsidP="000578FE">
      <w:pPr>
        <w:jc w:val="both"/>
        <w:rPr>
          <w:rFonts w:ascii="Times New Roman" w:hAnsi="Times New Roman" w:cs="Times New Roman"/>
          <w:sz w:val="24"/>
          <w:szCs w:val="24"/>
        </w:rPr>
      </w:pPr>
    </w:p>
    <w:p w14:paraId="20CC3697" w14:textId="274AFB14" w:rsidR="00375411" w:rsidRPr="000745A8" w:rsidRDefault="00375411" w:rsidP="000578FE">
      <w:pPr>
        <w:jc w:val="both"/>
        <w:rPr>
          <w:rFonts w:ascii="Times New Roman" w:hAnsi="Times New Roman" w:cs="Times New Roman"/>
          <w:sz w:val="24"/>
          <w:szCs w:val="24"/>
        </w:rPr>
      </w:pPr>
      <w:r w:rsidRPr="000745A8">
        <w:rPr>
          <w:rFonts w:ascii="Times New Roman" w:hAnsi="Times New Roman" w:cs="Times New Roman"/>
          <w:sz w:val="24"/>
          <w:szCs w:val="24"/>
        </w:rPr>
        <w:t>Najväčší podiel na úsporách v doprave má budovanie novej dopravnej infraštruktúry</w:t>
      </w:r>
      <w:r>
        <w:rPr>
          <w:rFonts w:ascii="Times New Roman" w:hAnsi="Times New Roman" w:cs="Times New Roman"/>
          <w:sz w:val="24"/>
          <w:szCs w:val="24"/>
        </w:rPr>
        <w:t xml:space="preserve"> (pozri graf č. </w:t>
      </w:r>
      <w:r w:rsidR="00AE42A2">
        <w:rPr>
          <w:rFonts w:ascii="Times New Roman" w:hAnsi="Times New Roman" w:cs="Times New Roman"/>
          <w:sz w:val="24"/>
          <w:szCs w:val="24"/>
        </w:rPr>
        <w:t>10</w:t>
      </w:r>
      <w:r>
        <w:rPr>
          <w:rFonts w:ascii="Times New Roman" w:hAnsi="Times New Roman" w:cs="Times New Roman"/>
          <w:sz w:val="24"/>
          <w:szCs w:val="24"/>
        </w:rPr>
        <w:t>)</w:t>
      </w:r>
      <w:r w:rsidRPr="000745A8">
        <w:rPr>
          <w:rFonts w:ascii="Times New Roman" w:hAnsi="Times New Roman" w:cs="Times New Roman"/>
          <w:sz w:val="24"/>
          <w:szCs w:val="24"/>
        </w:rPr>
        <w:t>. Výmeny vozového parku v dráhovej (vlaky a električky) a autobusovej (autobusy a trolejbusy) doprave  tvoria menej ako štvrtinu celkových úspor v doprave.</w:t>
      </w:r>
    </w:p>
    <w:p w14:paraId="253558A2" w14:textId="77777777" w:rsidR="00375411" w:rsidRDefault="00375411" w:rsidP="000578FE">
      <w:pPr>
        <w:jc w:val="both"/>
        <w:rPr>
          <w:rFonts w:ascii="Times New Roman" w:hAnsi="Times New Roman" w:cs="Times New Roman"/>
          <w:sz w:val="24"/>
          <w:szCs w:val="24"/>
        </w:rPr>
      </w:pPr>
    </w:p>
    <w:p w14:paraId="0A96128D" w14:textId="66BCC0E8" w:rsidR="00375411" w:rsidRPr="000578FE" w:rsidRDefault="00375411" w:rsidP="000578FE">
      <w:pPr>
        <w:keepNext/>
        <w:jc w:val="both"/>
        <w:rPr>
          <w:rFonts w:ascii="Times New Roman" w:hAnsi="Times New Roman" w:cs="Times New Roman"/>
          <w:sz w:val="24"/>
          <w:szCs w:val="24"/>
        </w:rPr>
      </w:pPr>
      <w:r w:rsidRPr="00375411">
        <w:rPr>
          <w:rFonts w:ascii="Times New Roman" w:hAnsi="Times New Roman" w:cs="Times New Roman"/>
          <w:sz w:val="24"/>
          <w:szCs w:val="24"/>
        </w:rPr>
        <w:t xml:space="preserve">Graf č. </w:t>
      </w:r>
      <w:r w:rsidR="00AE42A2">
        <w:rPr>
          <w:rFonts w:ascii="Times New Roman" w:hAnsi="Times New Roman" w:cs="Times New Roman"/>
          <w:sz w:val="24"/>
          <w:szCs w:val="24"/>
        </w:rPr>
        <w:t>10</w:t>
      </w:r>
      <w:r w:rsidRPr="00375411">
        <w:rPr>
          <w:rFonts w:ascii="Times New Roman" w:hAnsi="Times New Roman" w:cs="Times New Roman"/>
          <w:sz w:val="24"/>
          <w:szCs w:val="24"/>
        </w:rPr>
        <w:t xml:space="preserve">: </w:t>
      </w:r>
      <w:r w:rsidRPr="000578FE">
        <w:rPr>
          <w:rFonts w:ascii="Times New Roman" w:hAnsi="Times New Roman" w:cs="Times New Roman"/>
          <w:sz w:val="24"/>
          <w:szCs w:val="24"/>
        </w:rPr>
        <w:t>Zníženie konečnej energetickej spotreby  v sektore doprava - podiel skupín opatrení na plnení cieľa v rokoch 2014-2016</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D403A" w:rsidRPr="009F2998" w14:paraId="1574846F" w14:textId="77777777" w:rsidTr="00C705E7">
        <w:trPr>
          <w:trHeight w:val="3295"/>
        </w:trPr>
        <w:tc>
          <w:tcPr>
            <w:tcW w:w="4531" w:type="dxa"/>
          </w:tcPr>
          <w:p w14:paraId="3CA23325" w14:textId="727CB415" w:rsidR="007D403A" w:rsidRPr="009F2998" w:rsidRDefault="007D403A" w:rsidP="00316131">
            <w:pPr>
              <w:ind w:left="-108"/>
              <w:jc w:val="both"/>
              <w:rPr>
                <w:rFonts w:ascii="Times New Roman" w:hAnsi="Times New Roman" w:cs="Times New Roman"/>
              </w:rPr>
            </w:pPr>
            <w:r w:rsidRPr="009F2998">
              <w:rPr>
                <w:rFonts w:ascii="Times New Roman" w:hAnsi="Times New Roman" w:cs="Times New Roman"/>
                <w:noProof/>
                <w:lang w:eastAsia="sk-SK"/>
              </w:rPr>
              <w:drawing>
                <wp:inline distT="0" distB="0" distL="0" distR="0" wp14:anchorId="35156E2F" wp14:editId="1F60E5CB">
                  <wp:extent cx="2409825" cy="2152650"/>
                  <wp:effectExtent l="0" t="0" r="0" b="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4531" w:type="dxa"/>
          </w:tcPr>
          <w:tbl>
            <w:tblPr>
              <w:tblpPr w:leftFromText="141" w:rightFromText="141" w:vertAnchor="text" w:horzAnchor="margin" w:tblpY="978"/>
              <w:tblOverlap w:val="never"/>
              <w:tblW w:w="4058" w:type="dxa"/>
              <w:tblCellMar>
                <w:left w:w="70" w:type="dxa"/>
                <w:right w:w="70" w:type="dxa"/>
              </w:tblCellMar>
              <w:tblLook w:val="04A0" w:firstRow="1" w:lastRow="0" w:firstColumn="1" w:lastColumn="0" w:noHBand="0" w:noVBand="1"/>
            </w:tblPr>
            <w:tblGrid>
              <w:gridCol w:w="358"/>
              <w:gridCol w:w="2520"/>
              <w:gridCol w:w="1180"/>
            </w:tblGrid>
            <w:tr w:rsidR="00603A56" w:rsidRPr="009F2998" w14:paraId="08479C27" w14:textId="77777777" w:rsidTr="00FC5292">
              <w:trPr>
                <w:trHeight w:val="300"/>
              </w:trPr>
              <w:tc>
                <w:tcPr>
                  <w:tcW w:w="3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A48F73" w14:textId="77777777" w:rsidR="00603A56" w:rsidRPr="009F2998" w:rsidRDefault="00603A56" w:rsidP="00603A56">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A200D42" w14:textId="77777777" w:rsidR="00603A56" w:rsidRPr="009F2998" w:rsidRDefault="00603A56" w:rsidP="00603A56">
                  <w:pPr>
                    <w:spacing w:after="0" w:line="240" w:lineRule="auto"/>
                    <w:rPr>
                      <w:rFonts w:ascii="Times New Roman" w:eastAsia="Times New Roman" w:hAnsi="Times New Roman" w:cs="Times New Roman"/>
                      <w:color w:val="000000"/>
                      <w:sz w:val="20"/>
                      <w:szCs w:val="20"/>
                      <w:lang w:eastAsia="sk-SK"/>
                    </w:rPr>
                  </w:pPr>
                  <w:r w:rsidRPr="009F2998">
                    <w:rPr>
                      <w:rFonts w:ascii="Times New Roman" w:eastAsia="Times New Roman" w:hAnsi="Times New Roman" w:cs="Times New Roman"/>
                      <w:color w:val="000000"/>
                      <w:sz w:val="20"/>
                      <w:szCs w:val="20"/>
                      <w:lang w:eastAsia="sk-SK"/>
                    </w:rPr>
                    <w:t>Skupiny opatrení v doprave:</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6AA99F0D" w14:textId="77777777" w:rsidR="00603A56" w:rsidRPr="009F2998" w:rsidRDefault="00603A56" w:rsidP="00603A56">
                  <w:pPr>
                    <w:spacing w:after="0" w:line="240" w:lineRule="auto"/>
                    <w:jc w:val="center"/>
                    <w:rPr>
                      <w:rFonts w:ascii="Times New Roman" w:eastAsia="Times New Roman" w:hAnsi="Times New Roman" w:cs="Times New Roman"/>
                      <w:color w:val="000000"/>
                      <w:sz w:val="20"/>
                      <w:szCs w:val="20"/>
                      <w:lang w:eastAsia="sk-SK"/>
                    </w:rPr>
                  </w:pPr>
                  <w:r w:rsidRPr="009F2998">
                    <w:rPr>
                      <w:rFonts w:ascii="Times New Roman" w:eastAsia="Times New Roman" w:hAnsi="Times New Roman" w:cs="Times New Roman"/>
                      <w:color w:val="000000"/>
                      <w:sz w:val="20"/>
                      <w:szCs w:val="20"/>
                      <w:lang w:eastAsia="sk-SK"/>
                    </w:rPr>
                    <w:t>Úspora [TJ]</w:t>
                  </w:r>
                </w:p>
              </w:tc>
            </w:tr>
            <w:tr w:rsidR="00C45CB7" w:rsidRPr="009F2998" w14:paraId="4110C940" w14:textId="77777777" w:rsidTr="00AF5415">
              <w:trPr>
                <w:trHeight w:val="246"/>
              </w:trPr>
              <w:tc>
                <w:tcPr>
                  <w:tcW w:w="358" w:type="dxa"/>
                  <w:tcBorders>
                    <w:top w:val="nil"/>
                    <w:left w:val="single" w:sz="4" w:space="0" w:color="auto"/>
                    <w:bottom w:val="single" w:sz="4" w:space="0" w:color="auto"/>
                    <w:right w:val="single" w:sz="4" w:space="0" w:color="auto"/>
                  </w:tcBorders>
                  <w:shd w:val="clear" w:color="000000" w:fill="FF7857"/>
                  <w:noWrap/>
                  <w:vAlign w:val="bottom"/>
                  <w:hideMark/>
                </w:tcPr>
                <w:p w14:paraId="3E3E4342" w14:textId="77777777" w:rsidR="00C45CB7" w:rsidRPr="009F2998" w:rsidRDefault="00C45CB7" w:rsidP="00C45CB7">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2520" w:type="dxa"/>
                  <w:tcBorders>
                    <w:top w:val="nil"/>
                    <w:left w:val="nil"/>
                    <w:bottom w:val="single" w:sz="4" w:space="0" w:color="auto"/>
                    <w:right w:val="single" w:sz="4" w:space="0" w:color="auto"/>
                  </w:tcBorders>
                  <w:shd w:val="clear" w:color="auto" w:fill="auto"/>
                  <w:noWrap/>
                  <w:vAlign w:val="center"/>
                  <w:hideMark/>
                </w:tcPr>
                <w:p w14:paraId="75A71291" w14:textId="77777777" w:rsidR="00C45CB7" w:rsidRPr="009F2998" w:rsidRDefault="00C45CB7">
                  <w:pPr>
                    <w:spacing w:after="0" w:line="240" w:lineRule="auto"/>
                    <w:rPr>
                      <w:rFonts w:ascii="Times New Roman" w:eastAsia="Times New Roman" w:hAnsi="Times New Roman" w:cs="Times New Roman"/>
                      <w:color w:val="000000"/>
                      <w:sz w:val="20"/>
                      <w:szCs w:val="20"/>
                      <w:lang w:eastAsia="sk-SK"/>
                    </w:rPr>
                  </w:pPr>
                  <w:r w:rsidRPr="009F2998">
                    <w:rPr>
                      <w:rFonts w:ascii="Times New Roman" w:eastAsia="Times New Roman" w:hAnsi="Times New Roman" w:cs="Times New Roman"/>
                      <w:color w:val="000000"/>
                      <w:sz w:val="20"/>
                      <w:szCs w:val="20"/>
                      <w:lang w:eastAsia="sk-SK"/>
                    </w:rPr>
                    <w:t>Dráhová doprava</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02B7B" w14:textId="615DE846" w:rsidR="00C45CB7" w:rsidRPr="00C45CB7" w:rsidRDefault="00C45CB7">
                  <w:pPr>
                    <w:spacing w:after="0" w:line="240" w:lineRule="auto"/>
                    <w:jc w:val="right"/>
                    <w:rPr>
                      <w:rFonts w:ascii="Times New Roman" w:eastAsia="Times New Roman" w:hAnsi="Times New Roman" w:cs="Times New Roman"/>
                      <w:color w:val="000000"/>
                      <w:sz w:val="20"/>
                      <w:szCs w:val="20"/>
                      <w:lang w:eastAsia="sk-SK"/>
                    </w:rPr>
                  </w:pPr>
                  <w:r w:rsidRPr="00AF5415">
                    <w:rPr>
                      <w:rFonts w:ascii="Times New Roman" w:hAnsi="Times New Roman" w:cs="Times New Roman"/>
                      <w:color w:val="000000"/>
                      <w:sz w:val="20"/>
                      <w:szCs w:val="20"/>
                    </w:rPr>
                    <w:t>404,59</w:t>
                  </w:r>
                </w:p>
              </w:tc>
            </w:tr>
            <w:tr w:rsidR="00C45CB7" w:rsidRPr="009F2998" w14:paraId="5A345C05" w14:textId="77777777" w:rsidTr="00AF5415">
              <w:trPr>
                <w:trHeight w:val="250"/>
              </w:trPr>
              <w:tc>
                <w:tcPr>
                  <w:tcW w:w="358" w:type="dxa"/>
                  <w:tcBorders>
                    <w:top w:val="nil"/>
                    <w:left w:val="single" w:sz="4" w:space="0" w:color="auto"/>
                    <w:bottom w:val="single" w:sz="4" w:space="0" w:color="auto"/>
                    <w:right w:val="single" w:sz="4" w:space="0" w:color="auto"/>
                  </w:tcBorders>
                  <w:shd w:val="clear" w:color="000000" w:fill="FF9933"/>
                  <w:noWrap/>
                  <w:vAlign w:val="bottom"/>
                  <w:hideMark/>
                </w:tcPr>
                <w:p w14:paraId="3C05859A" w14:textId="77777777" w:rsidR="00C45CB7" w:rsidRPr="009F2998" w:rsidRDefault="00C45CB7" w:rsidP="00C45CB7">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2520" w:type="dxa"/>
                  <w:tcBorders>
                    <w:top w:val="nil"/>
                    <w:left w:val="nil"/>
                    <w:bottom w:val="single" w:sz="4" w:space="0" w:color="auto"/>
                    <w:right w:val="single" w:sz="4" w:space="0" w:color="auto"/>
                  </w:tcBorders>
                  <w:shd w:val="clear" w:color="auto" w:fill="auto"/>
                  <w:noWrap/>
                  <w:vAlign w:val="center"/>
                  <w:hideMark/>
                </w:tcPr>
                <w:p w14:paraId="3AE32742" w14:textId="77777777" w:rsidR="00C45CB7" w:rsidRPr="009F2998" w:rsidRDefault="00C45CB7">
                  <w:pPr>
                    <w:spacing w:after="0" w:line="240" w:lineRule="auto"/>
                    <w:rPr>
                      <w:rFonts w:ascii="Times New Roman" w:eastAsia="Times New Roman" w:hAnsi="Times New Roman" w:cs="Times New Roman"/>
                      <w:color w:val="000000"/>
                      <w:sz w:val="20"/>
                      <w:szCs w:val="20"/>
                      <w:lang w:eastAsia="sk-SK"/>
                    </w:rPr>
                  </w:pPr>
                  <w:r w:rsidRPr="009F2998">
                    <w:rPr>
                      <w:rFonts w:ascii="Times New Roman" w:eastAsia="Times New Roman" w:hAnsi="Times New Roman" w:cs="Times New Roman"/>
                      <w:color w:val="000000"/>
                      <w:sz w:val="20"/>
                      <w:szCs w:val="20"/>
                      <w:lang w:eastAsia="sk-SK"/>
                    </w:rPr>
                    <w:t>Autobus/Trolejbus</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3765DF4D" w14:textId="39D92379" w:rsidR="00C45CB7" w:rsidRPr="00C45CB7" w:rsidRDefault="00C45CB7">
                  <w:pPr>
                    <w:spacing w:after="0" w:line="240" w:lineRule="auto"/>
                    <w:jc w:val="right"/>
                    <w:rPr>
                      <w:rFonts w:ascii="Times New Roman" w:eastAsia="Times New Roman" w:hAnsi="Times New Roman" w:cs="Times New Roman"/>
                      <w:color w:val="000000"/>
                      <w:sz w:val="20"/>
                      <w:szCs w:val="20"/>
                      <w:lang w:eastAsia="sk-SK"/>
                    </w:rPr>
                  </w:pPr>
                  <w:r w:rsidRPr="00AF5415">
                    <w:rPr>
                      <w:rFonts w:ascii="Times New Roman" w:hAnsi="Times New Roman" w:cs="Times New Roman"/>
                      <w:color w:val="000000"/>
                      <w:sz w:val="20"/>
                      <w:szCs w:val="20"/>
                    </w:rPr>
                    <w:t>59,63</w:t>
                  </w:r>
                </w:p>
              </w:tc>
            </w:tr>
            <w:tr w:rsidR="00C45CB7" w:rsidRPr="009F2998" w14:paraId="6200C960" w14:textId="77777777" w:rsidTr="00AF5415">
              <w:trPr>
                <w:trHeight w:val="254"/>
              </w:trPr>
              <w:tc>
                <w:tcPr>
                  <w:tcW w:w="358" w:type="dxa"/>
                  <w:tcBorders>
                    <w:top w:val="nil"/>
                    <w:left w:val="single" w:sz="4" w:space="0" w:color="auto"/>
                    <w:bottom w:val="single" w:sz="4" w:space="0" w:color="auto"/>
                    <w:right w:val="single" w:sz="4" w:space="0" w:color="auto"/>
                  </w:tcBorders>
                  <w:shd w:val="clear" w:color="000000" w:fill="FFCC00"/>
                  <w:noWrap/>
                  <w:vAlign w:val="bottom"/>
                  <w:hideMark/>
                </w:tcPr>
                <w:p w14:paraId="25BB1DDC" w14:textId="77777777" w:rsidR="00C45CB7" w:rsidRPr="009F2998" w:rsidRDefault="00C45CB7" w:rsidP="00C45CB7">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2520" w:type="dxa"/>
                  <w:tcBorders>
                    <w:top w:val="nil"/>
                    <w:left w:val="nil"/>
                    <w:bottom w:val="single" w:sz="4" w:space="0" w:color="auto"/>
                    <w:right w:val="single" w:sz="4" w:space="0" w:color="auto"/>
                  </w:tcBorders>
                  <w:shd w:val="clear" w:color="auto" w:fill="auto"/>
                  <w:noWrap/>
                  <w:vAlign w:val="center"/>
                  <w:hideMark/>
                </w:tcPr>
                <w:p w14:paraId="167545EF" w14:textId="77777777" w:rsidR="00C45CB7" w:rsidRPr="009F2998" w:rsidRDefault="00C45CB7">
                  <w:pPr>
                    <w:spacing w:after="0" w:line="240" w:lineRule="auto"/>
                    <w:rPr>
                      <w:rFonts w:ascii="Times New Roman" w:eastAsia="Times New Roman" w:hAnsi="Times New Roman" w:cs="Times New Roman"/>
                      <w:color w:val="000000"/>
                      <w:sz w:val="20"/>
                      <w:szCs w:val="20"/>
                      <w:lang w:eastAsia="sk-SK"/>
                    </w:rPr>
                  </w:pPr>
                  <w:r w:rsidRPr="009F2998">
                    <w:rPr>
                      <w:rFonts w:ascii="Times New Roman" w:eastAsia="Times New Roman" w:hAnsi="Times New Roman" w:cs="Times New Roman"/>
                      <w:color w:val="000000"/>
                      <w:sz w:val="20"/>
                      <w:szCs w:val="20"/>
                      <w:lang w:eastAsia="sk-SK"/>
                    </w:rPr>
                    <w:t>Dopravná infraštruktúra</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2C08A077" w14:textId="18B87C04" w:rsidR="00C45CB7" w:rsidRPr="00C45CB7" w:rsidRDefault="00C45CB7">
                  <w:pPr>
                    <w:spacing w:after="0" w:line="240" w:lineRule="auto"/>
                    <w:jc w:val="right"/>
                    <w:rPr>
                      <w:rFonts w:ascii="Times New Roman" w:eastAsia="Times New Roman" w:hAnsi="Times New Roman" w:cs="Times New Roman"/>
                      <w:color w:val="000000"/>
                      <w:sz w:val="20"/>
                      <w:szCs w:val="20"/>
                      <w:lang w:eastAsia="sk-SK"/>
                    </w:rPr>
                  </w:pPr>
                  <w:r w:rsidRPr="00AF5415">
                    <w:rPr>
                      <w:rFonts w:ascii="Times New Roman" w:hAnsi="Times New Roman" w:cs="Times New Roman"/>
                      <w:color w:val="000000"/>
                      <w:sz w:val="20"/>
                      <w:szCs w:val="20"/>
                    </w:rPr>
                    <w:t>432,29</w:t>
                  </w:r>
                </w:p>
              </w:tc>
            </w:tr>
            <w:tr w:rsidR="00C45CB7" w:rsidRPr="009F2998" w14:paraId="19CDAA5A" w14:textId="77777777" w:rsidTr="00AF5415">
              <w:trPr>
                <w:trHeight w:val="272"/>
              </w:trPr>
              <w:tc>
                <w:tcPr>
                  <w:tcW w:w="358" w:type="dxa"/>
                  <w:tcBorders>
                    <w:top w:val="nil"/>
                    <w:left w:val="nil"/>
                    <w:bottom w:val="nil"/>
                    <w:right w:val="nil"/>
                  </w:tcBorders>
                  <w:shd w:val="clear" w:color="auto" w:fill="auto"/>
                  <w:noWrap/>
                  <w:vAlign w:val="bottom"/>
                  <w:hideMark/>
                </w:tcPr>
                <w:p w14:paraId="533A410A" w14:textId="77777777" w:rsidR="00C45CB7" w:rsidRPr="009F2998" w:rsidRDefault="00C45CB7" w:rsidP="00C45CB7">
                  <w:pPr>
                    <w:spacing w:after="0" w:line="240" w:lineRule="auto"/>
                    <w:jc w:val="right"/>
                    <w:rPr>
                      <w:rFonts w:ascii="Times New Roman" w:eastAsia="Times New Roman" w:hAnsi="Times New Roman" w:cs="Times New Roman"/>
                      <w:color w:val="000000"/>
                      <w:sz w:val="20"/>
                      <w:szCs w:val="20"/>
                      <w:lang w:eastAsia="sk-SK"/>
                    </w:rPr>
                  </w:pPr>
                </w:p>
              </w:tc>
              <w:tc>
                <w:tcPr>
                  <w:tcW w:w="2520" w:type="dxa"/>
                  <w:tcBorders>
                    <w:top w:val="nil"/>
                    <w:left w:val="single" w:sz="4" w:space="0" w:color="auto"/>
                    <w:bottom w:val="single" w:sz="4" w:space="0" w:color="auto"/>
                    <w:right w:val="single" w:sz="4" w:space="0" w:color="auto"/>
                  </w:tcBorders>
                  <w:shd w:val="clear" w:color="auto" w:fill="auto"/>
                  <w:noWrap/>
                  <w:vAlign w:val="center"/>
                  <w:hideMark/>
                </w:tcPr>
                <w:p w14:paraId="7CDDFC50" w14:textId="77777777" w:rsidR="00C45CB7" w:rsidRPr="009F2998" w:rsidRDefault="00C45CB7">
                  <w:pPr>
                    <w:spacing w:after="0" w:line="240" w:lineRule="auto"/>
                    <w:rPr>
                      <w:rFonts w:ascii="Times New Roman" w:eastAsia="Times New Roman" w:hAnsi="Times New Roman" w:cs="Times New Roman"/>
                      <w:b/>
                      <w:color w:val="000000"/>
                      <w:sz w:val="20"/>
                      <w:szCs w:val="20"/>
                      <w:lang w:eastAsia="sk-SK"/>
                    </w:rPr>
                  </w:pPr>
                  <w:r w:rsidRPr="009F2998">
                    <w:rPr>
                      <w:rFonts w:ascii="Times New Roman" w:eastAsia="Times New Roman" w:hAnsi="Times New Roman" w:cs="Times New Roman"/>
                      <w:b/>
                      <w:color w:val="000000"/>
                      <w:sz w:val="20"/>
                      <w:szCs w:val="20"/>
                      <w:lang w:eastAsia="sk-SK"/>
                    </w:rPr>
                    <w:t>Spolu:</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6B25878A" w14:textId="4BAE1B36" w:rsidR="00C45CB7" w:rsidRPr="00C45CB7" w:rsidRDefault="00C45CB7">
                  <w:pPr>
                    <w:spacing w:after="0" w:line="240" w:lineRule="auto"/>
                    <w:jc w:val="right"/>
                    <w:rPr>
                      <w:rFonts w:ascii="Times New Roman" w:eastAsia="Times New Roman" w:hAnsi="Times New Roman" w:cs="Times New Roman"/>
                      <w:b/>
                      <w:bCs/>
                      <w:color w:val="000000"/>
                      <w:sz w:val="20"/>
                      <w:szCs w:val="20"/>
                      <w:lang w:eastAsia="sk-SK"/>
                    </w:rPr>
                  </w:pPr>
                  <w:r w:rsidRPr="00AF5415">
                    <w:rPr>
                      <w:rFonts w:ascii="Times New Roman" w:hAnsi="Times New Roman" w:cs="Times New Roman"/>
                      <w:b/>
                      <w:bCs/>
                      <w:color w:val="000000"/>
                      <w:sz w:val="20"/>
                      <w:szCs w:val="20"/>
                    </w:rPr>
                    <w:t>896,52</w:t>
                  </w:r>
                </w:p>
              </w:tc>
            </w:tr>
          </w:tbl>
          <w:p w14:paraId="3590F785" w14:textId="77777777" w:rsidR="007D403A" w:rsidRPr="009F2998" w:rsidRDefault="007D403A" w:rsidP="007B3AED">
            <w:pPr>
              <w:jc w:val="both"/>
              <w:rPr>
                <w:rFonts w:ascii="Times New Roman" w:hAnsi="Times New Roman" w:cs="Times New Roman"/>
              </w:rPr>
            </w:pPr>
          </w:p>
        </w:tc>
      </w:tr>
    </w:tbl>
    <w:p w14:paraId="738E5E7A" w14:textId="77777777" w:rsidR="00E8211C" w:rsidRPr="009F2998" w:rsidRDefault="00E8211C" w:rsidP="00E8211C">
      <w:pPr>
        <w:jc w:val="both"/>
        <w:rPr>
          <w:rFonts w:ascii="Times New Roman" w:hAnsi="Times New Roman" w:cs="Times New Roman"/>
        </w:rPr>
      </w:pPr>
    </w:p>
    <w:p w14:paraId="6A435D14" w14:textId="77777777" w:rsidR="00375411" w:rsidRDefault="00375411" w:rsidP="00BF111E">
      <w:pPr>
        <w:jc w:val="both"/>
        <w:rPr>
          <w:rFonts w:ascii="Times New Roman" w:hAnsi="Times New Roman" w:cs="Times New Roman"/>
          <w:sz w:val="24"/>
          <w:szCs w:val="24"/>
        </w:rPr>
      </w:pPr>
    </w:p>
    <w:p w14:paraId="403E4D8C" w14:textId="58428769" w:rsidR="00375411" w:rsidRPr="000745A8" w:rsidRDefault="00375411" w:rsidP="00375411">
      <w:pPr>
        <w:jc w:val="both"/>
        <w:rPr>
          <w:rFonts w:ascii="Times New Roman" w:hAnsi="Times New Roman" w:cs="Times New Roman"/>
          <w:sz w:val="24"/>
          <w:szCs w:val="24"/>
        </w:rPr>
      </w:pPr>
      <w:r w:rsidRPr="000745A8">
        <w:rPr>
          <w:rFonts w:ascii="Times New Roman" w:hAnsi="Times New Roman" w:cs="Times New Roman"/>
          <w:sz w:val="24"/>
          <w:szCs w:val="24"/>
        </w:rPr>
        <w:t xml:space="preserve">Opatrenia v sektore doprava sa realizovali predovšetkým v rokoch 2014-2015, kedy nastali komplexné obmeny vozového parku prostriedkov verejnej dopravy v Bratislave a čiastočne aj v Košiciach. Technicky a environmentálne nevyhovujúce vozidlá (autobusy, trolejbusy a električky) boli nahradené novými, ktoré významne prispeli k skvalitneniu služieb MHD v Bratislave, pričom vyradenie starých prostriedkov slúžiacich sčasti na hrane svojej životnosti prinieslo nemalé úspory energie. </w:t>
      </w:r>
    </w:p>
    <w:p w14:paraId="3131D98A" w14:textId="0762D923" w:rsidR="00375411" w:rsidRPr="000745A8" w:rsidRDefault="00375411" w:rsidP="00375411">
      <w:pPr>
        <w:jc w:val="both"/>
        <w:rPr>
          <w:rFonts w:ascii="Times New Roman" w:hAnsi="Times New Roman" w:cs="Times New Roman"/>
          <w:sz w:val="24"/>
          <w:szCs w:val="24"/>
        </w:rPr>
      </w:pPr>
      <w:r w:rsidRPr="000745A8">
        <w:rPr>
          <w:rFonts w:ascii="Times New Roman" w:hAnsi="Times New Roman" w:cs="Times New Roman"/>
          <w:sz w:val="24"/>
          <w:szCs w:val="24"/>
        </w:rPr>
        <w:t>Ďalším významným krokom je obmena vozidlového parku železničnej osobnej dopravy, kde pribudli nové súpravy a vozne na regionálne trate. Spolu so zvýšením kvality ponúkaných služieb a zavedením integrovaného dopravného systému  v bratislavskom kraji priniesli aj zvýšenie množstva cestujúcich</w:t>
      </w:r>
      <w:r w:rsidR="00BF12F6">
        <w:rPr>
          <w:rFonts w:ascii="Times New Roman" w:hAnsi="Times New Roman" w:cs="Times New Roman"/>
          <w:sz w:val="24"/>
          <w:szCs w:val="24"/>
        </w:rPr>
        <w:t>,</w:t>
      </w:r>
      <w:r w:rsidRPr="000745A8">
        <w:rPr>
          <w:rFonts w:ascii="Times New Roman" w:hAnsi="Times New Roman" w:cs="Times New Roman"/>
          <w:sz w:val="24"/>
          <w:szCs w:val="24"/>
        </w:rPr>
        <w:t xml:space="preserve"> a teda presun časti cestujúcich z  individuálnej automobilovej dopravy (IAD)  autami. K presunu z IAD na prostriedky hromadnej dopravy prispelo aj opatrenie využívania vlakov zadarmo pre určité sociálne skupiny, ktoré bolo spustené v novembri 2014. </w:t>
      </w:r>
    </w:p>
    <w:p w14:paraId="60734944" w14:textId="77777777" w:rsidR="00375411" w:rsidRPr="000745A8" w:rsidRDefault="00375411" w:rsidP="00375411">
      <w:pPr>
        <w:jc w:val="both"/>
        <w:rPr>
          <w:rFonts w:ascii="Times New Roman" w:hAnsi="Times New Roman" w:cs="Times New Roman"/>
          <w:sz w:val="24"/>
          <w:szCs w:val="24"/>
        </w:rPr>
      </w:pPr>
      <w:r w:rsidRPr="000745A8">
        <w:rPr>
          <w:rFonts w:ascii="Times New Roman" w:hAnsi="Times New Roman" w:cs="Times New Roman"/>
          <w:sz w:val="24"/>
          <w:szCs w:val="24"/>
        </w:rPr>
        <w:lastRenderedPageBreak/>
        <w:t xml:space="preserve">Významnou aktivitou bola obnova a výstavba dráhových tratí (predovšetkým rekonštrukcia električkových tratí v Bratislave a Košiciach, výstavba električkovej trate spolu s mostom s vylúčenou premávkou motorových vozidiel v Bratislave a rekonštrukcia železničných tratí a priľahlých objektov). </w:t>
      </w:r>
    </w:p>
    <w:p w14:paraId="3556B42A" w14:textId="199DD363" w:rsidR="00375411" w:rsidRDefault="00375411" w:rsidP="00BF111E">
      <w:pPr>
        <w:jc w:val="both"/>
        <w:rPr>
          <w:rFonts w:ascii="Times New Roman" w:hAnsi="Times New Roman" w:cs="Times New Roman"/>
          <w:sz w:val="24"/>
          <w:szCs w:val="24"/>
        </w:rPr>
      </w:pPr>
      <w:r w:rsidRPr="000745A8">
        <w:rPr>
          <w:rFonts w:ascii="Times New Roman" w:hAnsi="Times New Roman" w:cs="Times New Roman"/>
          <w:sz w:val="24"/>
          <w:szCs w:val="24"/>
        </w:rPr>
        <w:t xml:space="preserve">V októbri 2016 MH SR vyhlásilo podporu rozvoja elektromobility, </w:t>
      </w:r>
      <w:r w:rsidR="00BF12F6" w:rsidRPr="00BF12F6">
        <w:rPr>
          <w:rFonts w:ascii="Times New Roman" w:hAnsi="Times New Roman" w:cs="Times New Roman"/>
          <w:sz w:val="24"/>
          <w:szCs w:val="24"/>
        </w:rPr>
        <w:t xml:space="preserve">v rámci ktorej </w:t>
      </w:r>
      <w:r w:rsidRPr="000745A8">
        <w:rPr>
          <w:rFonts w:ascii="Times New Roman" w:hAnsi="Times New Roman" w:cs="Times New Roman"/>
          <w:sz w:val="24"/>
          <w:szCs w:val="24"/>
        </w:rPr>
        <w:t>poskytuje dotáciu 5 000 </w:t>
      </w:r>
      <w:r w:rsidR="000C2919">
        <w:rPr>
          <w:rFonts w:ascii="Times New Roman" w:hAnsi="Times New Roman" w:cs="Times New Roman"/>
          <w:sz w:val="24"/>
          <w:szCs w:val="24"/>
        </w:rPr>
        <w:t>Eur</w:t>
      </w:r>
      <w:r w:rsidRPr="000745A8">
        <w:rPr>
          <w:rFonts w:ascii="Times New Roman" w:hAnsi="Times New Roman" w:cs="Times New Roman"/>
          <w:sz w:val="24"/>
          <w:szCs w:val="24"/>
        </w:rPr>
        <w:t xml:space="preserve"> pre nové elektrické auto a 3 000 </w:t>
      </w:r>
      <w:r w:rsidR="000C2919">
        <w:rPr>
          <w:rFonts w:ascii="Times New Roman" w:hAnsi="Times New Roman" w:cs="Times New Roman"/>
          <w:sz w:val="24"/>
          <w:szCs w:val="24"/>
        </w:rPr>
        <w:t>Eur</w:t>
      </w:r>
      <w:r w:rsidRPr="000745A8">
        <w:rPr>
          <w:rFonts w:ascii="Times New Roman" w:hAnsi="Times New Roman" w:cs="Times New Roman"/>
          <w:sz w:val="24"/>
          <w:szCs w:val="24"/>
        </w:rPr>
        <w:t xml:space="preserve"> pre hybridné auto s možnosťou nabíjania cez elektrickú zásuvku. </w:t>
      </w:r>
    </w:p>
    <w:p w14:paraId="747F8DB7" w14:textId="2005D0E1" w:rsidR="00E72DF6" w:rsidRPr="000745A8" w:rsidRDefault="00E72DF6" w:rsidP="00BF111E">
      <w:pPr>
        <w:jc w:val="both"/>
        <w:rPr>
          <w:rFonts w:ascii="Times New Roman" w:hAnsi="Times New Roman" w:cs="Times New Roman"/>
          <w:sz w:val="24"/>
          <w:szCs w:val="24"/>
        </w:rPr>
      </w:pPr>
      <w:r w:rsidRPr="000745A8">
        <w:rPr>
          <w:rFonts w:ascii="Times New Roman" w:hAnsi="Times New Roman" w:cs="Times New Roman"/>
          <w:sz w:val="24"/>
          <w:szCs w:val="24"/>
        </w:rPr>
        <w:t>Uznesením vlády č. 13/2017 bol schválený Strategický plán rozvoja dopravy SR do roku 2030, ktorý predložilo Ministerstvo dopravy a výstavby SR</w:t>
      </w:r>
      <w:r w:rsidR="00BF12F6">
        <w:rPr>
          <w:rFonts w:ascii="Times New Roman" w:hAnsi="Times New Roman" w:cs="Times New Roman"/>
          <w:sz w:val="24"/>
          <w:szCs w:val="24"/>
        </w:rPr>
        <w:t xml:space="preserve"> </w:t>
      </w:r>
      <w:r w:rsidR="00BF12F6" w:rsidRPr="00BF12F6">
        <w:rPr>
          <w:rFonts w:ascii="Times New Roman" w:hAnsi="Times New Roman" w:cs="Times New Roman"/>
          <w:sz w:val="24"/>
          <w:szCs w:val="24"/>
        </w:rPr>
        <w:t>(ďalej len „MDV SR“)</w:t>
      </w:r>
      <w:r w:rsidRPr="000745A8">
        <w:rPr>
          <w:rFonts w:ascii="Times New Roman" w:hAnsi="Times New Roman" w:cs="Times New Roman"/>
          <w:sz w:val="24"/>
          <w:szCs w:val="24"/>
        </w:rPr>
        <w:t>. Okrem základného rámca rozvoja dopravnej politiky na Slovensku definuje jednoznačnú potrebu podpory verejnej osobnej dopravy (VOD) a opatrení, ktoré zlepšia atraktivitu udržateľných druhov dopravy, t. j. okrem verejnej osobnej dopravy aj cyklistickej a pešej dopravy. MDV SR je zároveň riadiacim orgánom pre Operačný program Integrovaná infraštruktúra 2014 – 2020 (OPII), v ktorom je prostredníctvom výkonnostných indikátorov deklarovaná podpora VOD a zabezpečenie modal-shiftu. Dopravný segment je zároveň predmetom finančnej podpory aj v rámci Prioritnej osi 1 Integrovaného regionálneho operačného programu 2014 – 2020 (IROP) s názvom Bezpečná a ekologická doprava v regiónoch, ktorého riadiacim orgánom je Ministerstvo pôdohospodárstva a rozvoja vidieka SR (MPRV SR). Hoci kompetenčne je teda riešenie regionálnej dopravy mimo gescie MDV SR, oba rezorty navzájom úzko spolupracujú, rovnako ako s regiónmi a mestami (teda prijímateľmi podpory).</w:t>
      </w:r>
    </w:p>
    <w:p w14:paraId="5C6C94D3" w14:textId="51C14619" w:rsidR="00E72DF6" w:rsidRPr="000745A8" w:rsidRDefault="00E72DF6" w:rsidP="00E72DF6">
      <w:pPr>
        <w:jc w:val="both"/>
        <w:rPr>
          <w:rFonts w:ascii="Times New Roman" w:hAnsi="Times New Roman" w:cs="Times New Roman"/>
          <w:sz w:val="24"/>
          <w:szCs w:val="24"/>
        </w:rPr>
      </w:pPr>
      <w:r w:rsidRPr="000745A8">
        <w:rPr>
          <w:rFonts w:ascii="Times New Roman" w:hAnsi="Times New Roman" w:cs="Times New Roman"/>
          <w:sz w:val="24"/>
          <w:szCs w:val="24"/>
        </w:rPr>
        <w:t>Okrem uvedeného MDV SR spolupracuje s regiónmi aj na príprave a schvaľovaní tzv. Regionálnych integrovaných územných stratégií, ktoré predstavujú vykonávací dokument čerpania NFP z IROP. Po usmernení zo strany MDV SR väčšina regiónov zmenila finančnú alokáciu v prospech projektov podporujúcich VOD a nemotorovú dopravu. MDV SR tiež spolupracuje s regiónmi pri príprave plánov udržateľnej mobility, ktoré sú v súčasnosti v rôznom štádiu rozpracovanosti. Cieľom plánu udržateľnej mobility (</w:t>
      </w:r>
      <w:r w:rsidR="00BF12F6">
        <w:rPr>
          <w:rFonts w:ascii="Times New Roman" w:hAnsi="Times New Roman" w:cs="Times New Roman"/>
          <w:sz w:val="24"/>
          <w:szCs w:val="24"/>
        </w:rPr>
        <w:t>ďalej len „</w:t>
      </w:r>
      <w:r w:rsidRPr="000745A8">
        <w:rPr>
          <w:rFonts w:ascii="Times New Roman" w:hAnsi="Times New Roman" w:cs="Times New Roman"/>
          <w:sz w:val="24"/>
          <w:szCs w:val="24"/>
        </w:rPr>
        <w:t>PUM</w:t>
      </w:r>
      <w:r w:rsidR="00BF12F6">
        <w:rPr>
          <w:rFonts w:ascii="Times New Roman" w:hAnsi="Times New Roman" w:cs="Times New Roman"/>
          <w:sz w:val="24"/>
          <w:szCs w:val="24"/>
        </w:rPr>
        <w:t>“</w:t>
      </w:r>
      <w:r w:rsidRPr="000745A8">
        <w:rPr>
          <w:rFonts w:ascii="Times New Roman" w:hAnsi="Times New Roman" w:cs="Times New Roman"/>
          <w:sz w:val="24"/>
          <w:szCs w:val="24"/>
        </w:rPr>
        <w:t>) je odborné odôvodnenie intervencií do dopravy, pričom každá intervencia má viesť k zvýšenej podpore udržateľných druhov dopravy, a teda priamo k zvyšovaniu úspor energie. S výnimkou Bratislavy, Žiliny a Košíc, ktoré už PUM majú spracovaný, sa finalizácia dokumentov očakáva na prelome rokov 2018/2019.</w:t>
      </w:r>
    </w:p>
    <w:p w14:paraId="4C96397E" w14:textId="0F82622C" w:rsidR="00E72DF6" w:rsidRPr="000745A8" w:rsidRDefault="00E72DF6" w:rsidP="00E72DF6">
      <w:pPr>
        <w:jc w:val="both"/>
        <w:rPr>
          <w:rFonts w:ascii="Times New Roman" w:hAnsi="Times New Roman" w:cs="Times New Roman"/>
          <w:sz w:val="24"/>
          <w:szCs w:val="24"/>
        </w:rPr>
      </w:pPr>
      <w:r w:rsidRPr="000745A8">
        <w:rPr>
          <w:rFonts w:ascii="Times New Roman" w:hAnsi="Times New Roman" w:cs="Times New Roman"/>
          <w:sz w:val="24"/>
          <w:szCs w:val="24"/>
        </w:rPr>
        <w:t>Koncepčne a strategicky sú teda všetky procesy nastavené tak, aby sa zabezpečila dostatočná a celoplošná podpora udržateľných módov dopravy, modal-shift v prospech tejto dopravy, a teda sa zmiernili dopady využívania individuálnej automobilovej dopravy. Ide o zložitú a dlhodobú problematiku, ktorá vyžaduje ako legislatívnu, tak aj inštitucionálnu podporu zo strany všetkých kompetentných orgánov, inštitúcií a organizácií.</w:t>
      </w:r>
    </w:p>
    <w:p w14:paraId="3E2F3A98" w14:textId="77777777" w:rsidR="007329CB" w:rsidRPr="009F2998" w:rsidRDefault="007329CB" w:rsidP="007329CB">
      <w:pPr>
        <w:jc w:val="both"/>
        <w:rPr>
          <w:rFonts w:ascii="Times New Roman" w:hAnsi="Times New Roman" w:cs="Times New Roman"/>
        </w:rPr>
      </w:pPr>
    </w:p>
    <w:p w14:paraId="758E9195" w14:textId="4C1F189E" w:rsidR="001D5205" w:rsidRPr="005F7B58" w:rsidRDefault="001D5205" w:rsidP="005F7B58">
      <w:pPr>
        <w:pStyle w:val="Nadpis3"/>
        <w:keepNext w:val="0"/>
        <w:keepLines w:val="0"/>
        <w:numPr>
          <w:ilvl w:val="2"/>
          <w:numId w:val="47"/>
        </w:numPr>
        <w:rPr>
          <w:rFonts w:ascii="Times New Roman" w:hAnsi="Times New Roman" w:cs="Times New Roman"/>
          <w:color w:val="auto"/>
        </w:rPr>
      </w:pPr>
      <w:bookmarkStart w:id="54" w:name="_Toc480547235"/>
      <w:r w:rsidRPr="005F7B58">
        <w:rPr>
          <w:rFonts w:ascii="Times New Roman" w:hAnsi="Times New Roman" w:cs="Times New Roman"/>
          <w:color w:val="auto"/>
        </w:rPr>
        <w:t>Opatrenia energetickej efektívnosti v sektore spotrebiče</w:t>
      </w:r>
      <w:bookmarkEnd w:id="54"/>
    </w:p>
    <w:p w14:paraId="79F66F2F" w14:textId="77777777" w:rsidR="009A4A3B" w:rsidRPr="009F2998" w:rsidRDefault="009A4A3B" w:rsidP="009A4A3B">
      <w:pPr>
        <w:jc w:val="both"/>
        <w:rPr>
          <w:rFonts w:ascii="Times New Roman" w:hAnsi="Times New Roman" w:cs="Times New Roman"/>
        </w:rPr>
      </w:pPr>
    </w:p>
    <w:p w14:paraId="74CBB4F7" w14:textId="15850271" w:rsidR="009A4A3B" w:rsidRPr="000578FE" w:rsidRDefault="009A4A3B" w:rsidP="009A4A3B">
      <w:pPr>
        <w:jc w:val="both"/>
        <w:rPr>
          <w:rFonts w:ascii="Times New Roman" w:hAnsi="Times New Roman" w:cs="Times New Roman"/>
          <w:sz w:val="24"/>
          <w:szCs w:val="24"/>
        </w:rPr>
      </w:pPr>
      <w:r w:rsidRPr="000578FE">
        <w:rPr>
          <w:rFonts w:ascii="Times New Roman" w:hAnsi="Times New Roman" w:cs="Times New Roman"/>
          <w:sz w:val="24"/>
          <w:szCs w:val="24"/>
        </w:rPr>
        <w:t>Opatrenia energetickej efektívnosti v sektore spotrebiče sú zamerané najmä na:</w:t>
      </w:r>
    </w:p>
    <w:p w14:paraId="6BC59228" w14:textId="203D3456" w:rsidR="009A4A3B" w:rsidRPr="000578FE" w:rsidRDefault="009A4A3B" w:rsidP="007157D7">
      <w:pPr>
        <w:pStyle w:val="Odsekzoznamu"/>
        <w:numPr>
          <w:ilvl w:val="0"/>
          <w:numId w:val="8"/>
        </w:numPr>
        <w:jc w:val="both"/>
        <w:rPr>
          <w:rFonts w:ascii="Times New Roman" w:hAnsi="Times New Roman" w:cs="Times New Roman"/>
          <w:sz w:val="24"/>
          <w:szCs w:val="24"/>
        </w:rPr>
      </w:pPr>
      <w:r w:rsidRPr="000578FE">
        <w:rPr>
          <w:rFonts w:ascii="Times New Roman" w:hAnsi="Times New Roman" w:cs="Times New Roman"/>
          <w:sz w:val="24"/>
          <w:szCs w:val="24"/>
        </w:rPr>
        <w:t>obmena bielej techniky</w:t>
      </w:r>
    </w:p>
    <w:p w14:paraId="670D8462" w14:textId="6BC71B3C" w:rsidR="009A4A3B" w:rsidRPr="000578FE" w:rsidRDefault="009A4A3B" w:rsidP="007157D7">
      <w:pPr>
        <w:pStyle w:val="Odsekzoznamu"/>
        <w:numPr>
          <w:ilvl w:val="0"/>
          <w:numId w:val="8"/>
        </w:numPr>
        <w:jc w:val="both"/>
        <w:rPr>
          <w:rFonts w:ascii="Times New Roman" w:hAnsi="Times New Roman" w:cs="Times New Roman"/>
          <w:sz w:val="24"/>
          <w:szCs w:val="24"/>
        </w:rPr>
      </w:pPr>
      <w:r w:rsidRPr="000578FE">
        <w:rPr>
          <w:rFonts w:ascii="Times New Roman" w:hAnsi="Times New Roman" w:cs="Times New Roman"/>
          <w:sz w:val="24"/>
          <w:szCs w:val="24"/>
        </w:rPr>
        <w:t>úsporné osvetlenie</w:t>
      </w:r>
    </w:p>
    <w:p w14:paraId="0C9C85D6" w14:textId="56C3480B" w:rsidR="009A4A3B" w:rsidRDefault="009A4A3B" w:rsidP="007157D7">
      <w:pPr>
        <w:pStyle w:val="Odsekzoznamu"/>
        <w:numPr>
          <w:ilvl w:val="0"/>
          <w:numId w:val="8"/>
        </w:numPr>
        <w:jc w:val="both"/>
        <w:rPr>
          <w:rFonts w:ascii="Times New Roman" w:hAnsi="Times New Roman" w:cs="Times New Roman"/>
          <w:sz w:val="24"/>
          <w:szCs w:val="24"/>
        </w:rPr>
      </w:pPr>
      <w:r w:rsidRPr="000578FE">
        <w:rPr>
          <w:rFonts w:ascii="Times New Roman" w:hAnsi="Times New Roman" w:cs="Times New Roman"/>
          <w:sz w:val="24"/>
          <w:szCs w:val="24"/>
        </w:rPr>
        <w:t>obmena zariadení v domácnostiach a</w:t>
      </w:r>
      <w:r w:rsidR="00AC1D7F">
        <w:rPr>
          <w:rFonts w:ascii="Times New Roman" w:hAnsi="Times New Roman" w:cs="Times New Roman"/>
          <w:sz w:val="24"/>
          <w:szCs w:val="24"/>
        </w:rPr>
        <w:t> </w:t>
      </w:r>
      <w:r w:rsidRPr="000578FE">
        <w:rPr>
          <w:rFonts w:ascii="Times New Roman" w:hAnsi="Times New Roman" w:cs="Times New Roman"/>
          <w:sz w:val="24"/>
          <w:szCs w:val="24"/>
        </w:rPr>
        <w:t>kanceláriách</w:t>
      </w:r>
      <w:r w:rsidR="00AC1D7F">
        <w:rPr>
          <w:rFonts w:ascii="Times New Roman" w:hAnsi="Times New Roman" w:cs="Times New Roman"/>
          <w:sz w:val="24"/>
          <w:szCs w:val="24"/>
        </w:rPr>
        <w:t>.</w:t>
      </w:r>
    </w:p>
    <w:p w14:paraId="04CEEEF6" w14:textId="77777777" w:rsidR="00AC1D7F" w:rsidRDefault="00AC1D7F" w:rsidP="000578FE">
      <w:pPr>
        <w:jc w:val="both"/>
        <w:rPr>
          <w:rFonts w:ascii="Times New Roman" w:hAnsi="Times New Roman" w:cs="Times New Roman"/>
          <w:sz w:val="24"/>
          <w:szCs w:val="24"/>
        </w:rPr>
      </w:pPr>
    </w:p>
    <w:p w14:paraId="3227F55F" w14:textId="45B36F5A" w:rsidR="00AC1D7F" w:rsidRPr="000745A8" w:rsidRDefault="00AC1D7F" w:rsidP="00AC1D7F">
      <w:pPr>
        <w:jc w:val="both"/>
        <w:rPr>
          <w:rFonts w:ascii="Times New Roman" w:hAnsi="Times New Roman" w:cs="Times New Roman"/>
          <w:sz w:val="24"/>
          <w:szCs w:val="24"/>
        </w:rPr>
      </w:pPr>
      <w:r w:rsidRPr="000745A8">
        <w:rPr>
          <w:rFonts w:ascii="Times New Roman" w:hAnsi="Times New Roman" w:cs="Times New Roman"/>
          <w:sz w:val="24"/>
          <w:szCs w:val="24"/>
        </w:rPr>
        <w:t xml:space="preserve">V období 2014-2016 pokračovala obmena bielej techniky a sprísňovanie minimálnych technických požiadaviek zo strany EK v rámci stanovenom legislatívou v oblasti ekodizajnu a štítkovania. Realizovali sa aj rôzne informačné kampane pre spotrebiteľov na zatraktívnenie efektívnejších spotrebičov. Pokračovalo monitorovanie úspor bielej techniky pomocou poskytovateľa údajov </w:t>
      </w:r>
      <w:r w:rsidR="00BF12F6" w:rsidRPr="00BF12F6">
        <w:rPr>
          <w:rFonts w:ascii="Times New Roman" w:hAnsi="Times New Roman" w:cs="Times New Roman"/>
          <w:sz w:val="24"/>
          <w:szCs w:val="24"/>
        </w:rPr>
        <w:t xml:space="preserve">Združenia  európskych výrobcov  domácich spotrebičov </w:t>
      </w:r>
      <w:r w:rsidR="00BF12F6">
        <w:rPr>
          <w:rFonts w:ascii="Times New Roman" w:hAnsi="Times New Roman" w:cs="Times New Roman"/>
          <w:sz w:val="24"/>
          <w:szCs w:val="24"/>
        </w:rPr>
        <w:t>(</w:t>
      </w:r>
      <w:r w:rsidRPr="000745A8">
        <w:rPr>
          <w:rFonts w:ascii="Times New Roman" w:hAnsi="Times New Roman" w:cs="Times New Roman"/>
          <w:sz w:val="24"/>
          <w:szCs w:val="24"/>
        </w:rPr>
        <w:t>CECED</w:t>
      </w:r>
      <w:r w:rsidR="00BF12F6">
        <w:rPr>
          <w:rFonts w:ascii="Times New Roman" w:hAnsi="Times New Roman" w:cs="Times New Roman"/>
          <w:sz w:val="24"/>
          <w:szCs w:val="24"/>
        </w:rPr>
        <w:t>)</w:t>
      </w:r>
      <w:r w:rsidRPr="000745A8">
        <w:rPr>
          <w:rFonts w:ascii="Times New Roman" w:hAnsi="Times New Roman" w:cs="Times New Roman"/>
          <w:sz w:val="24"/>
          <w:szCs w:val="24"/>
        </w:rPr>
        <w:t xml:space="preserve">. </w:t>
      </w:r>
    </w:p>
    <w:p w14:paraId="41FD0020" w14:textId="77777777" w:rsidR="00AC1D7F" w:rsidRPr="000745A8" w:rsidRDefault="00AC1D7F" w:rsidP="00AC1D7F">
      <w:pPr>
        <w:jc w:val="both"/>
        <w:rPr>
          <w:rFonts w:ascii="Times New Roman" w:hAnsi="Times New Roman" w:cs="Times New Roman"/>
          <w:sz w:val="24"/>
          <w:szCs w:val="24"/>
        </w:rPr>
      </w:pPr>
      <w:r w:rsidRPr="000745A8">
        <w:rPr>
          <w:rFonts w:ascii="Times New Roman" w:hAnsi="Times New Roman" w:cs="Times New Roman"/>
          <w:sz w:val="24"/>
          <w:szCs w:val="24"/>
        </w:rPr>
        <w:t xml:space="preserve">Najväčšia zmena nastala vo využívaní svietidiel a práve v priebehu týchto troch rokov sa postupne stali štandardom LED svietidlá prakticky pre každú domácnosť.  V rokoch 2010 až 2012 boli LED svietidlá chápané ako „experimentálne“ s neoverenými vlastnosťami ako je spoľahlivosť či životnosť. Po roku 2015 sú vnímané domácnosťami ako trendové riešenie a je plošne aplikovaná výmena halogénových ako aj žiarivkových svietidiel. Žiarivkové svietidlá značne stratili na popularite, nakoľko po krátkej dobe strácali svoju svietivosť.  </w:t>
      </w:r>
    </w:p>
    <w:p w14:paraId="75BD5043" w14:textId="4AD3A50E" w:rsidR="00793FF4" w:rsidRPr="000578FE" w:rsidRDefault="00AC1D7F" w:rsidP="000578FE">
      <w:pPr>
        <w:keepNext/>
        <w:jc w:val="both"/>
        <w:rPr>
          <w:rFonts w:ascii="Times New Roman" w:hAnsi="Times New Roman" w:cs="Times New Roman"/>
          <w:sz w:val="24"/>
          <w:szCs w:val="24"/>
        </w:rPr>
      </w:pPr>
      <w:r w:rsidRPr="000578FE">
        <w:rPr>
          <w:rFonts w:ascii="Times New Roman" w:hAnsi="Times New Roman" w:cs="Times New Roman"/>
          <w:sz w:val="24"/>
          <w:szCs w:val="24"/>
        </w:rPr>
        <w:t>Graf č. 1</w:t>
      </w:r>
      <w:r w:rsidR="00AE42A2">
        <w:rPr>
          <w:rFonts w:ascii="Times New Roman" w:hAnsi="Times New Roman" w:cs="Times New Roman"/>
          <w:sz w:val="24"/>
          <w:szCs w:val="24"/>
        </w:rPr>
        <w:t>1</w:t>
      </w:r>
      <w:r w:rsidRPr="000578FE">
        <w:rPr>
          <w:rFonts w:ascii="Times New Roman" w:hAnsi="Times New Roman" w:cs="Times New Roman"/>
          <w:sz w:val="24"/>
          <w:szCs w:val="24"/>
        </w:rPr>
        <w:t>: Zníženie konečnej energetickej spotreby  v sektore spotrebiče - podiel skupín opatrení na plnení cieľa v rokoch 2014-2016</w:t>
      </w: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4"/>
        <w:gridCol w:w="4868"/>
      </w:tblGrid>
      <w:tr w:rsidR="00FC5292" w:rsidRPr="009F2998" w14:paraId="3E9DE971" w14:textId="77777777" w:rsidTr="000578FE">
        <w:trPr>
          <w:trHeight w:val="3685"/>
        </w:trPr>
        <w:tc>
          <w:tcPr>
            <w:tcW w:w="2317" w:type="pct"/>
          </w:tcPr>
          <w:p w14:paraId="02F56625" w14:textId="6D3448C3" w:rsidR="00FC5292" w:rsidRPr="009F2998" w:rsidRDefault="0094663B" w:rsidP="00EC1727">
            <w:pPr>
              <w:ind w:hanging="108"/>
              <w:jc w:val="center"/>
              <w:rPr>
                <w:rFonts w:ascii="Times New Roman" w:hAnsi="Times New Roman" w:cs="Times New Roman"/>
              </w:rPr>
            </w:pPr>
            <w:r w:rsidRPr="009F2998">
              <w:rPr>
                <w:rFonts w:ascii="Times New Roman" w:hAnsi="Times New Roman" w:cs="Times New Roman"/>
                <w:noProof/>
                <w:lang w:eastAsia="sk-SK"/>
              </w:rPr>
              <w:drawing>
                <wp:inline distT="0" distB="0" distL="0" distR="0" wp14:anchorId="09D85715" wp14:editId="635C66A0">
                  <wp:extent cx="2514600" cy="2114550"/>
                  <wp:effectExtent l="0" t="0" r="0" b="0"/>
                  <wp:docPr id="26" name="Graf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2683" w:type="pct"/>
          </w:tcPr>
          <w:tbl>
            <w:tblPr>
              <w:tblpPr w:leftFromText="141" w:rightFromText="141" w:vertAnchor="page" w:horzAnchor="margin" w:tblpY="496"/>
              <w:tblOverlap w:val="never"/>
              <w:tblW w:w="4200" w:type="dxa"/>
              <w:tblCellMar>
                <w:left w:w="70" w:type="dxa"/>
                <w:right w:w="70" w:type="dxa"/>
              </w:tblCellMar>
              <w:tblLook w:val="04A0" w:firstRow="1" w:lastRow="0" w:firstColumn="1" w:lastColumn="0" w:noHBand="0" w:noVBand="1"/>
            </w:tblPr>
            <w:tblGrid>
              <w:gridCol w:w="500"/>
              <w:gridCol w:w="2902"/>
              <w:gridCol w:w="798"/>
            </w:tblGrid>
            <w:tr w:rsidR="00F577A8" w:rsidRPr="003B6B3A" w14:paraId="67E83615" w14:textId="77777777" w:rsidTr="00317D98">
              <w:trPr>
                <w:trHeight w:val="41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45F5B4" w14:textId="77777777" w:rsidR="00F577A8" w:rsidRPr="004E746F" w:rsidRDefault="00F577A8" w:rsidP="00F577A8">
                  <w:pPr>
                    <w:spacing w:after="0" w:line="240" w:lineRule="auto"/>
                    <w:rPr>
                      <w:rFonts w:ascii="Times New Roman" w:eastAsia="Times New Roman" w:hAnsi="Times New Roman" w:cs="Times New Roman"/>
                      <w:color w:val="000000"/>
                      <w:sz w:val="20"/>
                      <w:szCs w:val="20"/>
                      <w:lang w:eastAsia="sk-SK"/>
                    </w:rPr>
                  </w:pPr>
                  <w:r w:rsidRPr="004E746F">
                    <w:rPr>
                      <w:rFonts w:ascii="Times New Roman" w:eastAsia="Times New Roman" w:hAnsi="Times New Roman" w:cs="Times New Roman"/>
                      <w:color w:val="000000"/>
                      <w:sz w:val="20"/>
                      <w:szCs w:val="20"/>
                      <w:lang w:eastAsia="sk-SK"/>
                    </w:rPr>
                    <w:t> </w:t>
                  </w:r>
                </w:p>
              </w:tc>
              <w:tc>
                <w:tcPr>
                  <w:tcW w:w="2902" w:type="dxa"/>
                  <w:tcBorders>
                    <w:top w:val="single" w:sz="4" w:space="0" w:color="auto"/>
                    <w:left w:val="nil"/>
                    <w:bottom w:val="single" w:sz="4" w:space="0" w:color="auto"/>
                    <w:right w:val="single" w:sz="4" w:space="0" w:color="auto"/>
                  </w:tcBorders>
                  <w:shd w:val="clear" w:color="auto" w:fill="auto"/>
                  <w:noWrap/>
                  <w:vAlign w:val="bottom"/>
                  <w:hideMark/>
                </w:tcPr>
                <w:p w14:paraId="1CEFCAB7" w14:textId="77777777" w:rsidR="00F577A8" w:rsidRPr="003B6B3A" w:rsidRDefault="00F577A8" w:rsidP="00F577A8">
                  <w:pPr>
                    <w:spacing w:after="0" w:line="240" w:lineRule="auto"/>
                    <w:rPr>
                      <w:rFonts w:ascii="Times New Roman" w:eastAsia="Times New Roman" w:hAnsi="Times New Roman" w:cs="Times New Roman"/>
                      <w:color w:val="000000"/>
                      <w:sz w:val="20"/>
                      <w:szCs w:val="20"/>
                      <w:lang w:eastAsia="sk-SK"/>
                    </w:rPr>
                  </w:pPr>
                  <w:r w:rsidRPr="003B6B3A">
                    <w:rPr>
                      <w:rFonts w:ascii="Times New Roman" w:eastAsia="Times New Roman" w:hAnsi="Times New Roman" w:cs="Times New Roman"/>
                      <w:color w:val="000000"/>
                      <w:sz w:val="20"/>
                      <w:szCs w:val="20"/>
                      <w:lang w:eastAsia="sk-SK"/>
                    </w:rPr>
                    <w:t xml:space="preserve">Skupiny opatrení v sektore spotrebiče: </w:t>
                  </w:r>
                </w:p>
              </w:tc>
              <w:tc>
                <w:tcPr>
                  <w:tcW w:w="798" w:type="dxa"/>
                  <w:tcBorders>
                    <w:top w:val="single" w:sz="4" w:space="0" w:color="auto"/>
                    <w:left w:val="nil"/>
                    <w:bottom w:val="single" w:sz="4" w:space="0" w:color="auto"/>
                    <w:right w:val="single" w:sz="4" w:space="0" w:color="auto"/>
                  </w:tcBorders>
                  <w:shd w:val="clear" w:color="auto" w:fill="auto"/>
                  <w:noWrap/>
                  <w:vAlign w:val="bottom"/>
                  <w:hideMark/>
                </w:tcPr>
                <w:p w14:paraId="36409D88" w14:textId="77777777" w:rsidR="00F577A8" w:rsidRPr="003B6B3A" w:rsidRDefault="00F577A8" w:rsidP="00F577A8">
                  <w:pPr>
                    <w:spacing w:after="0" w:line="240" w:lineRule="auto"/>
                    <w:jc w:val="center"/>
                    <w:rPr>
                      <w:rFonts w:ascii="Times New Roman" w:eastAsia="Times New Roman" w:hAnsi="Times New Roman" w:cs="Times New Roman"/>
                      <w:color w:val="000000"/>
                      <w:sz w:val="20"/>
                      <w:szCs w:val="20"/>
                      <w:lang w:eastAsia="sk-SK"/>
                    </w:rPr>
                  </w:pPr>
                  <w:r w:rsidRPr="003B6B3A">
                    <w:rPr>
                      <w:rFonts w:ascii="Times New Roman" w:eastAsia="Times New Roman" w:hAnsi="Times New Roman" w:cs="Times New Roman"/>
                      <w:color w:val="000000"/>
                      <w:sz w:val="20"/>
                      <w:szCs w:val="20"/>
                      <w:lang w:eastAsia="sk-SK"/>
                    </w:rPr>
                    <w:t>Úspora [TJ]</w:t>
                  </w:r>
                </w:p>
              </w:tc>
            </w:tr>
            <w:tr w:rsidR="000B38DB" w:rsidRPr="003B6B3A" w14:paraId="130A5E65" w14:textId="77777777" w:rsidTr="00AF5415">
              <w:trPr>
                <w:trHeight w:val="493"/>
              </w:trPr>
              <w:tc>
                <w:tcPr>
                  <w:tcW w:w="500" w:type="dxa"/>
                  <w:tcBorders>
                    <w:top w:val="nil"/>
                    <w:left w:val="single" w:sz="4" w:space="0" w:color="auto"/>
                    <w:bottom w:val="single" w:sz="4" w:space="0" w:color="auto"/>
                    <w:right w:val="single" w:sz="4" w:space="0" w:color="auto"/>
                  </w:tcBorders>
                  <w:shd w:val="clear" w:color="000000" w:fill="FF7857"/>
                  <w:noWrap/>
                  <w:vAlign w:val="bottom"/>
                  <w:hideMark/>
                </w:tcPr>
                <w:p w14:paraId="526FAF00" w14:textId="77777777" w:rsidR="000B38DB" w:rsidRPr="004E746F" w:rsidRDefault="000B38DB" w:rsidP="000B38DB">
                  <w:pPr>
                    <w:spacing w:after="0" w:line="240" w:lineRule="auto"/>
                    <w:rPr>
                      <w:rFonts w:ascii="Times New Roman" w:eastAsia="Times New Roman" w:hAnsi="Times New Roman" w:cs="Times New Roman"/>
                      <w:color w:val="000000"/>
                      <w:sz w:val="20"/>
                      <w:szCs w:val="20"/>
                      <w:lang w:eastAsia="sk-SK"/>
                    </w:rPr>
                  </w:pPr>
                  <w:r w:rsidRPr="004E746F">
                    <w:rPr>
                      <w:rFonts w:ascii="Times New Roman" w:eastAsia="Times New Roman" w:hAnsi="Times New Roman" w:cs="Times New Roman"/>
                      <w:color w:val="000000"/>
                      <w:sz w:val="20"/>
                      <w:szCs w:val="20"/>
                      <w:lang w:eastAsia="sk-SK"/>
                    </w:rPr>
                    <w:t> </w:t>
                  </w:r>
                </w:p>
              </w:tc>
              <w:tc>
                <w:tcPr>
                  <w:tcW w:w="2902" w:type="dxa"/>
                  <w:tcBorders>
                    <w:top w:val="nil"/>
                    <w:left w:val="nil"/>
                    <w:bottom w:val="single" w:sz="4" w:space="0" w:color="auto"/>
                    <w:right w:val="single" w:sz="4" w:space="0" w:color="auto"/>
                  </w:tcBorders>
                  <w:shd w:val="clear" w:color="auto" w:fill="auto"/>
                  <w:vAlign w:val="center"/>
                  <w:hideMark/>
                </w:tcPr>
                <w:p w14:paraId="21997801" w14:textId="77777777" w:rsidR="000B38DB" w:rsidRPr="003B6B3A" w:rsidRDefault="000B38DB">
                  <w:pPr>
                    <w:spacing w:after="0" w:line="240" w:lineRule="auto"/>
                    <w:rPr>
                      <w:rFonts w:ascii="Times New Roman" w:eastAsia="Times New Roman" w:hAnsi="Times New Roman" w:cs="Times New Roman"/>
                      <w:color w:val="000000"/>
                      <w:sz w:val="20"/>
                      <w:szCs w:val="20"/>
                      <w:lang w:eastAsia="sk-SK"/>
                    </w:rPr>
                  </w:pPr>
                  <w:r w:rsidRPr="003B6B3A">
                    <w:rPr>
                      <w:rFonts w:ascii="Times New Roman" w:eastAsia="Times New Roman" w:hAnsi="Times New Roman" w:cs="Times New Roman"/>
                      <w:color w:val="000000"/>
                      <w:sz w:val="20"/>
                      <w:szCs w:val="20"/>
                      <w:lang w:eastAsia="sk-SK"/>
                    </w:rPr>
                    <w:t>Obmena bielej techniky</w:t>
                  </w:r>
                </w:p>
              </w:tc>
              <w:tc>
                <w:tcPr>
                  <w:tcW w:w="7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9D9283" w14:textId="2CA15194" w:rsidR="000B38DB" w:rsidRPr="000B38DB" w:rsidRDefault="000B38DB">
                  <w:pPr>
                    <w:spacing w:after="0" w:line="240" w:lineRule="auto"/>
                    <w:jc w:val="right"/>
                    <w:rPr>
                      <w:rFonts w:ascii="Times New Roman" w:eastAsia="Times New Roman" w:hAnsi="Times New Roman" w:cs="Times New Roman"/>
                      <w:color w:val="000000"/>
                      <w:sz w:val="20"/>
                      <w:szCs w:val="20"/>
                      <w:lang w:eastAsia="sk-SK"/>
                    </w:rPr>
                  </w:pPr>
                  <w:r w:rsidRPr="00AF5415">
                    <w:rPr>
                      <w:rFonts w:ascii="Times New Roman" w:hAnsi="Times New Roman" w:cs="Times New Roman"/>
                      <w:color w:val="000000"/>
                      <w:sz w:val="20"/>
                      <w:szCs w:val="20"/>
                    </w:rPr>
                    <w:t>497,44</w:t>
                  </w:r>
                </w:p>
              </w:tc>
            </w:tr>
            <w:tr w:rsidR="000B38DB" w:rsidRPr="003B6B3A" w14:paraId="1F043042" w14:textId="77777777" w:rsidTr="00AF5415">
              <w:trPr>
                <w:trHeight w:val="484"/>
              </w:trPr>
              <w:tc>
                <w:tcPr>
                  <w:tcW w:w="500" w:type="dxa"/>
                  <w:tcBorders>
                    <w:top w:val="nil"/>
                    <w:left w:val="single" w:sz="4" w:space="0" w:color="auto"/>
                    <w:bottom w:val="single" w:sz="4" w:space="0" w:color="auto"/>
                    <w:right w:val="single" w:sz="4" w:space="0" w:color="auto"/>
                  </w:tcBorders>
                  <w:shd w:val="clear" w:color="000000" w:fill="FF9933"/>
                  <w:noWrap/>
                  <w:vAlign w:val="bottom"/>
                  <w:hideMark/>
                </w:tcPr>
                <w:p w14:paraId="0FD40204" w14:textId="77777777" w:rsidR="000B38DB" w:rsidRPr="004E746F" w:rsidRDefault="000B38DB" w:rsidP="000B38DB">
                  <w:pPr>
                    <w:spacing w:after="0" w:line="240" w:lineRule="auto"/>
                    <w:rPr>
                      <w:rFonts w:ascii="Times New Roman" w:eastAsia="Times New Roman" w:hAnsi="Times New Roman" w:cs="Times New Roman"/>
                      <w:color w:val="000000"/>
                      <w:sz w:val="20"/>
                      <w:szCs w:val="20"/>
                      <w:lang w:eastAsia="sk-SK"/>
                    </w:rPr>
                  </w:pPr>
                  <w:r w:rsidRPr="004E746F">
                    <w:rPr>
                      <w:rFonts w:ascii="Times New Roman" w:eastAsia="Times New Roman" w:hAnsi="Times New Roman" w:cs="Times New Roman"/>
                      <w:color w:val="000000"/>
                      <w:sz w:val="20"/>
                      <w:szCs w:val="20"/>
                      <w:lang w:eastAsia="sk-SK"/>
                    </w:rPr>
                    <w:t> </w:t>
                  </w:r>
                </w:p>
              </w:tc>
              <w:tc>
                <w:tcPr>
                  <w:tcW w:w="2902" w:type="dxa"/>
                  <w:tcBorders>
                    <w:top w:val="nil"/>
                    <w:left w:val="nil"/>
                    <w:bottom w:val="single" w:sz="4" w:space="0" w:color="auto"/>
                    <w:right w:val="single" w:sz="4" w:space="0" w:color="auto"/>
                  </w:tcBorders>
                  <w:shd w:val="clear" w:color="auto" w:fill="auto"/>
                  <w:vAlign w:val="center"/>
                  <w:hideMark/>
                </w:tcPr>
                <w:p w14:paraId="535E0534" w14:textId="77777777" w:rsidR="000B38DB" w:rsidRPr="003B6B3A" w:rsidRDefault="000B38DB">
                  <w:pPr>
                    <w:spacing w:after="0" w:line="240" w:lineRule="auto"/>
                    <w:rPr>
                      <w:rFonts w:ascii="Times New Roman" w:eastAsia="Times New Roman" w:hAnsi="Times New Roman" w:cs="Times New Roman"/>
                      <w:color w:val="000000"/>
                      <w:sz w:val="20"/>
                      <w:szCs w:val="20"/>
                      <w:lang w:eastAsia="sk-SK"/>
                    </w:rPr>
                  </w:pPr>
                  <w:r w:rsidRPr="003B6B3A">
                    <w:rPr>
                      <w:rFonts w:ascii="Times New Roman" w:eastAsia="Times New Roman" w:hAnsi="Times New Roman" w:cs="Times New Roman"/>
                      <w:color w:val="000000"/>
                      <w:sz w:val="20"/>
                      <w:szCs w:val="20"/>
                      <w:lang w:eastAsia="sk-SK"/>
                    </w:rPr>
                    <w:t>Úsporné osvetlenie</w:t>
                  </w:r>
                </w:p>
              </w:tc>
              <w:tc>
                <w:tcPr>
                  <w:tcW w:w="798" w:type="dxa"/>
                  <w:tcBorders>
                    <w:top w:val="nil"/>
                    <w:left w:val="single" w:sz="4" w:space="0" w:color="auto"/>
                    <w:bottom w:val="single" w:sz="4" w:space="0" w:color="auto"/>
                    <w:right w:val="single" w:sz="4" w:space="0" w:color="auto"/>
                  </w:tcBorders>
                  <w:shd w:val="clear" w:color="auto" w:fill="auto"/>
                  <w:noWrap/>
                  <w:vAlign w:val="center"/>
                </w:tcPr>
                <w:p w14:paraId="58FA8D1B" w14:textId="2280B966" w:rsidR="000B38DB" w:rsidRPr="000B38DB" w:rsidRDefault="000B38DB">
                  <w:pPr>
                    <w:spacing w:after="0" w:line="240" w:lineRule="auto"/>
                    <w:jc w:val="right"/>
                    <w:rPr>
                      <w:rFonts w:ascii="Times New Roman" w:eastAsia="Times New Roman" w:hAnsi="Times New Roman" w:cs="Times New Roman"/>
                      <w:color w:val="000000"/>
                      <w:sz w:val="20"/>
                      <w:szCs w:val="20"/>
                      <w:lang w:eastAsia="sk-SK"/>
                    </w:rPr>
                  </w:pPr>
                  <w:r w:rsidRPr="00AF5415">
                    <w:rPr>
                      <w:rFonts w:ascii="Times New Roman" w:hAnsi="Times New Roman" w:cs="Times New Roman"/>
                      <w:color w:val="000000"/>
                      <w:sz w:val="20"/>
                      <w:szCs w:val="20"/>
                    </w:rPr>
                    <w:t>72,33</w:t>
                  </w:r>
                </w:p>
              </w:tc>
            </w:tr>
            <w:tr w:rsidR="000B38DB" w:rsidRPr="003B6B3A" w14:paraId="686BD1EF" w14:textId="77777777" w:rsidTr="00AF5415">
              <w:trPr>
                <w:trHeight w:val="426"/>
              </w:trPr>
              <w:tc>
                <w:tcPr>
                  <w:tcW w:w="500" w:type="dxa"/>
                  <w:tcBorders>
                    <w:top w:val="nil"/>
                    <w:left w:val="single" w:sz="4" w:space="0" w:color="auto"/>
                    <w:bottom w:val="single" w:sz="4" w:space="0" w:color="auto"/>
                    <w:right w:val="single" w:sz="4" w:space="0" w:color="auto"/>
                  </w:tcBorders>
                  <w:shd w:val="clear" w:color="000000" w:fill="FFCC00"/>
                  <w:noWrap/>
                  <w:vAlign w:val="bottom"/>
                  <w:hideMark/>
                </w:tcPr>
                <w:p w14:paraId="7EBC1995" w14:textId="77777777" w:rsidR="000B38DB" w:rsidRPr="004E746F" w:rsidRDefault="000B38DB" w:rsidP="000B38DB">
                  <w:pPr>
                    <w:spacing w:after="0" w:line="240" w:lineRule="auto"/>
                    <w:rPr>
                      <w:rFonts w:ascii="Times New Roman" w:eastAsia="Times New Roman" w:hAnsi="Times New Roman" w:cs="Times New Roman"/>
                      <w:color w:val="000000"/>
                      <w:sz w:val="20"/>
                      <w:szCs w:val="20"/>
                      <w:lang w:eastAsia="sk-SK"/>
                    </w:rPr>
                  </w:pPr>
                  <w:r w:rsidRPr="004E746F">
                    <w:rPr>
                      <w:rFonts w:ascii="Times New Roman" w:eastAsia="Times New Roman" w:hAnsi="Times New Roman" w:cs="Times New Roman"/>
                      <w:color w:val="000000"/>
                      <w:sz w:val="20"/>
                      <w:szCs w:val="20"/>
                      <w:lang w:eastAsia="sk-SK"/>
                    </w:rPr>
                    <w:t> </w:t>
                  </w:r>
                </w:p>
              </w:tc>
              <w:tc>
                <w:tcPr>
                  <w:tcW w:w="2902" w:type="dxa"/>
                  <w:tcBorders>
                    <w:top w:val="nil"/>
                    <w:left w:val="nil"/>
                    <w:bottom w:val="single" w:sz="4" w:space="0" w:color="auto"/>
                    <w:right w:val="single" w:sz="4" w:space="0" w:color="auto"/>
                  </w:tcBorders>
                  <w:shd w:val="clear" w:color="auto" w:fill="auto"/>
                  <w:vAlign w:val="center"/>
                  <w:hideMark/>
                </w:tcPr>
                <w:p w14:paraId="112E5F85" w14:textId="77777777" w:rsidR="000B38DB" w:rsidRPr="003B6B3A" w:rsidRDefault="000B38DB">
                  <w:pPr>
                    <w:spacing w:after="0" w:line="240" w:lineRule="auto"/>
                    <w:rPr>
                      <w:rFonts w:ascii="Times New Roman" w:eastAsia="Times New Roman" w:hAnsi="Times New Roman" w:cs="Times New Roman"/>
                      <w:color w:val="000000"/>
                      <w:sz w:val="20"/>
                      <w:szCs w:val="20"/>
                      <w:lang w:eastAsia="sk-SK"/>
                    </w:rPr>
                  </w:pPr>
                  <w:r w:rsidRPr="003B6B3A">
                    <w:rPr>
                      <w:rFonts w:ascii="Times New Roman" w:eastAsia="Times New Roman" w:hAnsi="Times New Roman" w:cs="Times New Roman"/>
                      <w:color w:val="000000"/>
                      <w:sz w:val="20"/>
                      <w:szCs w:val="20"/>
                      <w:lang w:eastAsia="sk-SK"/>
                    </w:rPr>
                    <w:t>Obmena zariadení v domácnostiach a kanceláriách</w:t>
                  </w:r>
                </w:p>
              </w:tc>
              <w:tc>
                <w:tcPr>
                  <w:tcW w:w="798" w:type="dxa"/>
                  <w:tcBorders>
                    <w:top w:val="nil"/>
                    <w:left w:val="single" w:sz="4" w:space="0" w:color="auto"/>
                    <w:bottom w:val="single" w:sz="4" w:space="0" w:color="auto"/>
                    <w:right w:val="single" w:sz="4" w:space="0" w:color="auto"/>
                  </w:tcBorders>
                  <w:shd w:val="clear" w:color="auto" w:fill="auto"/>
                  <w:noWrap/>
                  <w:vAlign w:val="center"/>
                </w:tcPr>
                <w:p w14:paraId="3B13247E" w14:textId="24076244" w:rsidR="000B38DB" w:rsidRPr="000B38DB" w:rsidRDefault="000B38DB">
                  <w:pPr>
                    <w:spacing w:after="0" w:line="240" w:lineRule="auto"/>
                    <w:jc w:val="right"/>
                    <w:rPr>
                      <w:rFonts w:ascii="Times New Roman" w:eastAsia="Times New Roman" w:hAnsi="Times New Roman" w:cs="Times New Roman"/>
                      <w:color w:val="000000"/>
                      <w:sz w:val="20"/>
                      <w:szCs w:val="20"/>
                      <w:lang w:eastAsia="sk-SK"/>
                    </w:rPr>
                  </w:pPr>
                  <w:r w:rsidRPr="00AF5415">
                    <w:rPr>
                      <w:rFonts w:ascii="Times New Roman" w:hAnsi="Times New Roman" w:cs="Times New Roman"/>
                      <w:color w:val="000000"/>
                      <w:sz w:val="20"/>
                      <w:szCs w:val="20"/>
                    </w:rPr>
                    <w:t>0,00</w:t>
                  </w:r>
                </w:p>
              </w:tc>
            </w:tr>
            <w:tr w:rsidR="000B38DB" w:rsidRPr="003B6B3A" w14:paraId="087B0D51" w14:textId="77777777" w:rsidTr="00AF5415">
              <w:trPr>
                <w:trHeight w:val="357"/>
              </w:trPr>
              <w:tc>
                <w:tcPr>
                  <w:tcW w:w="500" w:type="dxa"/>
                  <w:tcBorders>
                    <w:top w:val="nil"/>
                    <w:left w:val="nil"/>
                    <w:bottom w:val="nil"/>
                    <w:right w:val="nil"/>
                  </w:tcBorders>
                  <w:shd w:val="clear" w:color="auto" w:fill="auto"/>
                  <w:noWrap/>
                  <w:vAlign w:val="bottom"/>
                  <w:hideMark/>
                </w:tcPr>
                <w:p w14:paraId="0B61A7B4" w14:textId="77777777" w:rsidR="000B38DB" w:rsidRPr="003B6B3A" w:rsidRDefault="000B38DB" w:rsidP="000B38DB">
                  <w:pPr>
                    <w:spacing w:after="0" w:line="240" w:lineRule="auto"/>
                    <w:jc w:val="right"/>
                    <w:rPr>
                      <w:rFonts w:ascii="Times New Roman" w:eastAsia="Times New Roman" w:hAnsi="Times New Roman" w:cs="Times New Roman"/>
                      <w:color w:val="000000"/>
                      <w:sz w:val="20"/>
                      <w:szCs w:val="20"/>
                      <w:lang w:eastAsia="sk-SK"/>
                    </w:rPr>
                  </w:pPr>
                </w:p>
              </w:tc>
              <w:tc>
                <w:tcPr>
                  <w:tcW w:w="2902" w:type="dxa"/>
                  <w:tcBorders>
                    <w:top w:val="nil"/>
                    <w:left w:val="single" w:sz="4" w:space="0" w:color="auto"/>
                    <w:bottom w:val="single" w:sz="4" w:space="0" w:color="auto"/>
                    <w:right w:val="single" w:sz="4" w:space="0" w:color="auto"/>
                  </w:tcBorders>
                  <w:shd w:val="clear" w:color="auto" w:fill="auto"/>
                  <w:vAlign w:val="center"/>
                  <w:hideMark/>
                </w:tcPr>
                <w:p w14:paraId="3C6B4AC1" w14:textId="77777777" w:rsidR="000B38DB" w:rsidRPr="003B6B3A" w:rsidRDefault="000B38DB">
                  <w:pPr>
                    <w:spacing w:after="0" w:line="240" w:lineRule="auto"/>
                    <w:rPr>
                      <w:rFonts w:ascii="Times New Roman" w:eastAsia="Times New Roman" w:hAnsi="Times New Roman" w:cs="Times New Roman"/>
                      <w:b/>
                      <w:color w:val="000000"/>
                      <w:sz w:val="20"/>
                      <w:szCs w:val="20"/>
                      <w:lang w:eastAsia="sk-SK"/>
                    </w:rPr>
                  </w:pPr>
                  <w:r w:rsidRPr="003B6B3A">
                    <w:rPr>
                      <w:rFonts w:ascii="Times New Roman" w:eastAsia="Times New Roman" w:hAnsi="Times New Roman" w:cs="Times New Roman"/>
                      <w:b/>
                      <w:color w:val="000000"/>
                      <w:sz w:val="20"/>
                      <w:szCs w:val="20"/>
                      <w:lang w:eastAsia="sk-SK"/>
                    </w:rPr>
                    <w:t>Spolu:</w:t>
                  </w:r>
                </w:p>
              </w:tc>
              <w:tc>
                <w:tcPr>
                  <w:tcW w:w="798" w:type="dxa"/>
                  <w:tcBorders>
                    <w:top w:val="nil"/>
                    <w:left w:val="single" w:sz="4" w:space="0" w:color="auto"/>
                    <w:bottom w:val="single" w:sz="4" w:space="0" w:color="auto"/>
                    <w:right w:val="single" w:sz="4" w:space="0" w:color="auto"/>
                  </w:tcBorders>
                  <w:shd w:val="clear" w:color="auto" w:fill="auto"/>
                  <w:noWrap/>
                  <w:vAlign w:val="center"/>
                </w:tcPr>
                <w:p w14:paraId="7B1FA7F3" w14:textId="42884910" w:rsidR="000B38DB" w:rsidRPr="000B38DB" w:rsidRDefault="000B38DB">
                  <w:pPr>
                    <w:spacing w:after="0" w:line="240" w:lineRule="auto"/>
                    <w:jc w:val="right"/>
                    <w:rPr>
                      <w:rFonts w:ascii="Times New Roman" w:eastAsia="Times New Roman" w:hAnsi="Times New Roman" w:cs="Times New Roman"/>
                      <w:b/>
                      <w:bCs/>
                      <w:color w:val="000000"/>
                      <w:sz w:val="20"/>
                      <w:szCs w:val="20"/>
                      <w:lang w:eastAsia="sk-SK"/>
                    </w:rPr>
                  </w:pPr>
                  <w:r w:rsidRPr="00AF5415">
                    <w:rPr>
                      <w:rFonts w:ascii="Times New Roman" w:hAnsi="Times New Roman" w:cs="Times New Roman"/>
                      <w:b/>
                      <w:bCs/>
                      <w:color w:val="000000"/>
                      <w:sz w:val="20"/>
                      <w:szCs w:val="20"/>
                    </w:rPr>
                    <w:t>569,77</w:t>
                  </w:r>
                </w:p>
              </w:tc>
            </w:tr>
          </w:tbl>
          <w:p w14:paraId="1B5C4A5F" w14:textId="77777777" w:rsidR="00FC5292" w:rsidRPr="009F2998" w:rsidRDefault="00FC5292" w:rsidP="007329CB">
            <w:pPr>
              <w:jc w:val="both"/>
              <w:rPr>
                <w:rFonts w:ascii="Times New Roman" w:hAnsi="Times New Roman" w:cs="Times New Roman"/>
              </w:rPr>
            </w:pPr>
          </w:p>
        </w:tc>
      </w:tr>
    </w:tbl>
    <w:p w14:paraId="37A5CDD4" w14:textId="77777777" w:rsidR="00647C09" w:rsidRPr="009F2998" w:rsidRDefault="00647C09" w:rsidP="00793FF4">
      <w:pPr>
        <w:jc w:val="center"/>
        <w:rPr>
          <w:rFonts w:ascii="Times New Roman" w:hAnsi="Times New Roman" w:cs="Times New Roman"/>
        </w:rPr>
      </w:pPr>
    </w:p>
    <w:p w14:paraId="5DB3EE5E" w14:textId="7C241A58" w:rsidR="005B589E" w:rsidRPr="000745A8" w:rsidRDefault="00647C09" w:rsidP="00647C09">
      <w:pPr>
        <w:jc w:val="both"/>
        <w:rPr>
          <w:rFonts w:ascii="Times New Roman" w:hAnsi="Times New Roman" w:cs="Times New Roman"/>
          <w:sz w:val="24"/>
          <w:szCs w:val="24"/>
        </w:rPr>
      </w:pPr>
      <w:r w:rsidRPr="000745A8">
        <w:rPr>
          <w:rFonts w:ascii="Times New Roman" w:hAnsi="Times New Roman" w:cs="Times New Roman"/>
          <w:sz w:val="24"/>
          <w:szCs w:val="24"/>
        </w:rPr>
        <w:t xml:space="preserve">Obmena elektrických a elektronických zariadení v domácnostiach nezahŕňa úsporné svietidlá ani bielu techniku. V období po roku 2014 sa stalo trendom vymieňať klasické (stacionárne) PC </w:t>
      </w:r>
      <w:r w:rsidR="00087249" w:rsidRPr="000745A8">
        <w:rPr>
          <w:rFonts w:ascii="Times New Roman" w:hAnsi="Times New Roman" w:cs="Times New Roman"/>
          <w:sz w:val="24"/>
          <w:szCs w:val="24"/>
        </w:rPr>
        <w:t>s</w:t>
      </w:r>
      <w:r w:rsidRPr="000745A8">
        <w:rPr>
          <w:rFonts w:ascii="Times New Roman" w:hAnsi="Times New Roman" w:cs="Times New Roman"/>
          <w:sz w:val="24"/>
          <w:szCs w:val="24"/>
        </w:rPr>
        <w:t xml:space="preserve"> výkonmi zdrojov zvyčajne 350-650 Watt za notebooky s výkonmi adaptérov 50-100 Watt. Nastal výrazne vyšší predaj mobilných počítačov (notebooky, ultrabooky, tablety a pod.) ako dovtedy a zároveň nižší predaj klasických PC. Výnimkou zostali iba hráčske PC s vysokými grafickými parametrami. </w:t>
      </w:r>
      <w:r w:rsidR="00FD714A" w:rsidRPr="000745A8">
        <w:rPr>
          <w:rFonts w:ascii="Times New Roman" w:hAnsi="Times New Roman" w:cs="Times New Roman"/>
          <w:sz w:val="24"/>
          <w:szCs w:val="24"/>
        </w:rPr>
        <w:t>V</w:t>
      </w:r>
      <w:r w:rsidRPr="000745A8">
        <w:rPr>
          <w:rFonts w:ascii="Times New Roman" w:hAnsi="Times New Roman" w:cs="Times New Roman"/>
          <w:sz w:val="24"/>
          <w:szCs w:val="24"/>
        </w:rPr>
        <w:t xml:space="preserve"> období od roku 2014 do roku 2016 </w:t>
      </w:r>
      <w:r w:rsidR="00FD714A" w:rsidRPr="000745A8">
        <w:rPr>
          <w:rFonts w:ascii="Times New Roman" w:hAnsi="Times New Roman" w:cs="Times New Roman"/>
          <w:sz w:val="24"/>
          <w:szCs w:val="24"/>
        </w:rPr>
        <w:t xml:space="preserve">však </w:t>
      </w:r>
      <w:r w:rsidRPr="000745A8">
        <w:rPr>
          <w:rFonts w:ascii="Times New Roman" w:hAnsi="Times New Roman" w:cs="Times New Roman"/>
          <w:sz w:val="24"/>
          <w:szCs w:val="24"/>
        </w:rPr>
        <w:t xml:space="preserve">neboli dostupné dostatočné údaje pre vyhodnotenie úspor obmenou </w:t>
      </w:r>
      <w:r w:rsidR="00FD714A" w:rsidRPr="000745A8">
        <w:rPr>
          <w:rFonts w:ascii="Times New Roman" w:hAnsi="Times New Roman" w:cs="Times New Roman"/>
          <w:sz w:val="24"/>
          <w:szCs w:val="24"/>
        </w:rPr>
        <w:t xml:space="preserve">uvedených </w:t>
      </w:r>
      <w:r w:rsidRPr="000745A8">
        <w:rPr>
          <w:rFonts w:ascii="Times New Roman" w:hAnsi="Times New Roman" w:cs="Times New Roman"/>
          <w:sz w:val="24"/>
          <w:szCs w:val="24"/>
        </w:rPr>
        <w:t xml:space="preserve">zariadení.  </w:t>
      </w:r>
    </w:p>
    <w:p w14:paraId="45404CA0" w14:textId="4C75F59F" w:rsidR="0070005B" w:rsidRDefault="005B589E" w:rsidP="000578FE">
      <w:pPr>
        <w:jc w:val="both"/>
        <w:rPr>
          <w:rFonts w:ascii="Times New Roman" w:hAnsi="Times New Roman" w:cs="Times New Roman"/>
          <w:sz w:val="24"/>
          <w:szCs w:val="24"/>
        </w:rPr>
      </w:pPr>
      <w:r w:rsidRPr="000745A8">
        <w:rPr>
          <w:rFonts w:ascii="Times New Roman" w:hAnsi="Times New Roman" w:cs="Times New Roman"/>
          <w:sz w:val="24"/>
          <w:szCs w:val="24"/>
        </w:rPr>
        <w:t xml:space="preserve">Obmenu kancelárskych zariadení nebolo možné v sledovanom období monitorovať. Napriek zavedeniu štatútu tzv. Zeleného </w:t>
      </w:r>
      <w:r w:rsidR="00FD714A" w:rsidRPr="000745A8">
        <w:rPr>
          <w:rFonts w:ascii="Times New Roman" w:hAnsi="Times New Roman" w:cs="Times New Roman"/>
          <w:sz w:val="24"/>
          <w:szCs w:val="24"/>
        </w:rPr>
        <w:t xml:space="preserve">verejného </w:t>
      </w:r>
      <w:r w:rsidRPr="000745A8">
        <w:rPr>
          <w:rFonts w:ascii="Times New Roman" w:hAnsi="Times New Roman" w:cs="Times New Roman"/>
          <w:sz w:val="24"/>
          <w:szCs w:val="24"/>
        </w:rPr>
        <w:t>obstarávania nebolo možné vyčísliť úsporu konečnej energetickej s</w:t>
      </w:r>
      <w:r w:rsidR="00160590" w:rsidRPr="000745A8">
        <w:rPr>
          <w:rFonts w:ascii="Times New Roman" w:hAnsi="Times New Roman" w:cs="Times New Roman"/>
          <w:sz w:val="24"/>
          <w:szCs w:val="24"/>
        </w:rPr>
        <w:t>potreby. Údaje poskytnuté</w:t>
      </w:r>
      <w:r w:rsidRPr="000745A8">
        <w:rPr>
          <w:rFonts w:ascii="Times New Roman" w:hAnsi="Times New Roman" w:cs="Times New Roman"/>
          <w:sz w:val="24"/>
          <w:szCs w:val="24"/>
        </w:rPr>
        <w:t xml:space="preserve"> </w:t>
      </w:r>
      <w:r w:rsidR="00BF12F6" w:rsidRPr="00BF12F6">
        <w:rPr>
          <w:rFonts w:ascii="Times New Roman" w:hAnsi="Times New Roman" w:cs="Times New Roman"/>
          <w:sz w:val="24"/>
          <w:szCs w:val="24"/>
        </w:rPr>
        <w:t xml:space="preserve">Slovenskou agentúrou životného prostredia </w:t>
      </w:r>
      <w:r w:rsidR="00BF12F6">
        <w:rPr>
          <w:rFonts w:ascii="Times New Roman" w:hAnsi="Times New Roman" w:cs="Times New Roman"/>
          <w:sz w:val="24"/>
          <w:szCs w:val="24"/>
        </w:rPr>
        <w:t>(</w:t>
      </w:r>
      <w:r w:rsidR="00160590" w:rsidRPr="000745A8">
        <w:rPr>
          <w:rFonts w:ascii="Times New Roman" w:hAnsi="Times New Roman" w:cs="Times New Roman"/>
          <w:sz w:val="24"/>
          <w:szCs w:val="24"/>
        </w:rPr>
        <w:t>SAŽP</w:t>
      </w:r>
      <w:r w:rsidR="00BF12F6">
        <w:rPr>
          <w:rFonts w:ascii="Times New Roman" w:hAnsi="Times New Roman" w:cs="Times New Roman"/>
          <w:sz w:val="24"/>
          <w:szCs w:val="24"/>
        </w:rPr>
        <w:t xml:space="preserve">) </w:t>
      </w:r>
      <w:r w:rsidRPr="000745A8">
        <w:rPr>
          <w:rFonts w:ascii="Times New Roman" w:hAnsi="Times New Roman" w:cs="Times New Roman"/>
          <w:sz w:val="24"/>
          <w:szCs w:val="24"/>
        </w:rPr>
        <w:t xml:space="preserve">neobsahujú relevantné hodnoty úspor. </w:t>
      </w:r>
      <w:r w:rsidR="0057589A" w:rsidRPr="000745A8">
        <w:rPr>
          <w:rFonts w:ascii="Times New Roman" w:hAnsi="Times New Roman" w:cs="Times New Roman"/>
          <w:sz w:val="24"/>
          <w:szCs w:val="24"/>
        </w:rPr>
        <w:t>Ďalším</w:t>
      </w:r>
      <w:r w:rsidRPr="000745A8">
        <w:rPr>
          <w:rFonts w:ascii="Times New Roman" w:hAnsi="Times New Roman" w:cs="Times New Roman"/>
          <w:sz w:val="24"/>
          <w:szCs w:val="24"/>
        </w:rPr>
        <w:t xml:space="preserve"> faktom zostáva, že povinnosť poskytnutia údajov</w:t>
      </w:r>
      <w:r w:rsidR="005E0010" w:rsidRPr="000745A8">
        <w:rPr>
          <w:rFonts w:ascii="Times New Roman" w:hAnsi="Times New Roman" w:cs="Times New Roman"/>
          <w:sz w:val="24"/>
          <w:szCs w:val="24"/>
        </w:rPr>
        <w:t xml:space="preserve">, ktorá vyplýva rezortom z uznesenia vlády č. </w:t>
      </w:r>
      <w:r w:rsidR="008C65CB" w:rsidRPr="000745A8">
        <w:rPr>
          <w:rFonts w:ascii="Times New Roman" w:hAnsi="Times New Roman" w:cs="Times New Roman"/>
          <w:sz w:val="24"/>
          <w:szCs w:val="24"/>
        </w:rPr>
        <w:t>398/2014</w:t>
      </w:r>
      <w:r w:rsidR="005E0010" w:rsidRPr="000745A8">
        <w:rPr>
          <w:rFonts w:ascii="Times New Roman" w:hAnsi="Times New Roman" w:cs="Times New Roman"/>
          <w:sz w:val="24"/>
          <w:szCs w:val="24"/>
        </w:rPr>
        <w:t xml:space="preserve"> k zákonu č.</w:t>
      </w:r>
      <w:r w:rsidR="00DE2381" w:rsidRPr="000745A8">
        <w:rPr>
          <w:rFonts w:ascii="Times New Roman" w:hAnsi="Times New Roman" w:cs="Times New Roman"/>
          <w:sz w:val="24"/>
          <w:szCs w:val="24"/>
        </w:rPr>
        <w:t> </w:t>
      </w:r>
      <w:r w:rsidR="005E0010" w:rsidRPr="000745A8">
        <w:rPr>
          <w:rFonts w:ascii="Times New Roman" w:hAnsi="Times New Roman" w:cs="Times New Roman"/>
          <w:sz w:val="24"/>
          <w:szCs w:val="24"/>
        </w:rPr>
        <w:t xml:space="preserve">321/2014 Z. z., platí </w:t>
      </w:r>
      <w:r w:rsidRPr="000745A8">
        <w:rPr>
          <w:rFonts w:ascii="Times New Roman" w:hAnsi="Times New Roman" w:cs="Times New Roman"/>
          <w:sz w:val="24"/>
          <w:szCs w:val="24"/>
        </w:rPr>
        <w:t>len v prípade nadlimitného obstarávania. N</w:t>
      </w:r>
      <w:r w:rsidR="0057589A" w:rsidRPr="000745A8">
        <w:rPr>
          <w:rFonts w:ascii="Times New Roman" w:hAnsi="Times New Roman" w:cs="Times New Roman"/>
          <w:sz w:val="24"/>
          <w:szCs w:val="24"/>
        </w:rPr>
        <w:t>á</w:t>
      </w:r>
      <w:r w:rsidRPr="000745A8">
        <w:rPr>
          <w:rFonts w:ascii="Times New Roman" w:hAnsi="Times New Roman" w:cs="Times New Roman"/>
          <w:sz w:val="24"/>
          <w:szCs w:val="24"/>
        </w:rPr>
        <w:t>kup kancelárskej techniky je v praxi spravidla podlimitné obstarávanie, teda väčšina nákupov kancelárskych zariadení nespadá do mechanizmu poskytovania údajov</w:t>
      </w:r>
      <w:r w:rsidR="0057589A" w:rsidRPr="000745A8">
        <w:rPr>
          <w:rFonts w:ascii="Times New Roman" w:hAnsi="Times New Roman" w:cs="Times New Roman"/>
          <w:sz w:val="24"/>
          <w:szCs w:val="24"/>
        </w:rPr>
        <w:t xml:space="preserve"> o zelenom </w:t>
      </w:r>
      <w:r w:rsidR="00FD714A" w:rsidRPr="000745A8">
        <w:rPr>
          <w:rFonts w:ascii="Times New Roman" w:hAnsi="Times New Roman" w:cs="Times New Roman"/>
          <w:sz w:val="24"/>
          <w:szCs w:val="24"/>
        </w:rPr>
        <w:t xml:space="preserve">verejnom </w:t>
      </w:r>
      <w:r w:rsidR="0057589A" w:rsidRPr="000745A8">
        <w:rPr>
          <w:rFonts w:ascii="Times New Roman" w:hAnsi="Times New Roman" w:cs="Times New Roman"/>
          <w:sz w:val="24"/>
          <w:szCs w:val="24"/>
        </w:rPr>
        <w:t xml:space="preserve">obstarávaní. </w:t>
      </w:r>
    </w:p>
    <w:p w14:paraId="0264DDC8" w14:textId="585164AF" w:rsidR="00CB1B49" w:rsidRDefault="00CB1B49">
      <w:pPr>
        <w:rPr>
          <w:rFonts w:ascii="Times New Roman" w:hAnsi="Times New Roman" w:cs="Times New Roman"/>
          <w:sz w:val="24"/>
          <w:szCs w:val="24"/>
        </w:rPr>
      </w:pPr>
      <w:r>
        <w:rPr>
          <w:rFonts w:ascii="Times New Roman" w:hAnsi="Times New Roman" w:cs="Times New Roman"/>
          <w:sz w:val="24"/>
          <w:szCs w:val="24"/>
        </w:rPr>
        <w:br w:type="page"/>
      </w:r>
    </w:p>
    <w:p w14:paraId="7FEFAF04" w14:textId="0FDF6B36" w:rsidR="0070005B" w:rsidRPr="005F7B58" w:rsidRDefault="0070005B" w:rsidP="005F7B58">
      <w:pPr>
        <w:pStyle w:val="Nadpis2"/>
        <w:numPr>
          <w:ilvl w:val="1"/>
          <w:numId w:val="47"/>
        </w:numPr>
        <w:rPr>
          <w:rFonts w:ascii="Times New Roman" w:hAnsi="Times New Roman" w:cs="Times New Roman"/>
          <w:color w:val="auto"/>
        </w:rPr>
      </w:pPr>
      <w:bookmarkStart w:id="55" w:name="_Toc480547236"/>
      <w:r w:rsidRPr="005F7B58">
        <w:rPr>
          <w:rFonts w:ascii="Times New Roman" w:hAnsi="Times New Roman" w:cs="Times New Roman"/>
          <w:color w:val="auto"/>
        </w:rPr>
        <w:lastRenderedPageBreak/>
        <w:t>Opatrenia na strane premeny, prenosu a distribúcie energie</w:t>
      </w:r>
      <w:bookmarkEnd w:id="55"/>
    </w:p>
    <w:p w14:paraId="291A1847" w14:textId="77777777" w:rsidR="0070005B" w:rsidRPr="009F2998" w:rsidRDefault="0070005B" w:rsidP="0070005B">
      <w:pPr>
        <w:jc w:val="both"/>
        <w:rPr>
          <w:rFonts w:ascii="Times New Roman" w:hAnsi="Times New Roman" w:cs="Times New Roman"/>
        </w:rPr>
      </w:pPr>
    </w:p>
    <w:p w14:paraId="19E67BE1" w14:textId="77777777" w:rsidR="00EA4F55" w:rsidRDefault="0070005B" w:rsidP="00FB5BD5">
      <w:pPr>
        <w:jc w:val="both"/>
        <w:rPr>
          <w:rFonts w:ascii="Times New Roman" w:hAnsi="Times New Roman" w:cs="Times New Roman"/>
          <w:sz w:val="24"/>
          <w:szCs w:val="24"/>
        </w:rPr>
      </w:pPr>
      <w:r w:rsidRPr="000745A8">
        <w:rPr>
          <w:rFonts w:ascii="Times New Roman" w:hAnsi="Times New Roman" w:cs="Times New Roman"/>
          <w:sz w:val="24"/>
          <w:szCs w:val="24"/>
        </w:rPr>
        <w:t>K úsporám energie prispeli opatrenia financované z OP KaHR, ktoré čiastočne modifikované pokračujú v novom programovom období 2014-2020 v OP KŽP a sú zamerané na výstavbu, rekonštrukciu a modernizáciu rozvodov tepla ako aj na výstavbu, rekonštrukciu a modernizáciu zariadení na výrobu elektriny a tepla vysoko účinnou kombinovanou výrobou s maximálnym tepelným príkonom do 20 MW. Cieľom bolo prispôsobiť výrobu a dodávku tepla potrebe využiteľného tepla, ktorá sa v dôsledku postupnej realizácie opatrení na úsporu energie na strane spotreby postupne znižuje. Optimalizáciou výroby, distribúcie a spotreby tepla s dôrazom na využívanie vysoko účinnej kombinovanej výroby elektriny a tepla je možné prispieť k zníženiu primárnych energetických zdrojov a rozvoju účinných systémov CZT.</w:t>
      </w:r>
      <w:r w:rsidR="00EA4F55">
        <w:rPr>
          <w:rFonts w:ascii="Times New Roman" w:hAnsi="Times New Roman" w:cs="Times New Roman"/>
          <w:sz w:val="24"/>
          <w:szCs w:val="24"/>
        </w:rPr>
        <w:t xml:space="preserve"> </w:t>
      </w:r>
    </w:p>
    <w:p w14:paraId="16FBDAC3" w14:textId="5E6EBBF0" w:rsidR="00FB5BD5" w:rsidRPr="000745A8" w:rsidRDefault="00911B2D" w:rsidP="00FB5BD5">
      <w:pPr>
        <w:jc w:val="both"/>
        <w:rPr>
          <w:rFonts w:ascii="Times New Roman" w:hAnsi="Times New Roman" w:cs="Times New Roman"/>
          <w:sz w:val="24"/>
          <w:szCs w:val="24"/>
        </w:rPr>
      </w:pPr>
      <w:bookmarkStart w:id="56" w:name="_Toc473638119"/>
      <w:bookmarkEnd w:id="56"/>
      <w:r>
        <w:rPr>
          <w:rFonts w:ascii="Times New Roman" w:hAnsi="Times New Roman" w:cs="Times New Roman"/>
          <w:sz w:val="24"/>
          <w:szCs w:val="24"/>
        </w:rPr>
        <w:t xml:space="preserve">Významný prínos v rámci úspor energie sa preukázal aj v oblasti prepravy a distribúcie plynu, kde v sledovanom období došlo k značnému zníženiu vlastnej spotreby. </w:t>
      </w:r>
    </w:p>
    <w:p w14:paraId="60953333" w14:textId="3715D894" w:rsidR="00C61956" w:rsidRPr="000745A8" w:rsidRDefault="00C61956" w:rsidP="00C61956">
      <w:pPr>
        <w:jc w:val="both"/>
        <w:rPr>
          <w:rFonts w:ascii="Times New Roman" w:hAnsi="Times New Roman" w:cs="Times New Roman"/>
          <w:sz w:val="24"/>
          <w:szCs w:val="24"/>
        </w:rPr>
      </w:pPr>
      <w:r w:rsidRPr="000745A8">
        <w:rPr>
          <w:rFonts w:ascii="Times New Roman" w:hAnsi="Times New Roman" w:cs="Times New Roman"/>
          <w:sz w:val="24"/>
          <w:szCs w:val="24"/>
        </w:rPr>
        <w:t>Minimálne účinnosti premeny energie pri výrobe elektriny, tepla a v zariadeniach KVET sú stanovené v</w:t>
      </w:r>
      <w:r w:rsidR="00A274E8">
        <w:rPr>
          <w:rFonts w:ascii="Times New Roman" w:hAnsi="Times New Roman" w:cs="Times New Roman"/>
          <w:sz w:val="24"/>
          <w:szCs w:val="24"/>
        </w:rPr>
        <w:t>o</w:t>
      </w:r>
      <w:r w:rsidRPr="000745A8">
        <w:rPr>
          <w:rFonts w:ascii="Times New Roman" w:hAnsi="Times New Roman" w:cs="Times New Roman"/>
          <w:sz w:val="24"/>
          <w:szCs w:val="24"/>
        </w:rPr>
        <w:t xml:space="preserve"> vyhláške MH SR č. 88/2015</w:t>
      </w:r>
      <w:r w:rsidR="001E06BE" w:rsidRPr="000745A8">
        <w:rPr>
          <w:rFonts w:ascii="Times New Roman" w:hAnsi="Times New Roman" w:cs="Times New Roman"/>
          <w:sz w:val="24"/>
          <w:szCs w:val="24"/>
        </w:rPr>
        <w:t> Z. z.</w:t>
      </w:r>
      <w:r w:rsidRPr="000745A8">
        <w:rPr>
          <w:rFonts w:ascii="Times New Roman" w:hAnsi="Times New Roman" w:cs="Times New Roman"/>
          <w:sz w:val="24"/>
          <w:szCs w:val="24"/>
        </w:rPr>
        <w:t xml:space="preserve"> Táto vyhláška taktiež stanovuje spôsoby výpočtu účinnosti prevádzky rozvodov elektrickej, plynárenskej infraštruktúry, ako aj rozvodov tepla, ropovodov, produktovodov, vodovodov a kanalizácií.</w:t>
      </w:r>
      <w:r w:rsidR="008029A8" w:rsidRPr="000745A8">
        <w:rPr>
          <w:rStyle w:val="Odkaznapoznmkupodiarou"/>
          <w:rFonts w:ascii="Times New Roman" w:hAnsi="Times New Roman" w:cs="Times New Roman"/>
          <w:sz w:val="24"/>
          <w:szCs w:val="24"/>
        </w:rPr>
        <w:footnoteReference w:id="24"/>
      </w:r>
      <w:r w:rsidRPr="000745A8">
        <w:rPr>
          <w:rFonts w:ascii="Times New Roman" w:hAnsi="Times New Roman" w:cs="Times New Roman"/>
          <w:sz w:val="24"/>
          <w:szCs w:val="24"/>
        </w:rPr>
        <w:t xml:space="preserve"> </w:t>
      </w:r>
    </w:p>
    <w:p w14:paraId="52F2E485" w14:textId="60A3C0CF" w:rsidR="00AC1D7F" w:rsidRDefault="00C61956">
      <w:pPr>
        <w:jc w:val="both"/>
        <w:rPr>
          <w:rFonts w:ascii="Times New Roman" w:hAnsi="Times New Roman" w:cs="Times New Roman"/>
          <w:sz w:val="24"/>
          <w:szCs w:val="24"/>
        </w:rPr>
      </w:pPr>
      <w:r w:rsidRPr="000745A8">
        <w:rPr>
          <w:rFonts w:ascii="Times New Roman" w:hAnsi="Times New Roman" w:cs="Times New Roman"/>
          <w:sz w:val="24"/>
          <w:szCs w:val="24"/>
        </w:rPr>
        <w:t xml:space="preserve">Plánované opatrenia investičného charakteru pri prevádzke energetickej infraštruktúry v elektrine a v plyne sú zasielané na základe požiadaviek zákonov č. 251/2012 o energetike </w:t>
      </w:r>
      <w:r w:rsidR="00DF0310" w:rsidRPr="00DF0310">
        <w:rPr>
          <w:rFonts w:ascii="Times New Roman" w:hAnsi="Times New Roman" w:cs="Times New Roman"/>
          <w:sz w:val="24"/>
          <w:szCs w:val="24"/>
        </w:rPr>
        <w:t xml:space="preserve">v znení neskorších predpisov </w:t>
      </w:r>
      <w:r w:rsidRPr="000745A8">
        <w:rPr>
          <w:rFonts w:ascii="Times New Roman" w:hAnsi="Times New Roman" w:cs="Times New Roman"/>
          <w:sz w:val="24"/>
          <w:szCs w:val="24"/>
        </w:rPr>
        <w:t>a</w:t>
      </w:r>
      <w:r w:rsidR="00BF12F6">
        <w:rPr>
          <w:rFonts w:ascii="Times New Roman" w:hAnsi="Times New Roman" w:cs="Times New Roman"/>
          <w:sz w:val="24"/>
          <w:szCs w:val="24"/>
        </w:rPr>
        <w:t xml:space="preserve"> č. </w:t>
      </w:r>
      <w:r w:rsidRPr="000745A8">
        <w:rPr>
          <w:rFonts w:ascii="Times New Roman" w:hAnsi="Times New Roman" w:cs="Times New Roman"/>
          <w:sz w:val="24"/>
          <w:szCs w:val="24"/>
        </w:rPr>
        <w:t xml:space="preserve">321/2014 </w:t>
      </w:r>
      <w:r w:rsidR="00BF12F6">
        <w:rPr>
          <w:rFonts w:ascii="Times New Roman" w:hAnsi="Times New Roman" w:cs="Times New Roman"/>
          <w:sz w:val="24"/>
          <w:szCs w:val="24"/>
        </w:rPr>
        <w:t xml:space="preserve">Z. z. </w:t>
      </w:r>
      <w:r w:rsidRPr="000745A8">
        <w:rPr>
          <w:rFonts w:ascii="Times New Roman" w:hAnsi="Times New Roman" w:cs="Times New Roman"/>
          <w:sz w:val="24"/>
          <w:szCs w:val="24"/>
        </w:rPr>
        <w:t>o energetickej efektívnosti</w:t>
      </w:r>
      <w:r w:rsidR="00AC1D7F">
        <w:rPr>
          <w:rFonts w:ascii="Times New Roman" w:hAnsi="Times New Roman" w:cs="Times New Roman"/>
          <w:sz w:val="24"/>
          <w:szCs w:val="24"/>
        </w:rPr>
        <w:t xml:space="preserve"> </w:t>
      </w:r>
      <w:r w:rsidRPr="000745A8">
        <w:rPr>
          <w:rFonts w:ascii="Times New Roman" w:hAnsi="Times New Roman" w:cs="Times New Roman"/>
          <w:sz w:val="24"/>
          <w:szCs w:val="24"/>
        </w:rPr>
        <w:t>prevádzkovateľ</w:t>
      </w:r>
      <w:r w:rsidR="00AC1D7F">
        <w:rPr>
          <w:rFonts w:ascii="Times New Roman" w:hAnsi="Times New Roman" w:cs="Times New Roman"/>
          <w:sz w:val="24"/>
          <w:szCs w:val="24"/>
        </w:rPr>
        <w:t>ovi</w:t>
      </w:r>
      <w:r w:rsidRPr="000745A8">
        <w:rPr>
          <w:rFonts w:ascii="Times New Roman" w:hAnsi="Times New Roman" w:cs="Times New Roman"/>
          <w:sz w:val="24"/>
          <w:szCs w:val="24"/>
        </w:rPr>
        <w:t xml:space="preserve"> Monitorovacieho systému energetickej efektívnosti (ďalej aj „MSEE“)</w:t>
      </w:r>
      <w:r w:rsidR="00AC1D7F">
        <w:rPr>
          <w:rFonts w:ascii="Times New Roman" w:hAnsi="Times New Roman" w:cs="Times New Roman"/>
          <w:sz w:val="24"/>
          <w:szCs w:val="24"/>
        </w:rPr>
        <w:t>, ktorým je SIEA.</w:t>
      </w:r>
    </w:p>
    <w:p w14:paraId="721325DF" w14:textId="31966488" w:rsidR="0070005B" w:rsidRDefault="00C61956">
      <w:pPr>
        <w:jc w:val="both"/>
        <w:rPr>
          <w:rFonts w:ascii="Times New Roman" w:hAnsi="Times New Roman" w:cs="Times New Roman"/>
          <w:sz w:val="24"/>
          <w:szCs w:val="24"/>
        </w:rPr>
      </w:pPr>
      <w:r w:rsidRPr="000745A8">
        <w:rPr>
          <w:rFonts w:ascii="Times New Roman" w:hAnsi="Times New Roman" w:cs="Times New Roman"/>
          <w:sz w:val="24"/>
          <w:szCs w:val="24"/>
        </w:rPr>
        <w:t xml:space="preserve"> </w:t>
      </w:r>
    </w:p>
    <w:p w14:paraId="31DBA669" w14:textId="33D82749" w:rsidR="00AC1D7F" w:rsidRPr="00AC1D7F" w:rsidRDefault="00AC1D7F" w:rsidP="000578FE">
      <w:pPr>
        <w:keepNext/>
        <w:jc w:val="both"/>
        <w:rPr>
          <w:rFonts w:ascii="Times New Roman" w:hAnsi="Times New Roman" w:cs="Times New Roman"/>
          <w:sz w:val="24"/>
          <w:szCs w:val="24"/>
        </w:rPr>
      </w:pPr>
      <w:r w:rsidRPr="00AC1D7F">
        <w:rPr>
          <w:rFonts w:ascii="Times New Roman" w:hAnsi="Times New Roman" w:cs="Times New Roman"/>
          <w:sz w:val="24"/>
          <w:szCs w:val="24"/>
        </w:rPr>
        <w:t>Graf č. 1</w:t>
      </w:r>
      <w:r w:rsidR="00AE42A2">
        <w:rPr>
          <w:rFonts w:ascii="Times New Roman" w:hAnsi="Times New Roman" w:cs="Times New Roman"/>
          <w:sz w:val="24"/>
          <w:szCs w:val="24"/>
        </w:rPr>
        <w:t>2</w:t>
      </w:r>
      <w:r w:rsidRPr="00AC1D7F">
        <w:rPr>
          <w:rFonts w:ascii="Times New Roman" w:hAnsi="Times New Roman" w:cs="Times New Roman"/>
          <w:sz w:val="24"/>
          <w:szCs w:val="24"/>
        </w:rPr>
        <w:t xml:space="preserve">: </w:t>
      </w:r>
      <w:r w:rsidRPr="000578FE">
        <w:rPr>
          <w:rFonts w:ascii="Times New Roman" w:hAnsi="Times New Roman" w:cs="Times New Roman"/>
          <w:sz w:val="24"/>
          <w:szCs w:val="24"/>
        </w:rPr>
        <w:t>Zníženie primárnej energetickej spotreby  v sektore premeny, prenosu a distribúcie - podiel skupín opatrení na plnení cieľa v rokoch 2014-2016</w:t>
      </w:r>
    </w:p>
    <w:p w14:paraId="6D7891A9" w14:textId="77777777" w:rsidR="00E11A78" w:rsidRPr="000745A8" w:rsidRDefault="00E11A78" w:rsidP="00C61956">
      <w:pPr>
        <w:jc w:val="both"/>
        <w:rPr>
          <w:rFonts w:ascii="Times New Roman" w:hAnsi="Times New Roman" w:cs="Times New Roman"/>
          <w:sz w:val="24"/>
          <w:szCs w:val="24"/>
        </w:rPr>
      </w:pPr>
    </w:p>
    <w:tbl>
      <w:tblPr>
        <w:tblStyle w:val="Mriekatabuky"/>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4253"/>
        <w:gridCol w:w="4819"/>
      </w:tblGrid>
      <w:tr w:rsidR="00E11A78" w:rsidRPr="009F2998" w14:paraId="73E28D20" w14:textId="77777777" w:rsidTr="003E73B5">
        <w:trPr>
          <w:trHeight w:val="3543"/>
          <w:jc w:val="center"/>
        </w:trPr>
        <w:tc>
          <w:tcPr>
            <w:tcW w:w="2344" w:type="pct"/>
          </w:tcPr>
          <w:p w14:paraId="7D7E1124" w14:textId="4120848E" w:rsidR="00E11A78" w:rsidRPr="009F2998" w:rsidRDefault="00A17EC1" w:rsidP="00EC1727">
            <w:pPr>
              <w:rPr>
                <w:rFonts w:ascii="Times New Roman" w:hAnsi="Times New Roman" w:cs="Times New Roman"/>
              </w:rPr>
            </w:pPr>
            <w:r w:rsidRPr="009F2998">
              <w:rPr>
                <w:rFonts w:ascii="Times New Roman" w:hAnsi="Times New Roman" w:cs="Times New Roman"/>
                <w:noProof/>
                <w:lang w:eastAsia="sk-SK"/>
              </w:rPr>
              <w:drawing>
                <wp:inline distT="0" distB="0" distL="0" distR="0" wp14:anchorId="178A15A7" wp14:editId="6AD9E5B5">
                  <wp:extent cx="2355215" cy="2172335"/>
                  <wp:effectExtent l="0" t="0" r="6985"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2656" w:type="pct"/>
          </w:tcPr>
          <w:tbl>
            <w:tblPr>
              <w:tblpPr w:leftFromText="141" w:rightFromText="141" w:vertAnchor="text" w:horzAnchor="margin" w:tblpY="887"/>
              <w:tblOverlap w:val="never"/>
              <w:tblW w:w="4536" w:type="dxa"/>
              <w:tblCellMar>
                <w:left w:w="70" w:type="dxa"/>
                <w:right w:w="70" w:type="dxa"/>
              </w:tblCellMar>
              <w:tblLook w:val="04A0" w:firstRow="1" w:lastRow="0" w:firstColumn="1" w:lastColumn="0" w:noHBand="0" w:noVBand="1"/>
            </w:tblPr>
            <w:tblGrid>
              <w:gridCol w:w="335"/>
              <w:gridCol w:w="3067"/>
              <w:gridCol w:w="1134"/>
            </w:tblGrid>
            <w:tr w:rsidR="00C51ADD" w:rsidRPr="009F2998" w14:paraId="71BFBC49" w14:textId="77777777" w:rsidTr="00755855">
              <w:trPr>
                <w:trHeight w:hRule="exact" w:val="297"/>
              </w:trPr>
              <w:tc>
                <w:tcPr>
                  <w:tcW w:w="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D3FAD0" w14:textId="77777777" w:rsidR="00C51ADD" w:rsidRPr="009F2998" w:rsidRDefault="00C51ADD" w:rsidP="00C51ADD">
                  <w:pPr>
                    <w:spacing w:after="0" w:line="240" w:lineRule="auto"/>
                    <w:rPr>
                      <w:rFonts w:ascii="Times New Roman" w:eastAsia="Times New Roman" w:hAnsi="Times New Roman" w:cs="Times New Roman"/>
                      <w:lang w:eastAsia="sk-SK"/>
                    </w:rPr>
                  </w:pPr>
                </w:p>
              </w:tc>
              <w:tc>
                <w:tcPr>
                  <w:tcW w:w="3067" w:type="dxa"/>
                  <w:tcBorders>
                    <w:top w:val="single" w:sz="4" w:space="0" w:color="auto"/>
                    <w:left w:val="nil"/>
                    <w:bottom w:val="single" w:sz="4" w:space="0" w:color="auto"/>
                    <w:right w:val="single" w:sz="4" w:space="0" w:color="auto"/>
                  </w:tcBorders>
                  <w:shd w:val="clear" w:color="auto" w:fill="auto"/>
                  <w:noWrap/>
                  <w:vAlign w:val="bottom"/>
                </w:tcPr>
                <w:p w14:paraId="3C49A7BF" w14:textId="77777777" w:rsidR="00C51ADD" w:rsidRPr="00BF111E" w:rsidRDefault="00C51ADD" w:rsidP="00C51ADD">
                  <w:pPr>
                    <w:spacing w:after="0" w:line="240" w:lineRule="auto"/>
                    <w:rPr>
                      <w:rFonts w:ascii="Times New Roman" w:eastAsia="Times New Roman" w:hAnsi="Times New Roman" w:cs="Times New Roman"/>
                      <w:color w:val="000000"/>
                      <w:sz w:val="20"/>
                      <w:szCs w:val="20"/>
                      <w:lang w:eastAsia="sk-SK"/>
                    </w:rPr>
                  </w:pPr>
                  <w:r w:rsidRPr="00BF111E">
                    <w:rPr>
                      <w:rFonts w:ascii="Times New Roman" w:eastAsia="Times New Roman" w:hAnsi="Times New Roman" w:cs="Times New Roman"/>
                      <w:color w:val="000000"/>
                      <w:sz w:val="20"/>
                      <w:szCs w:val="20"/>
                      <w:lang w:eastAsia="sk-SK"/>
                    </w:rPr>
                    <w:t xml:space="preserve">Zdroje financovania: </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0B52E57" w14:textId="77777777" w:rsidR="00C51ADD" w:rsidRPr="00BF111E" w:rsidRDefault="00C51ADD" w:rsidP="00C51ADD">
                  <w:pPr>
                    <w:spacing w:after="0" w:line="240" w:lineRule="auto"/>
                    <w:rPr>
                      <w:rFonts w:ascii="Times New Roman" w:eastAsia="Times New Roman" w:hAnsi="Times New Roman" w:cs="Times New Roman"/>
                      <w:color w:val="000000"/>
                      <w:sz w:val="20"/>
                      <w:szCs w:val="20"/>
                      <w:lang w:eastAsia="sk-SK"/>
                    </w:rPr>
                  </w:pPr>
                  <w:r w:rsidRPr="00BF111E">
                    <w:rPr>
                      <w:rFonts w:ascii="Times New Roman" w:eastAsia="Times New Roman" w:hAnsi="Times New Roman" w:cs="Times New Roman"/>
                      <w:color w:val="000000"/>
                      <w:sz w:val="20"/>
                      <w:szCs w:val="20"/>
                      <w:lang w:eastAsia="sk-SK"/>
                    </w:rPr>
                    <w:t>Úspora [TJ]</w:t>
                  </w:r>
                </w:p>
              </w:tc>
            </w:tr>
            <w:tr w:rsidR="006F670D" w:rsidRPr="009F2998" w14:paraId="242B0F3E" w14:textId="77777777" w:rsidTr="00AF5415">
              <w:trPr>
                <w:trHeight w:hRule="exact" w:val="284"/>
              </w:trPr>
              <w:tc>
                <w:tcPr>
                  <w:tcW w:w="335" w:type="dxa"/>
                  <w:tcBorders>
                    <w:top w:val="single" w:sz="4" w:space="0" w:color="auto"/>
                    <w:left w:val="single" w:sz="4" w:space="0" w:color="auto"/>
                    <w:bottom w:val="single" w:sz="4" w:space="0" w:color="auto"/>
                    <w:right w:val="single" w:sz="4" w:space="0" w:color="auto"/>
                  </w:tcBorders>
                  <w:shd w:val="clear" w:color="000000" w:fill="FF7857"/>
                  <w:noWrap/>
                  <w:vAlign w:val="bottom"/>
                  <w:hideMark/>
                </w:tcPr>
                <w:p w14:paraId="63A71FF3" w14:textId="77777777" w:rsidR="006F670D" w:rsidRPr="009F2998" w:rsidRDefault="006F670D" w:rsidP="006F670D">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3067" w:type="dxa"/>
                  <w:tcBorders>
                    <w:top w:val="single" w:sz="4" w:space="0" w:color="auto"/>
                    <w:left w:val="nil"/>
                    <w:bottom w:val="single" w:sz="4" w:space="0" w:color="auto"/>
                    <w:right w:val="single" w:sz="4" w:space="0" w:color="auto"/>
                  </w:tcBorders>
                  <w:shd w:val="clear" w:color="auto" w:fill="auto"/>
                  <w:noWrap/>
                  <w:vAlign w:val="bottom"/>
                  <w:hideMark/>
                </w:tcPr>
                <w:p w14:paraId="1D81889E" w14:textId="77777777" w:rsidR="006F670D" w:rsidRPr="00BF111E" w:rsidRDefault="006F670D" w:rsidP="006F670D">
                  <w:pPr>
                    <w:spacing w:after="0" w:line="240" w:lineRule="auto"/>
                    <w:rPr>
                      <w:rFonts w:ascii="Times New Roman" w:eastAsia="Times New Roman" w:hAnsi="Times New Roman" w:cs="Times New Roman"/>
                      <w:color w:val="000000"/>
                      <w:sz w:val="20"/>
                      <w:szCs w:val="20"/>
                      <w:lang w:eastAsia="sk-SK"/>
                    </w:rPr>
                  </w:pPr>
                  <w:r w:rsidRPr="00BF111E">
                    <w:rPr>
                      <w:rFonts w:ascii="Times New Roman" w:eastAsia="Times New Roman" w:hAnsi="Times New Roman" w:cs="Times New Roman"/>
                      <w:color w:val="000000"/>
                      <w:sz w:val="20"/>
                      <w:szCs w:val="20"/>
                      <w:lang w:eastAsia="sk-SK"/>
                    </w:rPr>
                    <w:t>OP KaHR 2007-2013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2D8FD" w14:textId="30C5BE57" w:rsidR="006F670D" w:rsidRPr="006F670D" w:rsidRDefault="006F670D">
                  <w:pPr>
                    <w:spacing w:after="0" w:line="240" w:lineRule="auto"/>
                    <w:jc w:val="right"/>
                    <w:rPr>
                      <w:rFonts w:ascii="Times New Roman" w:eastAsia="Times New Roman" w:hAnsi="Times New Roman" w:cs="Times New Roman"/>
                      <w:color w:val="000000"/>
                      <w:sz w:val="20"/>
                      <w:szCs w:val="20"/>
                      <w:lang w:eastAsia="sk-SK"/>
                    </w:rPr>
                  </w:pPr>
                  <w:r w:rsidRPr="00AF5415">
                    <w:rPr>
                      <w:rFonts w:ascii="Times New Roman" w:hAnsi="Times New Roman" w:cs="Times New Roman"/>
                      <w:color w:val="000000"/>
                      <w:sz w:val="20"/>
                      <w:szCs w:val="20"/>
                    </w:rPr>
                    <w:t>93,57</w:t>
                  </w:r>
                </w:p>
              </w:tc>
            </w:tr>
            <w:tr w:rsidR="006F670D" w:rsidRPr="009F2998" w14:paraId="03769D45" w14:textId="77777777" w:rsidTr="00AF5415">
              <w:trPr>
                <w:trHeight w:hRule="exact" w:val="284"/>
              </w:trPr>
              <w:tc>
                <w:tcPr>
                  <w:tcW w:w="335" w:type="dxa"/>
                  <w:tcBorders>
                    <w:top w:val="nil"/>
                    <w:left w:val="single" w:sz="4" w:space="0" w:color="auto"/>
                    <w:bottom w:val="single" w:sz="4" w:space="0" w:color="auto"/>
                    <w:right w:val="single" w:sz="4" w:space="0" w:color="auto"/>
                  </w:tcBorders>
                  <w:shd w:val="clear" w:color="000000" w:fill="FF9933"/>
                  <w:noWrap/>
                  <w:vAlign w:val="bottom"/>
                  <w:hideMark/>
                </w:tcPr>
                <w:p w14:paraId="22F4933E" w14:textId="77777777" w:rsidR="006F670D" w:rsidRPr="009F2998" w:rsidRDefault="006F670D" w:rsidP="006F670D">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3067" w:type="dxa"/>
                  <w:tcBorders>
                    <w:top w:val="nil"/>
                    <w:left w:val="nil"/>
                    <w:bottom w:val="single" w:sz="4" w:space="0" w:color="auto"/>
                    <w:right w:val="single" w:sz="4" w:space="0" w:color="auto"/>
                  </w:tcBorders>
                  <w:shd w:val="clear" w:color="auto" w:fill="auto"/>
                  <w:noWrap/>
                  <w:vAlign w:val="bottom"/>
                  <w:hideMark/>
                </w:tcPr>
                <w:p w14:paraId="1BC18393" w14:textId="77777777" w:rsidR="006F670D" w:rsidRPr="00BF111E" w:rsidRDefault="006F670D" w:rsidP="006F670D">
                  <w:pPr>
                    <w:spacing w:after="0" w:line="240" w:lineRule="auto"/>
                    <w:rPr>
                      <w:rFonts w:ascii="Times New Roman" w:eastAsia="Times New Roman" w:hAnsi="Times New Roman" w:cs="Times New Roman"/>
                      <w:color w:val="000000"/>
                      <w:sz w:val="20"/>
                      <w:szCs w:val="20"/>
                      <w:lang w:eastAsia="sk-SK"/>
                    </w:rPr>
                  </w:pPr>
                  <w:r w:rsidRPr="00BF111E">
                    <w:rPr>
                      <w:rFonts w:ascii="Times New Roman" w:eastAsia="Times New Roman" w:hAnsi="Times New Roman" w:cs="Times New Roman"/>
                      <w:color w:val="000000"/>
                      <w:sz w:val="20"/>
                      <w:szCs w:val="20"/>
                      <w:lang w:eastAsia="sk-SK"/>
                    </w:rPr>
                    <w:t>Slovseff III.</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9E14DE8" w14:textId="0B00ED35" w:rsidR="006F670D" w:rsidRPr="006F670D" w:rsidRDefault="006F670D">
                  <w:pPr>
                    <w:spacing w:after="0" w:line="240" w:lineRule="auto"/>
                    <w:jc w:val="right"/>
                    <w:rPr>
                      <w:rFonts w:ascii="Times New Roman" w:eastAsia="Times New Roman" w:hAnsi="Times New Roman" w:cs="Times New Roman"/>
                      <w:color w:val="000000"/>
                      <w:sz w:val="20"/>
                      <w:szCs w:val="20"/>
                      <w:lang w:eastAsia="sk-SK"/>
                    </w:rPr>
                  </w:pPr>
                  <w:r w:rsidRPr="00AF5415">
                    <w:rPr>
                      <w:rFonts w:ascii="Times New Roman" w:hAnsi="Times New Roman" w:cs="Times New Roman"/>
                      <w:color w:val="000000"/>
                      <w:sz w:val="20"/>
                      <w:szCs w:val="20"/>
                    </w:rPr>
                    <w:t>105,75</w:t>
                  </w:r>
                </w:p>
              </w:tc>
            </w:tr>
            <w:tr w:rsidR="006F670D" w:rsidRPr="009F2998" w14:paraId="25DB0423" w14:textId="77777777" w:rsidTr="00AF5415">
              <w:trPr>
                <w:trHeight w:hRule="exact" w:val="274"/>
              </w:trPr>
              <w:tc>
                <w:tcPr>
                  <w:tcW w:w="335" w:type="dxa"/>
                  <w:tcBorders>
                    <w:top w:val="nil"/>
                    <w:left w:val="single" w:sz="4" w:space="0" w:color="auto"/>
                    <w:bottom w:val="single" w:sz="4" w:space="0" w:color="auto"/>
                    <w:right w:val="single" w:sz="4" w:space="0" w:color="auto"/>
                  </w:tcBorders>
                  <w:shd w:val="clear" w:color="000000" w:fill="FFCC00"/>
                  <w:noWrap/>
                  <w:vAlign w:val="bottom"/>
                  <w:hideMark/>
                </w:tcPr>
                <w:p w14:paraId="787C0753" w14:textId="77777777" w:rsidR="006F670D" w:rsidRPr="009F2998" w:rsidRDefault="006F670D" w:rsidP="006F670D">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3067" w:type="dxa"/>
                  <w:tcBorders>
                    <w:top w:val="nil"/>
                    <w:left w:val="nil"/>
                    <w:bottom w:val="single" w:sz="4" w:space="0" w:color="auto"/>
                    <w:right w:val="single" w:sz="4" w:space="0" w:color="auto"/>
                  </w:tcBorders>
                  <w:shd w:val="clear" w:color="auto" w:fill="auto"/>
                  <w:noWrap/>
                  <w:vAlign w:val="bottom"/>
                  <w:hideMark/>
                </w:tcPr>
                <w:p w14:paraId="4932023F" w14:textId="77777777" w:rsidR="006F670D" w:rsidRPr="00BF111E" w:rsidRDefault="006F670D" w:rsidP="006F670D">
                  <w:pPr>
                    <w:spacing w:after="0" w:line="240" w:lineRule="auto"/>
                    <w:rPr>
                      <w:rFonts w:ascii="Times New Roman" w:eastAsia="Times New Roman" w:hAnsi="Times New Roman" w:cs="Times New Roman"/>
                      <w:color w:val="000000"/>
                      <w:sz w:val="20"/>
                      <w:szCs w:val="20"/>
                      <w:lang w:eastAsia="sk-SK"/>
                    </w:rPr>
                  </w:pPr>
                  <w:r w:rsidRPr="00BF111E">
                    <w:rPr>
                      <w:rFonts w:ascii="Times New Roman" w:eastAsia="Times New Roman" w:hAnsi="Times New Roman" w:cs="Times New Roman"/>
                      <w:color w:val="000000"/>
                      <w:sz w:val="20"/>
                      <w:szCs w:val="20"/>
                      <w:lang w:eastAsia="sk-SK"/>
                    </w:rPr>
                    <w:t>Vlastné zdroje – Zákon č. 321/2014 Z.z.</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E8D17E9" w14:textId="7C334FA2" w:rsidR="006F670D" w:rsidRPr="006F670D" w:rsidRDefault="006F670D">
                  <w:pPr>
                    <w:spacing w:after="0" w:line="240" w:lineRule="auto"/>
                    <w:jc w:val="right"/>
                    <w:rPr>
                      <w:rFonts w:ascii="Times New Roman" w:eastAsia="Times New Roman" w:hAnsi="Times New Roman" w:cs="Times New Roman"/>
                      <w:color w:val="000000"/>
                      <w:sz w:val="20"/>
                      <w:szCs w:val="20"/>
                      <w:lang w:eastAsia="sk-SK"/>
                    </w:rPr>
                  </w:pPr>
                  <w:r w:rsidRPr="00AF5415">
                    <w:rPr>
                      <w:rFonts w:ascii="Times New Roman" w:hAnsi="Times New Roman" w:cs="Times New Roman"/>
                      <w:color w:val="000000"/>
                      <w:sz w:val="20"/>
                      <w:szCs w:val="20"/>
                    </w:rPr>
                    <w:t>1 238,53</w:t>
                  </w:r>
                </w:p>
              </w:tc>
            </w:tr>
            <w:tr w:rsidR="006F670D" w:rsidRPr="009F2998" w14:paraId="0C10D541" w14:textId="77777777" w:rsidTr="00AF5415">
              <w:trPr>
                <w:trHeight w:hRule="exact" w:val="284"/>
              </w:trPr>
              <w:tc>
                <w:tcPr>
                  <w:tcW w:w="335" w:type="dxa"/>
                  <w:tcBorders>
                    <w:top w:val="nil"/>
                    <w:left w:val="nil"/>
                    <w:bottom w:val="nil"/>
                    <w:right w:val="nil"/>
                  </w:tcBorders>
                  <w:shd w:val="clear" w:color="auto" w:fill="auto"/>
                  <w:noWrap/>
                  <w:vAlign w:val="bottom"/>
                  <w:hideMark/>
                </w:tcPr>
                <w:p w14:paraId="5E3A78EC" w14:textId="77777777" w:rsidR="006F670D" w:rsidRPr="009F2998" w:rsidRDefault="006F670D" w:rsidP="006F670D">
                  <w:pPr>
                    <w:spacing w:after="0" w:line="240" w:lineRule="auto"/>
                    <w:rPr>
                      <w:rFonts w:ascii="Times New Roman" w:eastAsia="Times New Roman" w:hAnsi="Times New Roman" w:cs="Times New Roman"/>
                      <w:color w:val="000000"/>
                      <w:sz w:val="18"/>
                      <w:szCs w:val="18"/>
                      <w:lang w:eastAsia="sk-SK"/>
                    </w:rPr>
                  </w:pPr>
                </w:p>
              </w:tc>
              <w:tc>
                <w:tcPr>
                  <w:tcW w:w="3067" w:type="dxa"/>
                  <w:tcBorders>
                    <w:top w:val="nil"/>
                    <w:left w:val="single" w:sz="4" w:space="0" w:color="auto"/>
                    <w:bottom w:val="single" w:sz="4" w:space="0" w:color="auto"/>
                    <w:right w:val="single" w:sz="4" w:space="0" w:color="auto"/>
                  </w:tcBorders>
                  <w:shd w:val="clear" w:color="auto" w:fill="auto"/>
                  <w:noWrap/>
                  <w:vAlign w:val="bottom"/>
                  <w:hideMark/>
                </w:tcPr>
                <w:p w14:paraId="043DD725" w14:textId="77777777" w:rsidR="006F670D" w:rsidRPr="00BF111E" w:rsidRDefault="006F670D" w:rsidP="006F670D">
                  <w:pPr>
                    <w:spacing w:after="0" w:line="240" w:lineRule="auto"/>
                    <w:rPr>
                      <w:rFonts w:ascii="Times New Roman" w:eastAsia="Times New Roman" w:hAnsi="Times New Roman" w:cs="Times New Roman"/>
                      <w:b/>
                      <w:color w:val="000000"/>
                      <w:sz w:val="20"/>
                      <w:szCs w:val="20"/>
                      <w:lang w:eastAsia="sk-SK"/>
                    </w:rPr>
                  </w:pPr>
                  <w:r w:rsidRPr="00BF111E">
                    <w:rPr>
                      <w:rFonts w:ascii="Times New Roman" w:eastAsia="Times New Roman" w:hAnsi="Times New Roman" w:cs="Times New Roman"/>
                      <w:b/>
                      <w:color w:val="000000"/>
                      <w:sz w:val="20"/>
                      <w:szCs w:val="20"/>
                      <w:lang w:eastAsia="sk-SK"/>
                    </w:rPr>
                    <w:t>Spolu:</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3735F03" w14:textId="5B5C9D63" w:rsidR="006F670D" w:rsidRPr="006F670D" w:rsidRDefault="006F670D">
                  <w:pPr>
                    <w:spacing w:after="0" w:line="240" w:lineRule="auto"/>
                    <w:jc w:val="right"/>
                    <w:rPr>
                      <w:rFonts w:ascii="Times New Roman" w:eastAsia="Times New Roman" w:hAnsi="Times New Roman" w:cs="Times New Roman"/>
                      <w:b/>
                      <w:color w:val="000000"/>
                      <w:sz w:val="20"/>
                      <w:szCs w:val="20"/>
                      <w:lang w:eastAsia="sk-SK"/>
                    </w:rPr>
                  </w:pPr>
                  <w:r w:rsidRPr="00AF5415">
                    <w:rPr>
                      <w:rFonts w:ascii="Times New Roman" w:hAnsi="Times New Roman" w:cs="Times New Roman"/>
                      <w:b/>
                      <w:bCs/>
                      <w:color w:val="000000"/>
                      <w:sz w:val="20"/>
                      <w:szCs w:val="20"/>
                    </w:rPr>
                    <w:t>1 437,85</w:t>
                  </w:r>
                </w:p>
              </w:tc>
            </w:tr>
          </w:tbl>
          <w:p w14:paraId="686488D7" w14:textId="77777777" w:rsidR="00E11A78" w:rsidRPr="009F2998" w:rsidRDefault="00E11A78" w:rsidP="00EC1727">
            <w:pPr>
              <w:rPr>
                <w:rFonts w:ascii="Times New Roman" w:hAnsi="Times New Roman" w:cs="Times New Roman"/>
              </w:rPr>
            </w:pPr>
          </w:p>
        </w:tc>
      </w:tr>
    </w:tbl>
    <w:p w14:paraId="2DFF605F" w14:textId="668CD5FD" w:rsidR="00902157" w:rsidRPr="000578FE" w:rsidRDefault="00902157" w:rsidP="005F7B58">
      <w:pPr>
        <w:pStyle w:val="Nadpis2"/>
        <w:keepNext w:val="0"/>
        <w:keepLines w:val="0"/>
        <w:numPr>
          <w:ilvl w:val="1"/>
          <w:numId w:val="47"/>
        </w:numPr>
        <w:ind w:left="993" w:hanging="567"/>
        <w:rPr>
          <w:rFonts w:ascii="Times New Roman" w:hAnsi="Times New Roman" w:cs="Times New Roman"/>
          <w:color w:val="auto"/>
        </w:rPr>
      </w:pPr>
      <w:bookmarkStart w:id="57" w:name="_Toc480547237"/>
      <w:bookmarkStart w:id="58" w:name="_Toc480547238"/>
      <w:bookmarkEnd w:id="57"/>
      <w:r w:rsidRPr="000578FE">
        <w:rPr>
          <w:rFonts w:ascii="Times New Roman" w:hAnsi="Times New Roman" w:cs="Times New Roman"/>
          <w:color w:val="auto"/>
        </w:rPr>
        <w:lastRenderedPageBreak/>
        <w:t>Celkové vyhodnotenie opatrení energetickej efektívnosti za roky 2014-2016</w:t>
      </w:r>
      <w:bookmarkEnd w:id="58"/>
    </w:p>
    <w:p w14:paraId="3920F3CE" w14:textId="77777777" w:rsidR="00902157" w:rsidRPr="000745A8" w:rsidRDefault="00902157" w:rsidP="00902157">
      <w:pPr>
        <w:jc w:val="both"/>
        <w:rPr>
          <w:rFonts w:ascii="Times New Roman" w:hAnsi="Times New Roman" w:cs="Times New Roman"/>
          <w:sz w:val="24"/>
          <w:szCs w:val="24"/>
        </w:rPr>
      </w:pPr>
    </w:p>
    <w:p w14:paraId="7BDCF048" w14:textId="2699B9CC" w:rsidR="00332237" w:rsidRDefault="00332237" w:rsidP="00332237">
      <w:pPr>
        <w:jc w:val="both"/>
        <w:rPr>
          <w:rFonts w:ascii="Times New Roman" w:hAnsi="Times New Roman" w:cs="Times New Roman"/>
          <w:sz w:val="24"/>
          <w:szCs w:val="24"/>
        </w:rPr>
      </w:pPr>
      <w:r w:rsidRPr="000745A8">
        <w:rPr>
          <w:rFonts w:ascii="Times New Roman" w:hAnsi="Times New Roman" w:cs="Times New Roman"/>
          <w:sz w:val="24"/>
          <w:szCs w:val="24"/>
        </w:rPr>
        <w:t xml:space="preserve">Na základe jednotlivých projektov alebo skupín projektov boli vyhodnotené celkové úspory energie na úrovni KES vo výške </w:t>
      </w:r>
      <w:r w:rsidR="00310CBA" w:rsidRPr="005F7B58">
        <w:rPr>
          <w:rFonts w:ascii="Times New Roman" w:hAnsi="Times New Roman" w:cs="Times New Roman"/>
          <w:b/>
          <w:sz w:val="24"/>
          <w:szCs w:val="24"/>
        </w:rPr>
        <w:t>10 085,28</w:t>
      </w:r>
      <w:r w:rsidR="00AE14F1">
        <w:rPr>
          <w:rFonts w:ascii="Times New Roman" w:hAnsi="Times New Roman" w:cs="Times New Roman"/>
          <w:b/>
          <w:bCs/>
          <w:color w:val="000000"/>
        </w:rPr>
        <w:t xml:space="preserve"> </w:t>
      </w:r>
      <w:r w:rsidRPr="000745A8">
        <w:rPr>
          <w:rFonts w:ascii="Times New Roman" w:hAnsi="Times New Roman" w:cs="Times New Roman"/>
          <w:b/>
          <w:sz w:val="24"/>
          <w:szCs w:val="24"/>
        </w:rPr>
        <w:t>TJ</w:t>
      </w:r>
      <w:r w:rsidRPr="000745A8">
        <w:rPr>
          <w:rFonts w:ascii="Times New Roman" w:hAnsi="Times New Roman" w:cs="Times New Roman"/>
          <w:sz w:val="24"/>
          <w:szCs w:val="24"/>
        </w:rPr>
        <w:t>.</w:t>
      </w:r>
      <w:r w:rsidR="00BF111E" w:rsidRPr="000745A8">
        <w:rPr>
          <w:rFonts w:ascii="Times New Roman" w:hAnsi="Times New Roman" w:cs="Times New Roman"/>
          <w:sz w:val="24"/>
          <w:szCs w:val="24"/>
        </w:rPr>
        <w:t xml:space="preserve"> Na opatrenia boli vynaložené finančné zdroje vo výške zhruba </w:t>
      </w:r>
      <w:r w:rsidR="00BF111E" w:rsidRPr="007577DE">
        <w:rPr>
          <w:rFonts w:ascii="Times New Roman" w:hAnsi="Times New Roman" w:cs="Times New Roman"/>
          <w:b/>
          <w:sz w:val="24"/>
          <w:szCs w:val="24"/>
        </w:rPr>
        <w:t>5,</w:t>
      </w:r>
      <w:r w:rsidR="00E3015F">
        <w:rPr>
          <w:rFonts w:ascii="Times New Roman" w:hAnsi="Times New Roman" w:cs="Times New Roman"/>
          <w:b/>
          <w:sz w:val="24"/>
          <w:szCs w:val="24"/>
        </w:rPr>
        <w:t>7</w:t>
      </w:r>
      <w:r w:rsidR="008029A8" w:rsidRPr="000745A8">
        <w:rPr>
          <w:rFonts w:ascii="Times New Roman" w:hAnsi="Times New Roman" w:cs="Times New Roman"/>
          <w:b/>
          <w:sz w:val="24"/>
          <w:szCs w:val="24"/>
        </w:rPr>
        <w:t> </w:t>
      </w:r>
      <w:r w:rsidR="00BF111E" w:rsidRPr="007577DE">
        <w:rPr>
          <w:rFonts w:ascii="Times New Roman" w:hAnsi="Times New Roman" w:cs="Times New Roman"/>
          <w:b/>
          <w:sz w:val="24"/>
          <w:szCs w:val="24"/>
        </w:rPr>
        <w:t xml:space="preserve">mld. </w:t>
      </w:r>
      <w:r w:rsidR="000C2919">
        <w:rPr>
          <w:rFonts w:ascii="Times New Roman" w:hAnsi="Times New Roman" w:cs="Times New Roman"/>
          <w:b/>
          <w:sz w:val="24"/>
          <w:szCs w:val="24"/>
        </w:rPr>
        <w:t>Eur</w:t>
      </w:r>
      <w:r w:rsidR="00BF111E" w:rsidRPr="007577DE">
        <w:rPr>
          <w:rFonts w:ascii="Times New Roman" w:hAnsi="Times New Roman" w:cs="Times New Roman"/>
          <w:b/>
          <w:sz w:val="24"/>
          <w:szCs w:val="24"/>
        </w:rPr>
        <w:t>.</w:t>
      </w:r>
      <w:r w:rsidR="00BF111E" w:rsidRPr="000745A8">
        <w:rPr>
          <w:rFonts w:ascii="Times New Roman" w:hAnsi="Times New Roman" w:cs="Times New Roman"/>
          <w:sz w:val="24"/>
          <w:szCs w:val="24"/>
        </w:rPr>
        <w:t xml:space="preserve"> </w:t>
      </w:r>
      <w:r w:rsidRPr="000745A8">
        <w:rPr>
          <w:rFonts w:ascii="Times New Roman" w:hAnsi="Times New Roman" w:cs="Times New Roman"/>
          <w:sz w:val="24"/>
          <w:szCs w:val="24"/>
        </w:rPr>
        <w:t xml:space="preserve"> </w:t>
      </w:r>
    </w:p>
    <w:p w14:paraId="2A9D001A" w14:textId="4AFFDEEE" w:rsidR="00AC1D7F" w:rsidRPr="00AC1D7F" w:rsidRDefault="00AC1D7F" w:rsidP="00332237">
      <w:pPr>
        <w:jc w:val="both"/>
        <w:rPr>
          <w:rFonts w:ascii="Times New Roman" w:hAnsi="Times New Roman" w:cs="Times New Roman"/>
          <w:i/>
          <w:sz w:val="24"/>
          <w:szCs w:val="24"/>
        </w:rPr>
      </w:pPr>
      <w:r w:rsidRPr="00AC1D7F">
        <w:rPr>
          <w:rFonts w:ascii="Times New Roman" w:hAnsi="Times New Roman" w:cs="Times New Roman"/>
          <w:sz w:val="24"/>
          <w:szCs w:val="24"/>
        </w:rPr>
        <w:t xml:space="preserve">Tabuľka č. 6: </w:t>
      </w:r>
      <w:r w:rsidRPr="000578FE">
        <w:rPr>
          <w:rFonts w:ascii="Times New Roman" w:hAnsi="Times New Roman" w:cs="Times New Roman"/>
          <w:sz w:val="24"/>
          <w:szCs w:val="24"/>
        </w:rPr>
        <w:t>Prehľad dosiahnutých úspor energie</w:t>
      </w:r>
      <w:r w:rsidR="002057FE">
        <w:rPr>
          <w:rFonts w:ascii="Times New Roman" w:hAnsi="Times New Roman" w:cs="Times New Roman"/>
          <w:sz w:val="24"/>
          <w:szCs w:val="24"/>
        </w:rPr>
        <w:t xml:space="preserve"> a vynaložených finančných zdrojov</w:t>
      </w:r>
      <w:r w:rsidRPr="000578FE">
        <w:rPr>
          <w:rFonts w:ascii="Times New Roman" w:hAnsi="Times New Roman" w:cs="Times New Roman"/>
          <w:sz w:val="24"/>
          <w:szCs w:val="24"/>
        </w:rPr>
        <w:t xml:space="preserve"> v jednotlivých sektoroch v rokoch 2014 – 2016</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blCellMar>
          <w:left w:w="70" w:type="dxa"/>
          <w:right w:w="70" w:type="dxa"/>
        </w:tblCellMar>
        <w:tblLook w:val="0000" w:firstRow="0" w:lastRow="0" w:firstColumn="0" w:lastColumn="0" w:noHBand="0" w:noVBand="0"/>
      </w:tblPr>
      <w:tblGrid>
        <w:gridCol w:w="1495"/>
        <w:gridCol w:w="1927"/>
        <w:gridCol w:w="1856"/>
        <w:gridCol w:w="1847"/>
        <w:gridCol w:w="1937"/>
      </w:tblGrid>
      <w:tr w:rsidR="00902157" w:rsidRPr="009F2998" w14:paraId="39F8030B" w14:textId="77777777" w:rsidTr="004E746F">
        <w:trPr>
          <w:trHeight w:val="255"/>
        </w:trPr>
        <w:tc>
          <w:tcPr>
            <w:tcW w:w="825" w:type="pct"/>
            <w:vMerge w:val="restart"/>
            <w:shd w:val="clear" w:color="auto" w:fill="C0C0C0"/>
            <w:vAlign w:val="center"/>
          </w:tcPr>
          <w:p w14:paraId="54953167" w14:textId="77777777" w:rsidR="00902157" w:rsidRPr="009F2998" w:rsidRDefault="00902157" w:rsidP="00EE18EC">
            <w:pPr>
              <w:spacing w:after="0" w:line="240" w:lineRule="auto"/>
              <w:rPr>
                <w:rFonts w:ascii="Times New Roman" w:hAnsi="Times New Roman" w:cs="Times New Roman"/>
                <w:b/>
              </w:rPr>
            </w:pPr>
          </w:p>
          <w:p w14:paraId="7A951DE5" w14:textId="77777777" w:rsidR="00902157" w:rsidRPr="009F2998" w:rsidRDefault="00902157" w:rsidP="00EE18EC">
            <w:pPr>
              <w:spacing w:after="0" w:line="240" w:lineRule="auto"/>
              <w:rPr>
                <w:rFonts w:ascii="Times New Roman" w:hAnsi="Times New Roman" w:cs="Times New Roman"/>
                <w:b/>
              </w:rPr>
            </w:pPr>
            <w:r w:rsidRPr="009F2998">
              <w:rPr>
                <w:rFonts w:ascii="Times New Roman" w:hAnsi="Times New Roman" w:cs="Times New Roman"/>
                <w:b/>
              </w:rPr>
              <w:t>Sektor</w:t>
            </w:r>
          </w:p>
        </w:tc>
        <w:tc>
          <w:tcPr>
            <w:tcW w:w="2087" w:type="pct"/>
            <w:gridSpan w:val="2"/>
            <w:tcBorders>
              <w:right w:val="single" w:sz="12" w:space="0" w:color="auto"/>
            </w:tcBorders>
            <w:shd w:val="clear" w:color="auto" w:fill="C0C0C0"/>
            <w:noWrap/>
            <w:vAlign w:val="center"/>
          </w:tcPr>
          <w:p w14:paraId="45A8E675" w14:textId="77777777" w:rsidR="00902157" w:rsidRPr="009F2998" w:rsidRDefault="00902157" w:rsidP="00EE18EC">
            <w:pPr>
              <w:spacing w:after="0" w:line="240" w:lineRule="auto"/>
              <w:jc w:val="center"/>
              <w:rPr>
                <w:rFonts w:ascii="Times New Roman" w:hAnsi="Times New Roman" w:cs="Times New Roman"/>
                <w:b/>
              </w:rPr>
            </w:pPr>
            <w:r w:rsidRPr="009F2998">
              <w:rPr>
                <w:rFonts w:ascii="Times New Roman" w:hAnsi="Times New Roman" w:cs="Times New Roman"/>
                <w:b/>
              </w:rPr>
              <w:t>Úspora energie (KES)</w:t>
            </w:r>
          </w:p>
          <w:p w14:paraId="7B9DF18A" w14:textId="77777777" w:rsidR="00902157" w:rsidRPr="009F2998" w:rsidRDefault="00902157" w:rsidP="00EE18EC">
            <w:pPr>
              <w:spacing w:after="0" w:line="240" w:lineRule="auto"/>
              <w:jc w:val="center"/>
              <w:rPr>
                <w:rFonts w:ascii="Times New Roman" w:hAnsi="Times New Roman" w:cs="Times New Roman"/>
                <w:b/>
              </w:rPr>
            </w:pPr>
            <w:r w:rsidRPr="009F2998">
              <w:rPr>
                <w:rFonts w:ascii="Times New Roman" w:hAnsi="Times New Roman" w:cs="Times New Roman"/>
                <w:b/>
              </w:rPr>
              <w:t xml:space="preserve"> 2014-2016</w:t>
            </w:r>
          </w:p>
          <w:p w14:paraId="75482F92" w14:textId="77777777" w:rsidR="00902157" w:rsidRPr="009F2998" w:rsidRDefault="00902157" w:rsidP="00EE18EC">
            <w:pPr>
              <w:spacing w:after="0" w:line="240" w:lineRule="auto"/>
              <w:jc w:val="center"/>
              <w:rPr>
                <w:rFonts w:ascii="Times New Roman" w:hAnsi="Times New Roman" w:cs="Times New Roman"/>
                <w:b/>
              </w:rPr>
            </w:pPr>
            <w:r w:rsidRPr="009F2998">
              <w:rPr>
                <w:rFonts w:ascii="Times New Roman" w:hAnsi="Times New Roman" w:cs="Times New Roman"/>
                <w:b/>
                <w:lang w:val="en-US"/>
              </w:rPr>
              <w:t>[</w:t>
            </w:r>
            <w:r w:rsidRPr="009F2998">
              <w:rPr>
                <w:rFonts w:ascii="Times New Roman" w:hAnsi="Times New Roman" w:cs="Times New Roman"/>
                <w:b/>
              </w:rPr>
              <w:t>TJ]</w:t>
            </w:r>
          </w:p>
        </w:tc>
        <w:tc>
          <w:tcPr>
            <w:tcW w:w="2088" w:type="pct"/>
            <w:gridSpan w:val="2"/>
            <w:tcBorders>
              <w:top w:val="single" w:sz="4" w:space="0" w:color="auto"/>
              <w:left w:val="single" w:sz="12" w:space="0" w:color="auto"/>
            </w:tcBorders>
            <w:shd w:val="clear" w:color="auto" w:fill="C0C0C0"/>
            <w:vAlign w:val="center"/>
          </w:tcPr>
          <w:p w14:paraId="6D55D837" w14:textId="77777777" w:rsidR="00902157" w:rsidRPr="009F2998" w:rsidRDefault="00902157" w:rsidP="00EE18EC">
            <w:pPr>
              <w:spacing w:after="0" w:line="240" w:lineRule="auto"/>
              <w:jc w:val="center"/>
              <w:rPr>
                <w:rFonts w:ascii="Times New Roman" w:hAnsi="Times New Roman" w:cs="Times New Roman"/>
                <w:b/>
              </w:rPr>
            </w:pPr>
          </w:p>
          <w:p w14:paraId="1154B0A4" w14:textId="54A1D3EF" w:rsidR="00902157" w:rsidRPr="009F2998" w:rsidRDefault="00902157" w:rsidP="00EE18EC">
            <w:pPr>
              <w:spacing w:after="0" w:line="240" w:lineRule="auto"/>
              <w:jc w:val="center"/>
              <w:rPr>
                <w:rFonts w:ascii="Times New Roman" w:hAnsi="Times New Roman" w:cs="Times New Roman"/>
                <w:b/>
              </w:rPr>
            </w:pPr>
            <w:r w:rsidRPr="009F2998">
              <w:rPr>
                <w:rFonts w:ascii="Times New Roman" w:hAnsi="Times New Roman" w:cs="Times New Roman"/>
                <w:b/>
              </w:rPr>
              <w:t xml:space="preserve">Celkové </w:t>
            </w:r>
            <w:r w:rsidR="002057FE">
              <w:rPr>
                <w:rFonts w:ascii="Times New Roman" w:hAnsi="Times New Roman" w:cs="Times New Roman"/>
                <w:b/>
              </w:rPr>
              <w:t>finančné zdroje</w:t>
            </w:r>
          </w:p>
          <w:p w14:paraId="79094463" w14:textId="77777777" w:rsidR="00902157" w:rsidRPr="009F2998" w:rsidRDefault="00902157" w:rsidP="00EE18EC">
            <w:pPr>
              <w:spacing w:after="0" w:line="240" w:lineRule="auto"/>
              <w:jc w:val="center"/>
              <w:rPr>
                <w:rFonts w:ascii="Times New Roman" w:hAnsi="Times New Roman" w:cs="Times New Roman"/>
                <w:b/>
              </w:rPr>
            </w:pPr>
            <w:r w:rsidRPr="009F2998">
              <w:rPr>
                <w:rFonts w:ascii="Times New Roman" w:hAnsi="Times New Roman" w:cs="Times New Roman"/>
                <w:b/>
              </w:rPr>
              <w:t xml:space="preserve"> 2014-2016</w:t>
            </w:r>
          </w:p>
          <w:p w14:paraId="73918EBC" w14:textId="377E81C9" w:rsidR="00902157" w:rsidRPr="009F2998" w:rsidRDefault="00902157" w:rsidP="00EE18EC">
            <w:pPr>
              <w:spacing w:after="0" w:line="240" w:lineRule="auto"/>
              <w:jc w:val="center"/>
              <w:rPr>
                <w:rFonts w:ascii="Times New Roman" w:hAnsi="Times New Roman" w:cs="Times New Roman"/>
                <w:b/>
              </w:rPr>
            </w:pPr>
            <w:r w:rsidRPr="009F2998">
              <w:rPr>
                <w:rFonts w:ascii="Times New Roman" w:hAnsi="Times New Roman" w:cs="Times New Roman"/>
                <w:b/>
              </w:rPr>
              <w:t xml:space="preserve">[tis. </w:t>
            </w:r>
            <w:r w:rsidR="000C2919">
              <w:rPr>
                <w:rFonts w:ascii="Times New Roman" w:hAnsi="Times New Roman" w:cs="Times New Roman"/>
                <w:b/>
              </w:rPr>
              <w:t>Eur</w:t>
            </w:r>
            <w:r w:rsidRPr="009F2998">
              <w:rPr>
                <w:rFonts w:ascii="Times New Roman" w:hAnsi="Times New Roman" w:cs="Times New Roman"/>
                <w:b/>
              </w:rPr>
              <w:t>]</w:t>
            </w:r>
          </w:p>
          <w:p w14:paraId="321DBD68" w14:textId="77777777" w:rsidR="00902157" w:rsidRPr="009F2998" w:rsidRDefault="00902157" w:rsidP="00EE18EC">
            <w:pPr>
              <w:spacing w:after="0" w:line="240" w:lineRule="auto"/>
              <w:jc w:val="center"/>
              <w:rPr>
                <w:rFonts w:ascii="Times New Roman" w:hAnsi="Times New Roman" w:cs="Times New Roman"/>
                <w:b/>
              </w:rPr>
            </w:pPr>
          </w:p>
        </w:tc>
      </w:tr>
      <w:tr w:rsidR="00902157" w:rsidRPr="009F2998" w14:paraId="61E42D62" w14:textId="77777777" w:rsidTr="004E746F">
        <w:trPr>
          <w:trHeight w:val="255"/>
        </w:trPr>
        <w:tc>
          <w:tcPr>
            <w:tcW w:w="825" w:type="pct"/>
            <w:vMerge/>
            <w:shd w:val="clear" w:color="auto" w:fill="C0C0C0"/>
            <w:vAlign w:val="center"/>
          </w:tcPr>
          <w:p w14:paraId="7A9982AD" w14:textId="77777777" w:rsidR="00902157" w:rsidRPr="009F2998" w:rsidRDefault="00902157" w:rsidP="00EE18EC">
            <w:pPr>
              <w:spacing w:after="0" w:line="240" w:lineRule="auto"/>
              <w:rPr>
                <w:rFonts w:ascii="Times New Roman" w:hAnsi="Times New Roman" w:cs="Times New Roman"/>
                <w:b/>
              </w:rPr>
            </w:pPr>
          </w:p>
        </w:tc>
        <w:tc>
          <w:tcPr>
            <w:tcW w:w="1063" w:type="pct"/>
            <w:shd w:val="clear" w:color="auto" w:fill="C0C0C0"/>
            <w:noWrap/>
            <w:vAlign w:val="center"/>
          </w:tcPr>
          <w:p w14:paraId="6E372433" w14:textId="068ADD92" w:rsidR="00902157" w:rsidRPr="009F2998" w:rsidRDefault="00902157" w:rsidP="00EE18EC">
            <w:pPr>
              <w:spacing w:after="0" w:line="240" w:lineRule="auto"/>
              <w:jc w:val="center"/>
              <w:rPr>
                <w:rFonts w:ascii="Times New Roman" w:hAnsi="Times New Roman" w:cs="Times New Roman"/>
                <w:b/>
              </w:rPr>
            </w:pPr>
            <w:r w:rsidRPr="009F2998">
              <w:rPr>
                <w:rFonts w:ascii="Times New Roman" w:hAnsi="Times New Roman" w:cs="Times New Roman"/>
                <w:b/>
              </w:rPr>
              <w:t xml:space="preserve">Plánovaná </w:t>
            </w:r>
            <w:r w:rsidR="008D65F1" w:rsidRPr="009F2998">
              <w:rPr>
                <w:rFonts w:ascii="Times New Roman" w:hAnsi="Times New Roman" w:cs="Times New Roman"/>
                <w:b/>
              </w:rPr>
              <w:t>v 3AP</w:t>
            </w:r>
          </w:p>
        </w:tc>
        <w:tc>
          <w:tcPr>
            <w:tcW w:w="1024" w:type="pct"/>
            <w:tcBorders>
              <w:right w:val="single" w:sz="12" w:space="0" w:color="auto"/>
            </w:tcBorders>
            <w:shd w:val="clear" w:color="auto" w:fill="C0C0C0"/>
            <w:vAlign w:val="center"/>
          </w:tcPr>
          <w:p w14:paraId="5474B462" w14:textId="6667478E" w:rsidR="00902157" w:rsidRPr="009F2998" w:rsidRDefault="00902157" w:rsidP="00EE18EC">
            <w:pPr>
              <w:spacing w:after="0" w:line="240" w:lineRule="auto"/>
              <w:jc w:val="center"/>
              <w:rPr>
                <w:rFonts w:ascii="Times New Roman" w:hAnsi="Times New Roman" w:cs="Times New Roman"/>
                <w:b/>
              </w:rPr>
            </w:pPr>
            <w:r w:rsidRPr="009F2998">
              <w:rPr>
                <w:rFonts w:ascii="Times New Roman" w:hAnsi="Times New Roman" w:cs="Times New Roman"/>
                <w:b/>
              </w:rPr>
              <w:t>Dosiahnutá</w:t>
            </w:r>
            <w:r w:rsidR="00AD037D" w:rsidRPr="009F2998">
              <w:rPr>
                <w:rStyle w:val="Odkaznapoznmkupodiarou"/>
                <w:rFonts w:ascii="Times New Roman" w:hAnsi="Times New Roman" w:cs="Times New Roman"/>
                <w:b/>
              </w:rPr>
              <w:footnoteReference w:id="25"/>
            </w:r>
          </w:p>
        </w:tc>
        <w:tc>
          <w:tcPr>
            <w:tcW w:w="1019" w:type="pct"/>
            <w:tcBorders>
              <w:left w:val="single" w:sz="12" w:space="0" w:color="auto"/>
            </w:tcBorders>
            <w:shd w:val="clear" w:color="auto" w:fill="C0C0C0"/>
            <w:vAlign w:val="center"/>
          </w:tcPr>
          <w:p w14:paraId="1C38F72F" w14:textId="6F45B8E9" w:rsidR="00902157" w:rsidRPr="009F2998" w:rsidRDefault="00902157" w:rsidP="00EE18EC">
            <w:pPr>
              <w:spacing w:after="0" w:line="240" w:lineRule="auto"/>
              <w:jc w:val="center"/>
              <w:rPr>
                <w:rFonts w:ascii="Times New Roman" w:hAnsi="Times New Roman" w:cs="Times New Roman"/>
                <w:b/>
              </w:rPr>
            </w:pPr>
            <w:r w:rsidRPr="009F2998">
              <w:rPr>
                <w:rFonts w:ascii="Times New Roman" w:hAnsi="Times New Roman" w:cs="Times New Roman"/>
                <w:b/>
              </w:rPr>
              <w:t>Plánované</w:t>
            </w:r>
            <w:r w:rsidR="008D65F1" w:rsidRPr="009F2998">
              <w:rPr>
                <w:rFonts w:ascii="Times New Roman" w:hAnsi="Times New Roman" w:cs="Times New Roman"/>
                <w:b/>
              </w:rPr>
              <w:t xml:space="preserve"> v 3AP</w:t>
            </w:r>
          </w:p>
        </w:tc>
        <w:tc>
          <w:tcPr>
            <w:tcW w:w="1069" w:type="pct"/>
            <w:shd w:val="clear" w:color="auto" w:fill="C0C0C0"/>
            <w:vAlign w:val="center"/>
          </w:tcPr>
          <w:p w14:paraId="506F88E9" w14:textId="77777777" w:rsidR="00902157" w:rsidRPr="009F2998" w:rsidRDefault="00902157" w:rsidP="00EE18EC">
            <w:pPr>
              <w:spacing w:after="0" w:line="240" w:lineRule="auto"/>
              <w:jc w:val="center"/>
              <w:rPr>
                <w:rFonts w:ascii="Times New Roman" w:hAnsi="Times New Roman" w:cs="Times New Roman"/>
                <w:b/>
              </w:rPr>
            </w:pPr>
            <w:r w:rsidRPr="009F2998">
              <w:rPr>
                <w:rFonts w:ascii="Times New Roman" w:hAnsi="Times New Roman" w:cs="Times New Roman"/>
                <w:b/>
              </w:rPr>
              <w:t xml:space="preserve">Reálne vynaložené </w:t>
            </w:r>
          </w:p>
        </w:tc>
      </w:tr>
      <w:tr w:rsidR="004D0AC3" w:rsidRPr="009F2998" w14:paraId="50A52235" w14:textId="77777777" w:rsidTr="005F7B58">
        <w:trPr>
          <w:trHeight w:val="255"/>
        </w:trPr>
        <w:tc>
          <w:tcPr>
            <w:tcW w:w="825" w:type="pct"/>
            <w:shd w:val="clear" w:color="auto" w:fill="FFFFFF"/>
            <w:vAlign w:val="center"/>
          </w:tcPr>
          <w:p w14:paraId="09ADE12C" w14:textId="77777777" w:rsidR="004D0AC3" w:rsidRPr="009F2998" w:rsidRDefault="004D0AC3" w:rsidP="004D0AC3">
            <w:pPr>
              <w:spacing w:after="0" w:line="240" w:lineRule="auto"/>
              <w:rPr>
                <w:rFonts w:ascii="Times New Roman" w:hAnsi="Times New Roman" w:cs="Times New Roman"/>
              </w:rPr>
            </w:pPr>
            <w:r w:rsidRPr="009F2998">
              <w:rPr>
                <w:rFonts w:ascii="Times New Roman" w:hAnsi="Times New Roman" w:cs="Times New Roman"/>
              </w:rPr>
              <w:t>Budovy</w:t>
            </w:r>
          </w:p>
        </w:tc>
        <w:tc>
          <w:tcPr>
            <w:tcW w:w="1063" w:type="pct"/>
            <w:shd w:val="clear" w:color="auto" w:fill="FFFFFF"/>
            <w:noWrap/>
            <w:vAlign w:val="center"/>
          </w:tcPr>
          <w:p w14:paraId="6EA3FCEB" w14:textId="23310800" w:rsidR="004D0AC3" w:rsidRPr="009F2998" w:rsidRDefault="004D0AC3" w:rsidP="004D0AC3">
            <w:pPr>
              <w:spacing w:after="0" w:line="240" w:lineRule="auto"/>
              <w:jc w:val="right"/>
              <w:rPr>
                <w:rFonts w:ascii="Times New Roman" w:hAnsi="Times New Roman" w:cs="Times New Roman"/>
              </w:rPr>
            </w:pPr>
            <w:r w:rsidRPr="009F2998">
              <w:rPr>
                <w:rFonts w:ascii="Times New Roman" w:hAnsi="Times New Roman" w:cs="Times New Roman"/>
              </w:rPr>
              <w:t>3 087,00</w:t>
            </w:r>
          </w:p>
        </w:tc>
        <w:tc>
          <w:tcPr>
            <w:tcW w:w="1024" w:type="pct"/>
            <w:tcBorders>
              <w:top w:val="single" w:sz="4" w:space="0" w:color="auto"/>
              <w:left w:val="single" w:sz="4" w:space="0" w:color="auto"/>
              <w:bottom w:val="single" w:sz="4" w:space="0" w:color="auto"/>
              <w:right w:val="nil"/>
            </w:tcBorders>
            <w:shd w:val="clear" w:color="auto" w:fill="auto"/>
          </w:tcPr>
          <w:p w14:paraId="242ABC75" w14:textId="7279957B" w:rsidR="004D0AC3" w:rsidRPr="005F7B58" w:rsidRDefault="004D0AC3" w:rsidP="004D0AC3">
            <w:pPr>
              <w:spacing w:after="0" w:line="240" w:lineRule="auto"/>
              <w:jc w:val="right"/>
              <w:rPr>
                <w:rFonts w:ascii="Times New Roman" w:hAnsi="Times New Roman" w:cs="Times New Roman"/>
              </w:rPr>
            </w:pPr>
            <w:r w:rsidRPr="005F7B58">
              <w:rPr>
                <w:rFonts w:ascii="Times New Roman" w:hAnsi="Times New Roman" w:cs="Times New Roman"/>
              </w:rPr>
              <w:t>5 051,22</w:t>
            </w:r>
          </w:p>
        </w:tc>
        <w:tc>
          <w:tcPr>
            <w:tcW w:w="1019" w:type="pct"/>
            <w:tcBorders>
              <w:left w:val="single" w:sz="12" w:space="0" w:color="auto"/>
            </w:tcBorders>
            <w:shd w:val="clear" w:color="auto" w:fill="FFFFFF"/>
            <w:vAlign w:val="center"/>
          </w:tcPr>
          <w:p w14:paraId="168C9C5D" w14:textId="0758DED1" w:rsidR="004D0AC3" w:rsidRPr="008A2E69" w:rsidRDefault="004D0AC3" w:rsidP="004D0AC3">
            <w:pPr>
              <w:spacing w:after="0" w:line="240" w:lineRule="auto"/>
              <w:jc w:val="right"/>
              <w:rPr>
                <w:rFonts w:ascii="Times New Roman" w:hAnsi="Times New Roman" w:cs="Times New Roman"/>
              </w:rPr>
            </w:pPr>
            <w:r w:rsidRPr="008A2E69">
              <w:rPr>
                <w:rFonts w:ascii="Times New Roman" w:hAnsi="Times New Roman" w:cs="Times New Roman"/>
              </w:rPr>
              <w:t>3 160 612</w:t>
            </w:r>
          </w:p>
        </w:tc>
        <w:tc>
          <w:tcPr>
            <w:tcW w:w="1069" w:type="pct"/>
            <w:tcBorders>
              <w:top w:val="nil"/>
              <w:left w:val="single" w:sz="4" w:space="0" w:color="auto"/>
              <w:bottom w:val="single" w:sz="4" w:space="0" w:color="auto"/>
              <w:right w:val="single" w:sz="8" w:space="0" w:color="auto"/>
            </w:tcBorders>
            <w:shd w:val="clear" w:color="auto" w:fill="auto"/>
          </w:tcPr>
          <w:p w14:paraId="2B5756AE" w14:textId="3D688FBD" w:rsidR="004D0AC3" w:rsidRPr="00310CBA" w:rsidRDefault="004D0AC3" w:rsidP="004D0AC3">
            <w:pPr>
              <w:spacing w:after="0" w:line="240" w:lineRule="auto"/>
              <w:jc w:val="right"/>
              <w:rPr>
                <w:rFonts w:ascii="Times New Roman" w:hAnsi="Times New Roman" w:cs="Times New Roman"/>
              </w:rPr>
            </w:pPr>
            <w:r w:rsidRPr="005F7B58">
              <w:rPr>
                <w:rFonts w:ascii="Times New Roman" w:hAnsi="Times New Roman" w:cs="Times New Roman"/>
              </w:rPr>
              <w:t>3 677 826</w:t>
            </w:r>
          </w:p>
        </w:tc>
      </w:tr>
      <w:tr w:rsidR="004D0AC3" w:rsidRPr="009F2998" w14:paraId="3D1F3A4A" w14:textId="77777777" w:rsidTr="005F7B58">
        <w:trPr>
          <w:trHeight w:val="255"/>
        </w:trPr>
        <w:tc>
          <w:tcPr>
            <w:tcW w:w="825" w:type="pct"/>
            <w:shd w:val="clear" w:color="auto" w:fill="FFFFFF"/>
            <w:vAlign w:val="center"/>
          </w:tcPr>
          <w:p w14:paraId="6A1E32A7" w14:textId="77777777" w:rsidR="004D0AC3" w:rsidRPr="009F2998" w:rsidRDefault="004D0AC3" w:rsidP="004D0AC3">
            <w:pPr>
              <w:spacing w:after="0" w:line="240" w:lineRule="auto"/>
              <w:rPr>
                <w:rFonts w:ascii="Times New Roman" w:hAnsi="Times New Roman" w:cs="Times New Roman"/>
              </w:rPr>
            </w:pPr>
            <w:r w:rsidRPr="009F2998">
              <w:rPr>
                <w:rFonts w:ascii="Times New Roman" w:hAnsi="Times New Roman" w:cs="Times New Roman"/>
              </w:rPr>
              <w:t>Priemysel</w:t>
            </w:r>
          </w:p>
        </w:tc>
        <w:tc>
          <w:tcPr>
            <w:tcW w:w="1063" w:type="pct"/>
            <w:shd w:val="clear" w:color="auto" w:fill="FFFFFF"/>
            <w:noWrap/>
            <w:vAlign w:val="center"/>
          </w:tcPr>
          <w:p w14:paraId="238A23FC" w14:textId="0000E2DC" w:rsidR="004D0AC3" w:rsidRPr="009F2998" w:rsidRDefault="004D0AC3" w:rsidP="004D0AC3">
            <w:pPr>
              <w:spacing w:after="0" w:line="240" w:lineRule="auto"/>
              <w:jc w:val="right"/>
              <w:rPr>
                <w:rFonts w:ascii="Times New Roman" w:hAnsi="Times New Roman" w:cs="Times New Roman"/>
              </w:rPr>
            </w:pPr>
            <w:r w:rsidRPr="009F2998">
              <w:rPr>
                <w:rFonts w:ascii="Times New Roman" w:hAnsi="Times New Roman" w:cs="Times New Roman"/>
              </w:rPr>
              <w:t>2 568,89</w:t>
            </w:r>
          </w:p>
        </w:tc>
        <w:tc>
          <w:tcPr>
            <w:tcW w:w="1024" w:type="pct"/>
            <w:tcBorders>
              <w:top w:val="nil"/>
              <w:left w:val="single" w:sz="4" w:space="0" w:color="auto"/>
              <w:bottom w:val="single" w:sz="4" w:space="0" w:color="auto"/>
              <w:right w:val="nil"/>
            </w:tcBorders>
            <w:shd w:val="clear" w:color="auto" w:fill="auto"/>
          </w:tcPr>
          <w:p w14:paraId="059342EE" w14:textId="6F5F0978" w:rsidR="004D0AC3" w:rsidRPr="005F7B58" w:rsidRDefault="004D0AC3" w:rsidP="004D0AC3">
            <w:pPr>
              <w:spacing w:after="0" w:line="240" w:lineRule="auto"/>
              <w:jc w:val="right"/>
              <w:rPr>
                <w:rFonts w:ascii="Times New Roman" w:hAnsi="Times New Roman" w:cs="Times New Roman"/>
              </w:rPr>
            </w:pPr>
            <w:r w:rsidRPr="005F7B58">
              <w:rPr>
                <w:rFonts w:ascii="Times New Roman" w:hAnsi="Times New Roman" w:cs="Times New Roman"/>
              </w:rPr>
              <w:t>2 772,04</w:t>
            </w:r>
          </w:p>
        </w:tc>
        <w:tc>
          <w:tcPr>
            <w:tcW w:w="1019" w:type="pct"/>
            <w:tcBorders>
              <w:left w:val="single" w:sz="12" w:space="0" w:color="auto"/>
            </w:tcBorders>
            <w:shd w:val="clear" w:color="auto" w:fill="FFFFFF"/>
            <w:vAlign w:val="center"/>
          </w:tcPr>
          <w:p w14:paraId="7D7B69C4" w14:textId="7768B5BD" w:rsidR="004D0AC3" w:rsidRPr="008A2E69" w:rsidRDefault="004D0AC3" w:rsidP="004D0AC3">
            <w:pPr>
              <w:spacing w:after="0" w:line="240" w:lineRule="auto"/>
              <w:jc w:val="right"/>
              <w:rPr>
                <w:rFonts w:ascii="Times New Roman" w:hAnsi="Times New Roman" w:cs="Times New Roman"/>
              </w:rPr>
            </w:pPr>
            <w:r w:rsidRPr="008A2E69">
              <w:rPr>
                <w:rFonts w:ascii="Times New Roman" w:hAnsi="Times New Roman" w:cs="Times New Roman"/>
              </w:rPr>
              <w:t>873 674</w:t>
            </w:r>
          </w:p>
        </w:tc>
        <w:tc>
          <w:tcPr>
            <w:tcW w:w="1069" w:type="pct"/>
            <w:tcBorders>
              <w:top w:val="nil"/>
              <w:left w:val="single" w:sz="4" w:space="0" w:color="auto"/>
              <w:bottom w:val="single" w:sz="4" w:space="0" w:color="auto"/>
              <w:right w:val="single" w:sz="8" w:space="0" w:color="auto"/>
            </w:tcBorders>
            <w:shd w:val="clear" w:color="auto" w:fill="auto"/>
          </w:tcPr>
          <w:p w14:paraId="02958515" w14:textId="2BFB2932" w:rsidR="004D0AC3" w:rsidRPr="00310CBA" w:rsidRDefault="004D0AC3" w:rsidP="004D0AC3">
            <w:pPr>
              <w:spacing w:after="0" w:line="240" w:lineRule="auto"/>
              <w:jc w:val="right"/>
              <w:rPr>
                <w:rFonts w:ascii="Times New Roman" w:hAnsi="Times New Roman" w:cs="Times New Roman"/>
              </w:rPr>
            </w:pPr>
            <w:r w:rsidRPr="005F7B58">
              <w:rPr>
                <w:rFonts w:ascii="Times New Roman" w:hAnsi="Times New Roman" w:cs="Times New Roman"/>
              </w:rPr>
              <w:t>147 022</w:t>
            </w:r>
          </w:p>
        </w:tc>
      </w:tr>
      <w:tr w:rsidR="004D0AC3" w:rsidRPr="009F2998" w14:paraId="267F7C87" w14:textId="77777777" w:rsidTr="005F7B58">
        <w:trPr>
          <w:trHeight w:val="255"/>
        </w:trPr>
        <w:tc>
          <w:tcPr>
            <w:tcW w:w="825" w:type="pct"/>
            <w:shd w:val="clear" w:color="auto" w:fill="FFFFFF"/>
            <w:vAlign w:val="center"/>
          </w:tcPr>
          <w:p w14:paraId="720C038C" w14:textId="77777777" w:rsidR="004D0AC3" w:rsidRPr="009F2998" w:rsidRDefault="004D0AC3" w:rsidP="004D0AC3">
            <w:pPr>
              <w:spacing w:after="0" w:line="240" w:lineRule="auto"/>
              <w:rPr>
                <w:rFonts w:ascii="Times New Roman" w:hAnsi="Times New Roman" w:cs="Times New Roman"/>
              </w:rPr>
            </w:pPr>
            <w:r w:rsidRPr="009F2998">
              <w:rPr>
                <w:rFonts w:ascii="Times New Roman" w:hAnsi="Times New Roman" w:cs="Times New Roman"/>
              </w:rPr>
              <w:t>Verejný sektor</w:t>
            </w:r>
          </w:p>
        </w:tc>
        <w:tc>
          <w:tcPr>
            <w:tcW w:w="1063" w:type="pct"/>
            <w:shd w:val="clear" w:color="auto" w:fill="FFFFFF"/>
            <w:noWrap/>
            <w:vAlign w:val="center"/>
          </w:tcPr>
          <w:p w14:paraId="51F0FA75" w14:textId="2B0CB3AE" w:rsidR="004D0AC3" w:rsidRPr="009F2998" w:rsidRDefault="004D0AC3" w:rsidP="004D0AC3">
            <w:pPr>
              <w:spacing w:after="0" w:line="240" w:lineRule="auto"/>
              <w:jc w:val="right"/>
              <w:rPr>
                <w:rFonts w:ascii="Times New Roman" w:hAnsi="Times New Roman" w:cs="Times New Roman"/>
              </w:rPr>
            </w:pPr>
            <w:r w:rsidRPr="009F2998">
              <w:rPr>
                <w:rFonts w:ascii="Times New Roman" w:hAnsi="Times New Roman" w:cs="Times New Roman"/>
              </w:rPr>
              <w:t>1 671,70</w:t>
            </w:r>
          </w:p>
        </w:tc>
        <w:tc>
          <w:tcPr>
            <w:tcW w:w="1024" w:type="pct"/>
            <w:tcBorders>
              <w:top w:val="nil"/>
              <w:left w:val="single" w:sz="4" w:space="0" w:color="auto"/>
              <w:bottom w:val="single" w:sz="4" w:space="0" w:color="auto"/>
              <w:right w:val="nil"/>
            </w:tcBorders>
            <w:shd w:val="clear" w:color="auto" w:fill="auto"/>
          </w:tcPr>
          <w:p w14:paraId="24C54A39" w14:textId="5D682C84" w:rsidR="004D0AC3" w:rsidRPr="005F7B58" w:rsidRDefault="004D0AC3" w:rsidP="004D0AC3">
            <w:pPr>
              <w:spacing w:after="0" w:line="240" w:lineRule="auto"/>
              <w:jc w:val="right"/>
              <w:rPr>
                <w:rFonts w:ascii="Times New Roman" w:hAnsi="Times New Roman" w:cs="Times New Roman"/>
              </w:rPr>
            </w:pPr>
            <w:r w:rsidRPr="005F7B58">
              <w:rPr>
                <w:rFonts w:ascii="Times New Roman" w:hAnsi="Times New Roman" w:cs="Times New Roman"/>
              </w:rPr>
              <w:t>795,73</w:t>
            </w:r>
          </w:p>
        </w:tc>
        <w:tc>
          <w:tcPr>
            <w:tcW w:w="1019" w:type="pct"/>
            <w:tcBorders>
              <w:left w:val="single" w:sz="12" w:space="0" w:color="auto"/>
            </w:tcBorders>
            <w:shd w:val="clear" w:color="auto" w:fill="FFFFFF"/>
            <w:vAlign w:val="center"/>
          </w:tcPr>
          <w:p w14:paraId="3FBD3FE1" w14:textId="07110E3F" w:rsidR="004D0AC3" w:rsidRPr="008A2E69" w:rsidRDefault="004D0AC3" w:rsidP="004D0AC3">
            <w:pPr>
              <w:spacing w:after="0" w:line="240" w:lineRule="auto"/>
              <w:jc w:val="right"/>
              <w:rPr>
                <w:rFonts w:ascii="Times New Roman" w:hAnsi="Times New Roman" w:cs="Times New Roman"/>
              </w:rPr>
            </w:pPr>
            <w:r w:rsidRPr="008A2E69">
              <w:rPr>
                <w:rFonts w:ascii="Times New Roman" w:hAnsi="Times New Roman" w:cs="Times New Roman"/>
              </w:rPr>
              <w:t>390 834</w:t>
            </w:r>
          </w:p>
        </w:tc>
        <w:tc>
          <w:tcPr>
            <w:tcW w:w="1069" w:type="pct"/>
            <w:tcBorders>
              <w:top w:val="nil"/>
              <w:left w:val="single" w:sz="4" w:space="0" w:color="auto"/>
              <w:bottom w:val="single" w:sz="4" w:space="0" w:color="auto"/>
              <w:right w:val="single" w:sz="8" w:space="0" w:color="auto"/>
            </w:tcBorders>
            <w:shd w:val="clear" w:color="auto" w:fill="auto"/>
          </w:tcPr>
          <w:p w14:paraId="5A48660A" w14:textId="0080BD7E" w:rsidR="004D0AC3" w:rsidRPr="00310CBA" w:rsidRDefault="004D0AC3" w:rsidP="004D0AC3">
            <w:pPr>
              <w:spacing w:after="0" w:line="240" w:lineRule="auto"/>
              <w:jc w:val="right"/>
              <w:rPr>
                <w:rFonts w:ascii="Times New Roman" w:hAnsi="Times New Roman" w:cs="Times New Roman"/>
              </w:rPr>
            </w:pPr>
            <w:r w:rsidRPr="005F7B58">
              <w:rPr>
                <w:rFonts w:ascii="Times New Roman" w:hAnsi="Times New Roman" w:cs="Times New Roman"/>
              </w:rPr>
              <w:t>290 088</w:t>
            </w:r>
          </w:p>
        </w:tc>
      </w:tr>
      <w:tr w:rsidR="004D0AC3" w:rsidRPr="009F2998" w14:paraId="39FA5E77" w14:textId="77777777" w:rsidTr="005F7B58">
        <w:trPr>
          <w:trHeight w:val="255"/>
        </w:trPr>
        <w:tc>
          <w:tcPr>
            <w:tcW w:w="825" w:type="pct"/>
            <w:shd w:val="clear" w:color="auto" w:fill="FFFFFF"/>
            <w:vAlign w:val="center"/>
          </w:tcPr>
          <w:p w14:paraId="03D91A4B" w14:textId="77777777" w:rsidR="004D0AC3" w:rsidRPr="009F2998" w:rsidRDefault="004D0AC3" w:rsidP="004D0AC3">
            <w:pPr>
              <w:spacing w:after="0" w:line="240" w:lineRule="auto"/>
              <w:rPr>
                <w:rFonts w:ascii="Times New Roman" w:hAnsi="Times New Roman" w:cs="Times New Roman"/>
              </w:rPr>
            </w:pPr>
            <w:r w:rsidRPr="009F2998">
              <w:rPr>
                <w:rFonts w:ascii="Times New Roman" w:hAnsi="Times New Roman" w:cs="Times New Roman"/>
              </w:rPr>
              <w:t>Doprava</w:t>
            </w:r>
          </w:p>
        </w:tc>
        <w:tc>
          <w:tcPr>
            <w:tcW w:w="1063" w:type="pct"/>
            <w:shd w:val="clear" w:color="auto" w:fill="FFFFFF"/>
            <w:noWrap/>
            <w:vAlign w:val="center"/>
          </w:tcPr>
          <w:p w14:paraId="3AD25B28" w14:textId="13619DEE" w:rsidR="004D0AC3" w:rsidRPr="009F2998" w:rsidRDefault="004D0AC3" w:rsidP="004D0AC3">
            <w:pPr>
              <w:spacing w:after="0" w:line="240" w:lineRule="auto"/>
              <w:jc w:val="right"/>
              <w:rPr>
                <w:rFonts w:ascii="Times New Roman" w:hAnsi="Times New Roman" w:cs="Times New Roman"/>
              </w:rPr>
            </w:pPr>
            <w:r w:rsidRPr="009F2998">
              <w:rPr>
                <w:rFonts w:ascii="Times New Roman" w:hAnsi="Times New Roman" w:cs="Times New Roman"/>
              </w:rPr>
              <w:t>576,02</w:t>
            </w:r>
          </w:p>
        </w:tc>
        <w:tc>
          <w:tcPr>
            <w:tcW w:w="1024" w:type="pct"/>
            <w:tcBorders>
              <w:top w:val="nil"/>
              <w:left w:val="single" w:sz="4" w:space="0" w:color="auto"/>
              <w:bottom w:val="single" w:sz="4" w:space="0" w:color="auto"/>
              <w:right w:val="nil"/>
            </w:tcBorders>
            <w:shd w:val="clear" w:color="auto" w:fill="auto"/>
          </w:tcPr>
          <w:p w14:paraId="32FFD1F1" w14:textId="65F22FB6" w:rsidR="004D0AC3" w:rsidRPr="005F7B58" w:rsidRDefault="004D0AC3" w:rsidP="004D0AC3">
            <w:pPr>
              <w:spacing w:after="0" w:line="240" w:lineRule="auto"/>
              <w:jc w:val="right"/>
              <w:rPr>
                <w:rFonts w:ascii="Times New Roman" w:hAnsi="Times New Roman" w:cs="Times New Roman"/>
              </w:rPr>
            </w:pPr>
            <w:r w:rsidRPr="005F7B58">
              <w:rPr>
                <w:rFonts w:ascii="Times New Roman" w:hAnsi="Times New Roman" w:cs="Times New Roman"/>
              </w:rPr>
              <w:t>896,52</w:t>
            </w:r>
          </w:p>
        </w:tc>
        <w:tc>
          <w:tcPr>
            <w:tcW w:w="1019" w:type="pct"/>
            <w:tcBorders>
              <w:left w:val="single" w:sz="12" w:space="0" w:color="auto"/>
            </w:tcBorders>
            <w:shd w:val="clear" w:color="auto" w:fill="FFFFFF"/>
            <w:vAlign w:val="center"/>
          </w:tcPr>
          <w:p w14:paraId="1B25DE2C" w14:textId="75445872" w:rsidR="004D0AC3" w:rsidRPr="008A2E69" w:rsidRDefault="004D0AC3" w:rsidP="004D0AC3">
            <w:pPr>
              <w:spacing w:after="0" w:line="240" w:lineRule="auto"/>
              <w:jc w:val="right"/>
              <w:rPr>
                <w:rFonts w:ascii="Times New Roman" w:hAnsi="Times New Roman" w:cs="Times New Roman"/>
              </w:rPr>
            </w:pPr>
            <w:r w:rsidRPr="008A2E69">
              <w:rPr>
                <w:rFonts w:ascii="Times New Roman" w:hAnsi="Times New Roman" w:cs="Times New Roman"/>
              </w:rPr>
              <w:t>3 868 046</w:t>
            </w:r>
          </w:p>
        </w:tc>
        <w:tc>
          <w:tcPr>
            <w:tcW w:w="1069" w:type="pct"/>
            <w:tcBorders>
              <w:top w:val="nil"/>
              <w:left w:val="single" w:sz="4" w:space="0" w:color="auto"/>
              <w:bottom w:val="single" w:sz="4" w:space="0" w:color="auto"/>
              <w:right w:val="single" w:sz="8" w:space="0" w:color="auto"/>
            </w:tcBorders>
            <w:shd w:val="clear" w:color="auto" w:fill="auto"/>
          </w:tcPr>
          <w:p w14:paraId="16C90CBD" w14:textId="171D4804" w:rsidR="004D0AC3" w:rsidRPr="00310CBA" w:rsidRDefault="004D0AC3" w:rsidP="004D0AC3">
            <w:pPr>
              <w:spacing w:after="0" w:line="240" w:lineRule="auto"/>
              <w:jc w:val="right"/>
              <w:rPr>
                <w:rFonts w:ascii="Times New Roman" w:hAnsi="Times New Roman" w:cs="Times New Roman"/>
              </w:rPr>
            </w:pPr>
            <w:r w:rsidRPr="005F7B58">
              <w:rPr>
                <w:rFonts w:ascii="Times New Roman" w:hAnsi="Times New Roman" w:cs="Times New Roman"/>
              </w:rPr>
              <w:t>1 456 598</w:t>
            </w:r>
          </w:p>
        </w:tc>
      </w:tr>
      <w:tr w:rsidR="004D0AC3" w:rsidRPr="009F2998" w14:paraId="17F3F22F" w14:textId="77777777" w:rsidTr="005F7B58">
        <w:trPr>
          <w:trHeight w:val="255"/>
        </w:trPr>
        <w:tc>
          <w:tcPr>
            <w:tcW w:w="825" w:type="pct"/>
            <w:shd w:val="clear" w:color="auto" w:fill="FFFFFF"/>
            <w:vAlign w:val="center"/>
          </w:tcPr>
          <w:p w14:paraId="5506D0B9" w14:textId="77777777" w:rsidR="004D0AC3" w:rsidRPr="009F2998" w:rsidRDefault="004D0AC3" w:rsidP="004D0AC3">
            <w:pPr>
              <w:spacing w:after="0" w:line="240" w:lineRule="auto"/>
              <w:rPr>
                <w:rFonts w:ascii="Times New Roman" w:hAnsi="Times New Roman" w:cs="Times New Roman"/>
              </w:rPr>
            </w:pPr>
            <w:r w:rsidRPr="009F2998">
              <w:rPr>
                <w:rFonts w:ascii="Times New Roman" w:hAnsi="Times New Roman" w:cs="Times New Roman"/>
              </w:rPr>
              <w:t>Spotrebiče</w:t>
            </w:r>
          </w:p>
        </w:tc>
        <w:tc>
          <w:tcPr>
            <w:tcW w:w="1063" w:type="pct"/>
            <w:shd w:val="clear" w:color="auto" w:fill="FFFFFF"/>
            <w:noWrap/>
            <w:vAlign w:val="center"/>
          </w:tcPr>
          <w:p w14:paraId="01822CB7" w14:textId="58E25B71" w:rsidR="004D0AC3" w:rsidRPr="009F2998" w:rsidRDefault="004D0AC3" w:rsidP="004D0AC3">
            <w:pPr>
              <w:spacing w:after="0" w:line="240" w:lineRule="auto"/>
              <w:jc w:val="right"/>
              <w:rPr>
                <w:rFonts w:ascii="Times New Roman" w:hAnsi="Times New Roman" w:cs="Times New Roman"/>
              </w:rPr>
            </w:pPr>
            <w:r w:rsidRPr="009F2998">
              <w:rPr>
                <w:rFonts w:ascii="Times New Roman" w:hAnsi="Times New Roman" w:cs="Times New Roman"/>
              </w:rPr>
              <w:t>737,32</w:t>
            </w:r>
          </w:p>
        </w:tc>
        <w:tc>
          <w:tcPr>
            <w:tcW w:w="1024" w:type="pct"/>
            <w:tcBorders>
              <w:top w:val="nil"/>
              <w:left w:val="single" w:sz="4" w:space="0" w:color="auto"/>
              <w:bottom w:val="single" w:sz="4" w:space="0" w:color="auto"/>
              <w:right w:val="nil"/>
            </w:tcBorders>
            <w:shd w:val="clear" w:color="auto" w:fill="auto"/>
          </w:tcPr>
          <w:p w14:paraId="79FA2458" w14:textId="596079CC" w:rsidR="004D0AC3" w:rsidRPr="005F7B58" w:rsidRDefault="004D0AC3" w:rsidP="004D0AC3">
            <w:pPr>
              <w:spacing w:after="0" w:line="240" w:lineRule="auto"/>
              <w:jc w:val="right"/>
              <w:rPr>
                <w:rFonts w:ascii="Times New Roman" w:hAnsi="Times New Roman" w:cs="Times New Roman"/>
              </w:rPr>
            </w:pPr>
            <w:r w:rsidRPr="005F7B58">
              <w:rPr>
                <w:rFonts w:ascii="Times New Roman" w:hAnsi="Times New Roman" w:cs="Times New Roman"/>
              </w:rPr>
              <w:t>569,77</w:t>
            </w:r>
          </w:p>
        </w:tc>
        <w:tc>
          <w:tcPr>
            <w:tcW w:w="1019" w:type="pct"/>
            <w:tcBorders>
              <w:left w:val="single" w:sz="12" w:space="0" w:color="auto"/>
            </w:tcBorders>
            <w:shd w:val="clear" w:color="auto" w:fill="FFFFFF"/>
            <w:vAlign w:val="center"/>
          </w:tcPr>
          <w:p w14:paraId="0C514932" w14:textId="5A020A9E" w:rsidR="004D0AC3" w:rsidRPr="008A2E69" w:rsidRDefault="004D0AC3" w:rsidP="004D0AC3">
            <w:pPr>
              <w:spacing w:after="0" w:line="240" w:lineRule="auto"/>
              <w:jc w:val="right"/>
              <w:rPr>
                <w:rFonts w:ascii="Times New Roman" w:hAnsi="Times New Roman" w:cs="Times New Roman"/>
              </w:rPr>
            </w:pPr>
            <w:r w:rsidRPr="008A2E69">
              <w:rPr>
                <w:rFonts w:ascii="Times New Roman" w:hAnsi="Times New Roman" w:cs="Times New Roman"/>
              </w:rPr>
              <w:t>119 886</w:t>
            </w:r>
          </w:p>
        </w:tc>
        <w:tc>
          <w:tcPr>
            <w:tcW w:w="1069" w:type="pct"/>
            <w:tcBorders>
              <w:top w:val="nil"/>
              <w:left w:val="single" w:sz="4" w:space="0" w:color="auto"/>
              <w:bottom w:val="single" w:sz="4" w:space="0" w:color="auto"/>
              <w:right w:val="single" w:sz="8" w:space="0" w:color="auto"/>
            </w:tcBorders>
            <w:shd w:val="clear" w:color="auto" w:fill="auto"/>
          </w:tcPr>
          <w:p w14:paraId="2571C088" w14:textId="652D77BA" w:rsidR="004D0AC3" w:rsidRPr="00310CBA" w:rsidRDefault="004D0AC3" w:rsidP="004D0AC3">
            <w:pPr>
              <w:spacing w:after="0" w:line="240" w:lineRule="auto"/>
              <w:jc w:val="right"/>
              <w:rPr>
                <w:rFonts w:ascii="Times New Roman" w:hAnsi="Times New Roman" w:cs="Times New Roman"/>
              </w:rPr>
            </w:pPr>
            <w:r w:rsidRPr="005F7B58">
              <w:rPr>
                <w:rFonts w:ascii="Times New Roman" w:hAnsi="Times New Roman" w:cs="Times New Roman"/>
              </w:rPr>
              <w:t>104 188</w:t>
            </w:r>
          </w:p>
        </w:tc>
      </w:tr>
      <w:tr w:rsidR="00CC3518" w:rsidRPr="009F2998" w14:paraId="599B35B6" w14:textId="77777777" w:rsidTr="00AF5415">
        <w:trPr>
          <w:trHeight w:val="270"/>
        </w:trPr>
        <w:tc>
          <w:tcPr>
            <w:tcW w:w="825" w:type="pct"/>
            <w:tcBorders>
              <w:bottom w:val="single" w:sz="4" w:space="0" w:color="auto"/>
            </w:tcBorders>
            <w:shd w:val="clear" w:color="auto" w:fill="FFFFFF"/>
            <w:vAlign w:val="center"/>
          </w:tcPr>
          <w:p w14:paraId="57937EE1" w14:textId="77777777" w:rsidR="00CC3518" w:rsidRPr="009F2998" w:rsidRDefault="00CC3518" w:rsidP="00CC3518">
            <w:pPr>
              <w:spacing w:after="0" w:line="240" w:lineRule="auto"/>
              <w:rPr>
                <w:rFonts w:ascii="Times New Roman" w:hAnsi="Times New Roman" w:cs="Times New Roman"/>
                <w:b/>
              </w:rPr>
            </w:pPr>
            <w:r w:rsidRPr="009F2998">
              <w:rPr>
                <w:rFonts w:ascii="Times New Roman" w:hAnsi="Times New Roman" w:cs="Times New Roman"/>
                <w:b/>
              </w:rPr>
              <w:t>Spolu</w:t>
            </w:r>
          </w:p>
        </w:tc>
        <w:tc>
          <w:tcPr>
            <w:tcW w:w="1063" w:type="pct"/>
            <w:tcBorders>
              <w:bottom w:val="single" w:sz="4" w:space="0" w:color="auto"/>
            </w:tcBorders>
            <w:shd w:val="clear" w:color="auto" w:fill="FFFFFF"/>
            <w:noWrap/>
            <w:vAlign w:val="center"/>
          </w:tcPr>
          <w:p w14:paraId="50775182" w14:textId="6A8C9E0F" w:rsidR="00CC3518" w:rsidRPr="009F2998" w:rsidRDefault="00CC3518" w:rsidP="00CC3518">
            <w:pPr>
              <w:spacing w:after="0" w:line="240" w:lineRule="auto"/>
              <w:jc w:val="right"/>
              <w:rPr>
                <w:rFonts w:ascii="Times New Roman" w:hAnsi="Times New Roman" w:cs="Times New Roman"/>
                <w:b/>
                <w:bCs/>
                <w:color w:val="000000"/>
              </w:rPr>
            </w:pPr>
            <w:r w:rsidRPr="009F2998">
              <w:rPr>
                <w:rFonts w:ascii="Times New Roman" w:hAnsi="Times New Roman" w:cs="Times New Roman"/>
                <w:b/>
                <w:bCs/>
                <w:color w:val="000000"/>
              </w:rPr>
              <w:t>8 640,93</w:t>
            </w:r>
          </w:p>
        </w:tc>
        <w:tc>
          <w:tcPr>
            <w:tcW w:w="1024" w:type="pct"/>
            <w:tcBorders>
              <w:top w:val="nil"/>
              <w:left w:val="single" w:sz="4" w:space="0" w:color="auto"/>
              <w:bottom w:val="single" w:sz="4" w:space="0" w:color="auto"/>
              <w:right w:val="nil"/>
            </w:tcBorders>
            <w:shd w:val="clear" w:color="auto" w:fill="auto"/>
            <w:vAlign w:val="center"/>
          </w:tcPr>
          <w:p w14:paraId="0C7EC4EB" w14:textId="1C56F4A3" w:rsidR="00CC3518" w:rsidRPr="005F7B58" w:rsidRDefault="004D0AC3">
            <w:pPr>
              <w:spacing w:after="0" w:line="240" w:lineRule="auto"/>
              <w:jc w:val="right"/>
              <w:rPr>
                <w:rFonts w:ascii="Times New Roman" w:hAnsi="Times New Roman" w:cs="Times New Roman"/>
                <w:b/>
              </w:rPr>
            </w:pPr>
            <w:r w:rsidRPr="005F7B58">
              <w:rPr>
                <w:rFonts w:ascii="Times New Roman" w:hAnsi="Times New Roman" w:cs="Times New Roman"/>
                <w:b/>
                <w:bCs/>
                <w:color w:val="000000"/>
              </w:rPr>
              <w:t>10 085,28</w:t>
            </w:r>
          </w:p>
        </w:tc>
        <w:tc>
          <w:tcPr>
            <w:tcW w:w="1019" w:type="pct"/>
            <w:tcBorders>
              <w:left w:val="single" w:sz="12" w:space="0" w:color="auto"/>
              <w:bottom w:val="single" w:sz="4" w:space="0" w:color="auto"/>
            </w:tcBorders>
            <w:shd w:val="clear" w:color="auto" w:fill="FFFFFF"/>
            <w:vAlign w:val="center"/>
          </w:tcPr>
          <w:p w14:paraId="765512EE" w14:textId="2AAAEB30" w:rsidR="00CC3518" w:rsidRPr="008A2E69" w:rsidRDefault="00CC3518">
            <w:pPr>
              <w:spacing w:after="0" w:line="240" w:lineRule="auto"/>
              <w:jc w:val="right"/>
              <w:rPr>
                <w:rFonts w:ascii="Times New Roman" w:hAnsi="Times New Roman" w:cs="Times New Roman"/>
                <w:b/>
              </w:rPr>
            </w:pPr>
            <w:r w:rsidRPr="008A2E69">
              <w:rPr>
                <w:rFonts w:ascii="Times New Roman" w:hAnsi="Times New Roman" w:cs="Times New Roman"/>
                <w:b/>
              </w:rPr>
              <w:t>8 413 052</w:t>
            </w:r>
          </w:p>
        </w:tc>
        <w:tc>
          <w:tcPr>
            <w:tcW w:w="1069" w:type="pct"/>
            <w:tcBorders>
              <w:bottom w:val="single" w:sz="4" w:space="0" w:color="auto"/>
            </w:tcBorders>
            <w:shd w:val="clear" w:color="auto" w:fill="FFFFFF"/>
            <w:vAlign w:val="center"/>
          </w:tcPr>
          <w:p w14:paraId="38C43111" w14:textId="4EF3D16E" w:rsidR="00CC3518" w:rsidRPr="00310CBA" w:rsidRDefault="004D0AC3">
            <w:pPr>
              <w:spacing w:after="0" w:line="240" w:lineRule="auto"/>
              <w:jc w:val="right"/>
              <w:rPr>
                <w:rFonts w:ascii="Times New Roman" w:hAnsi="Times New Roman" w:cs="Times New Roman"/>
                <w:b/>
              </w:rPr>
            </w:pPr>
            <w:r w:rsidRPr="00310CBA">
              <w:rPr>
                <w:rFonts w:ascii="Times New Roman" w:hAnsi="Times New Roman" w:cs="Times New Roman"/>
                <w:b/>
              </w:rPr>
              <w:t>5 675 721</w:t>
            </w:r>
          </w:p>
        </w:tc>
      </w:tr>
    </w:tbl>
    <w:p w14:paraId="3B1908B6" w14:textId="77777777" w:rsidR="008029A8" w:rsidRDefault="008029A8" w:rsidP="00902157">
      <w:pPr>
        <w:jc w:val="both"/>
        <w:rPr>
          <w:rFonts w:ascii="Times New Roman" w:hAnsi="Times New Roman" w:cs="Times New Roman"/>
        </w:rPr>
      </w:pPr>
    </w:p>
    <w:p w14:paraId="6B3C7313" w14:textId="3B41FA43" w:rsidR="00902157" w:rsidRDefault="00902157" w:rsidP="00902157">
      <w:pPr>
        <w:jc w:val="both"/>
        <w:rPr>
          <w:rFonts w:ascii="Times New Roman" w:hAnsi="Times New Roman" w:cs="Times New Roman"/>
          <w:sz w:val="24"/>
          <w:szCs w:val="24"/>
        </w:rPr>
      </w:pPr>
      <w:r w:rsidRPr="000745A8">
        <w:rPr>
          <w:rFonts w:ascii="Times New Roman" w:hAnsi="Times New Roman" w:cs="Times New Roman"/>
          <w:sz w:val="24"/>
          <w:szCs w:val="24"/>
        </w:rPr>
        <w:t xml:space="preserve">Najvyšší podiel na </w:t>
      </w:r>
      <w:r w:rsidR="00AF6574" w:rsidRPr="000745A8">
        <w:rPr>
          <w:rFonts w:ascii="Times New Roman" w:hAnsi="Times New Roman" w:cs="Times New Roman"/>
          <w:sz w:val="24"/>
          <w:szCs w:val="24"/>
        </w:rPr>
        <w:t xml:space="preserve">dosiahnutých </w:t>
      </w:r>
      <w:r w:rsidRPr="000745A8">
        <w:rPr>
          <w:rFonts w:ascii="Times New Roman" w:hAnsi="Times New Roman" w:cs="Times New Roman"/>
          <w:sz w:val="24"/>
          <w:szCs w:val="24"/>
        </w:rPr>
        <w:t xml:space="preserve">úsporách energie </w:t>
      </w:r>
      <w:r w:rsidR="00AF6574" w:rsidRPr="002F4575">
        <w:rPr>
          <w:rFonts w:ascii="Times New Roman" w:hAnsi="Times New Roman" w:cs="Times New Roman"/>
          <w:sz w:val="24"/>
          <w:szCs w:val="24"/>
        </w:rPr>
        <w:t>má</w:t>
      </w:r>
      <w:r w:rsidRPr="002F4575">
        <w:rPr>
          <w:rFonts w:ascii="Times New Roman" w:hAnsi="Times New Roman" w:cs="Times New Roman"/>
          <w:sz w:val="24"/>
          <w:szCs w:val="24"/>
        </w:rPr>
        <w:t> sektor budov</w:t>
      </w:r>
      <w:r w:rsidR="002F4575" w:rsidRPr="004E746F">
        <w:rPr>
          <w:rFonts w:ascii="Times New Roman" w:hAnsi="Times New Roman" w:cs="Times New Roman"/>
          <w:sz w:val="24"/>
          <w:szCs w:val="24"/>
        </w:rPr>
        <w:t xml:space="preserve"> zhruba</w:t>
      </w:r>
      <w:r w:rsidRPr="002F4575">
        <w:rPr>
          <w:rFonts w:ascii="Times New Roman" w:hAnsi="Times New Roman" w:cs="Times New Roman"/>
          <w:sz w:val="24"/>
          <w:szCs w:val="24"/>
        </w:rPr>
        <w:t xml:space="preserve"> </w:t>
      </w:r>
      <w:r w:rsidR="00DC5D49">
        <w:rPr>
          <w:rFonts w:ascii="Times New Roman" w:hAnsi="Times New Roman" w:cs="Times New Roman"/>
          <w:sz w:val="24"/>
          <w:szCs w:val="24"/>
        </w:rPr>
        <w:t>50</w:t>
      </w:r>
      <w:r w:rsidR="005311CA" w:rsidRPr="002F4575">
        <w:rPr>
          <w:rFonts w:ascii="Times New Roman" w:hAnsi="Times New Roman" w:cs="Times New Roman"/>
          <w:sz w:val="24"/>
          <w:szCs w:val="24"/>
        </w:rPr>
        <w:t>%</w:t>
      </w:r>
      <w:r w:rsidRPr="002F4575">
        <w:rPr>
          <w:rFonts w:ascii="Times New Roman" w:hAnsi="Times New Roman" w:cs="Times New Roman"/>
          <w:sz w:val="24"/>
          <w:szCs w:val="24"/>
        </w:rPr>
        <w:t xml:space="preserve">. </w:t>
      </w:r>
      <w:r w:rsidR="005311CA" w:rsidRPr="002F4575">
        <w:rPr>
          <w:rFonts w:ascii="Times New Roman" w:hAnsi="Times New Roman" w:cs="Times New Roman"/>
          <w:sz w:val="24"/>
          <w:szCs w:val="24"/>
        </w:rPr>
        <w:t>Priemysel</w:t>
      </w:r>
      <w:r w:rsidR="005311CA" w:rsidRPr="000745A8">
        <w:rPr>
          <w:rFonts w:ascii="Times New Roman" w:hAnsi="Times New Roman" w:cs="Times New Roman"/>
          <w:sz w:val="24"/>
          <w:szCs w:val="24"/>
        </w:rPr>
        <w:t xml:space="preserve"> sa podieľal na dosiahnutých úsporách zhruba </w:t>
      </w:r>
      <w:r w:rsidR="00310CBA">
        <w:rPr>
          <w:rFonts w:ascii="Times New Roman" w:hAnsi="Times New Roman" w:cs="Times New Roman"/>
          <w:sz w:val="24"/>
          <w:szCs w:val="24"/>
        </w:rPr>
        <w:t>27</w:t>
      </w:r>
      <w:r w:rsidR="00310CBA" w:rsidRPr="000745A8">
        <w:rPr>
          <w:rFonts w:ascii="Times New Roman" w:hAnsi="Times New Roman" w:cs="Times New Roman"/>
          <w:sz w:val="24"/>
          <w:szCs w:val="24"/>
        </w:rPr>
        <w:t> </w:t>
      </w:r>
      <w:r w:rsidR="005311CA" w:rsidRPr="000745A8">
        <w:rPr>
          <w:rFonts w:ascii="Times New Roman" w:hAnsi="Times New Roman" w:cs="Times New Roman"/>
          <w:sz w:val="24"/>
          <w:szCs w:val="24"/>
        </w:rPr>
        <w:t xml:space="preserve">%. </w:t>
      </w:r>
      <w:r w:rsidRPr="000745A8">
        <w:rPr>
          <w:rFonts w:ascii="Times New Roman" w:hAnsi="Times New Roman" w:cs="Times New Roman"/>
          <w:sz w:val="24"/>
          <w:szCs w:val="24"/>
        </w:rPr>
        <w:t xml:space="preserve">Podiel </w:t>
      </w:r>
      <w:r w:rsidR="00DC5D49">
        <w:rPr>
          <w:rFonts w:ascii="Times New Roman" w:hAnsi="Times New Roman" w:cs="Times New Roman"/>
          <w:sz w:val="24"/>
          <w:szCs w:val="24"/>
        </w:rPr>
        <w:t>dopravy</w:t>
      </w:r>
      <w:r w:rsidRPr="000745A8">
        <w:rPr>
          <w:rFonts w:ascii="Times New Roman" w:hAnsi="Times New Roman" w:cs="Times New Roman"/>
          <w:sz w:val="24"/>
          <w:szCs w:val="24"/>
        </w:rPr>
        <w:t xml:space="preserve"> predstavuje asi </w:t>
      </w:r>
      <w:r w:rsidR="00DC5D49">
        <w:rPr>
          <w:rFonts w:ascii="Times New Roman" w:hAnsi="Times New Roman" w:cs="Times New Roman"/>
          <w:sz w:val="24"/>
          <w:szCs w:val="24"/>
        </w:rPr>
        <w:t>9</w:t>
      </w:r>
      <w:r w:rsidR="00AC1D7F" w:rsidRPr="000745A8">
        <w:rPr>
          <w:rFonts w:ascii="Times New Roman" w:hAnsi="Times New Roman" w:cs="Times New Roman"/>
          <w:sz w:val="24"/>
          <w:szCs w:val="24"/>
        </w:rPr>
        <w:t> </w:t>
      </w:r>
      <w:r w:rsidRPr="000745A8">
        <w:rPr>
          <w:rFonts w:ascii="Times New Roman" w:hAnsi="Times New Roman" w:cs="Times New Roman"/>
          <w:sz w:val="24"/>
          <w:szCs w:val="24"/>
        </w:rPr>
        <w:t>%. Najnižš</w:t>
      </w:r>
      <w:r w:rsidR="005311CA" w:rsidRPr="000745A8">
        <w:rPr>
          <w:rFonts w:ascii="Times New Roman" w:hAnsi="Times New Roman" w:cs="Times New Roman"/>
          <w:sz w:val="24"/>
          <w:szCs w:val="24"/>
        </w:rPr>
        <w:t>ie</w:t>
      </w:r>
      <w:r w:rsidRPr="000745A8">
        <w:rPr>
          <w:rFonts w:ascii="Times New Roman" w:hAnsi="Times New Roman" w:cs="Times New Roman"/>
          <w:sz w:val="24"/>
          <w:szCs w:val="24"/>
        </w:rPr>
        <w:t xml:space="preserve"> percentuáln</w:t>
      </w:r>
      <w:r w:rsidR="005311CA" w:rsidRPr="000745A8">
        <w:rPr>
          <w:rFonts w:ascii="Times New Roman" w:hAnsi="Times New Roman" w:cs="Times New Roman"/>
          <w:sz w:val="24"/>
          <w:szCs w:val="24"/>
        </w:rPr>
        <w:t>e</w:t>
      </w:r>
      <w:r w:rsidRPr="000745A8">
        <w:rPr>
          <w:rFonts w:ascii="Times New Roman" w:hAnsi="Times New Roman" w:cs="Times New Roman"/>
          <w:sz w:val="24"/>
          <w:szCs w:val="24"/>
        </w:rPr>
        <w:t xml:space="preserve"> podiel</w:t>
      </w:r>
      <w:r w:rsidR="005311CA" w:rsidRPr="000745A8">
        <w:rPr>
          <w:rFonts w:ascii="Times New Roman" w:hAnsi="Times New Roman" w:cs="Times New Roman"/>
          <w:sz w:val="24"/>
          <w:szCs w:val="24"/>
        </w:rPr>
        <w:t>y pripadajú</w:t>
      </w:r>
      <w:r w:rsidRPr="000745A8">
        <w:rPr>
          <w:rFonts w:ascii="Times New Roman" w:hAnsi="Times New Roman" w:cs="Times New Roman"/>
          <w:sz w:val="24"/>
          <w:szCs w:val="24"/>
        </w:rPr>
        <w:t xml:space="preserve"> na</w:t>
      </w:r>
      <w:r w:rsidR="00DC5D49">
        <w:rPr>
          <w:rFonts w:ascii="Times New Roman" w:hAnsi="Times New Roman" w:cs="Times New Roman"/>
          <w:sz w:val="24"/>
          <w:szCs w:val="24"/>
        </w:rPr>
        <w:t xml:space="preserve"> verejný</w:t>
      </w:r>
      <w:r w:rsidRPr="000745A8">
        <w:rPr>
          <w:rFonts w:ascii="Times New Roman" w:hAnsi="Times New Roman" w:cs="Times New Roman"/>
          <w:sz w:val="24"/>
          <w:szCs w:val="24"/>
        </w:rPr>
        <w:t xml:space="preserve"> sektor</w:t>
      </w:r>
      <w:r w:rsidR="005311CA" w:rsidRPr="000745A8">
        <w:rPr>
          <w:rFonts w:ascii="Times New Roman" w:hAnsi="Times New Roman" w:cs="Times New Roman"/>
          <w:sz w:val="24"/>
          <w:szCs w:val="24"/>
        </w:rPr>
        <w:t xml:space="preserve"> a sektor spotrebiče</w:t>
      </w:r>
      <w:r w:rsidRPr="000745A8">
        <w:rPr>
          <w:rFonts w:ascii="Times New Roman" w:hAnsi="Times New Roman" w:cs="Times New Roman"/>
          <w:sz w:val="24"/>
          <w:szCs w:val="24"/>
        </w:rPr>
        <w:t>.</w:t>
      </w:r>
    </w:p>
    <w:p w14:paraId="6240E764" w14:textId="64D3FD61" w:rsidR="00AC1D7F" w:rsidRPr="00AC1D7F" w:rsidRDefault="00AC1D7F" w:rsidP="000578FE">
      <w:pPr>
        <w:keepNext/>
        <w:jc w:val="both"/>
        <w:rPr>
          <w:rFonts w:ascii="Times New Roman" w:hAnsi="Times New Roman" w:cs="Times New Roman"/>
          <w:sz w:val="24"/>
          <w:szCs w:val="24"/>
        </w:rPr>
      </w:pPr>
      <w:r w:rsidRPr="00AC1D7F">
        <w:rPr>
          <w:rFonts w:ascii="Times New Roman" w:hAnsi="Times New Roman" w:cs="Times New Roman"/>
          <w:sz w:val="24"/>
          <w:szCs w:val="24"/>
        </w:rPr>
        <w:t>Graf č. 1</w:t>
      </w:r>
      <w:r w:rsidR="00AE42A2">
        <w:rPr>
          <w:rFonts w:ascii="Times New Roman" w:hAnsi="Times New Roman" w:cs="Times New Roman"/>
          <w:sz w:val="24"/>
          <w:szCs w:val="24"/>
        </w:rPr>
        <w:t>3</w:t>
      </w:r>
      <w:r w:rsidRPr="00AC1D7F">
        <w:rPr>
          <w:rFonts w:ascii="Times New Roman" w:hAnsi="Times New Roman" w:cs="Times New Roman"/>
          <w:sz w:val="24"/>
          <w:szCs w:val="24"/>
        </w:rPr>
        <w:t xml:space="preserve">: </w:t>
      </w:r>
      <w:r w:rsidRPr="000578FE">
        <w:rPr>
          <w:rFonts w:ascii="Times New Roman" w:hAnsi="Times New Roman" w:cs="Times New Roman"/>
          <w:sz w:val="24"/>
          <w:szCs w:val="24"/>
        </w:rPr>
        <w:t>Podiel sektorov na dosiahnutých úsporách energie v rokoch 2014 - 2016</w:t>
      </w:r>
    </w:p>
    <w:p w14:paraId="0917A1FB" w14:textId="591F17DE" w:rsidR="00902157" w:rsidRPr="009F2998" w:rsidRDefault="00902157" w:rsidP="00AE0013">
      <w:pPr>
        <w:rPr>
          <w:rFonts w:ascii="Times New Roman" w:hAnsi="Times New Roman" w:cs="Times New Roman"/>
        </w:rPr>
      </w:pPr>
    </w:p>
    <w:p w14:paraId="596145F5" w14:textId="73EF23A2" w:rsidR="0014464F" w:rsidRPr="009F2998" w:rsidRDefault="0014464F" w:rsidP="0014464F">
      <w:pPr>
        <w:jc w:val="center"/>
        <w:rPr>
          <w:rFonts w:ascii="Times New Roman" w:hAnsi="Times New Roman" w:cs="Times New Roman"/>
        </w:rPr>
      </w:pPr>
      <w:r w:rsidRPr="009F2998">
        <w:rPr>
          <w:rFonts w:ascii="Times New Roman" w:hAnsi="Times New Roman" w:cs="Times New Roman"/>
          <w:noProof/>
          <w:lang w:eastAsia="sk-SK"/>
        </w:rPr>
        <w:drawing>
          <wp:inline distT="0" distB="0" distL="0" distR="0" wp14:anchorId="3836E2EE" wp14:editId="7C805759">
            <wp:extent cx="4283075" cy="2378075"/>
            <wp:effectExtent l="0" t="0" r="3175" b="3175"/>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C9DE9F7" w14:textId="77777777" w:rsidR="00902157" w:rsidRPr="000745A8" w:rsidRDefault="00902157" w:rsidP="00902157">
      <w:pPr>
        <w:spacing w:after="0" w:line="240" w:lineRule="auto"/>
        <w:rPr>
          <w:rFonts w:ascii="Times New Roman" w:hAnsi="Times New Roman" w:cs="Times New Roman"/>
          <w:sz w:val="24"/>
          <w:szCs w:val="24"/>
        </w:rPr>
      </w:pPr>
    </w:p>
    <w:p w14:paraId="026CAA77" w14:textId="416230E9" w:rsidR="009F2210" w:rsidRDefault="00902157" w:rsidP="00902157">
      <w:pPr>
        <w:jc w:val="both"/>
        <w:rPr>
          <w:rFonts w:ascii="Times New Roman" w:hAnsi="Times New Roman" w:cs="Times New Roman"/>
          <w:sz w:val="24"/>
          <w:szCs w:val="24"/>
        </w:rPr>
      </w:pPr>
      <w:r w:rsidRPr="000745A8">
        <w:rPr>
          <w:rFonts w:ascii="Times New Roman" w:hAnsi="Times New Roman" w:cs="Times New Roman"/>
          <w:sz w:val="24"/>
          <w:szCs w:val="24"/>
        </w:rPr>
        <w:lastRenderedPageBreak/>
        <w:t xml:space="preserve">Podiel vybraných národných a medzinárodných finančných mechanizmov na  financovaní opatrení energetickej efektívnosti </w:t>
      </w:r>
      <w:r w:rsidR="007F09F3" w:rsidRPr="000745A8">
        <w:rPr>
          <w:rFonts w:ascii="Times New Roman" w:hAnsi="Times New Roman" w:cs="Times New Roman"/>
          <w:sz w:val="24"/>
          <w:szCs w:val="24"/>
        </w:rPr>
        <w:t xml:space="preserve">za trojročné obdobie 2014 – 2016 </w:t>
      </w:r>
      <w:r w:rsidR="00ED3099" w:rsidRPr="000745A8">
        <w:rPr>
          <w:rFonts w:ascii="Times New Roman" w:hAnsi="Times New Roman" w:cs="Times New Roman"/>
          <w:sz w:val="24"/>
          <w:szCs w:val="24"/>
        </w:rPr>
        <w:t>je uvedený  v</w:t>
      </w:r>
      <w:r w:rsidR="00D2718C">
        <w:rPr>
          <w:rFonts w:ascii="Times New Roman" w:hAnsi="Times New Roman" w:cs="Times New Roman"/>
          <w:sz w:val="24"/>
          <w:szCs w:val="24"/>
        </w:rPr>
        <w:t> </w:t>
      </w:r>
      <w:r w:rsidR="00ED3099" w:rsidRPr="000745A8">
        <w:rPr>
          <w:rFonts w:ascii="Times New Roman" w:hAnsi="Times New Roman" w:cs="Times New Roman"/>
          <w:sz w:val="24"/>
          <w:szCs w:val="24"/>
        </w:rPr>
        <w:t>grafe</w:t>
      </w:r>
      <w:r w:rsidR="00D2718C">
        <w:rPr>
          <w:rFonts w:ascii="Times New Roman" w:hAnsi="Times New Roman" w:cs="Times New Roman"/>
          <w:sz w:val="24"/>
          <w:szCs w:val="24"/>
        </w:rPr>
        <w:t xml:space="preserve"> č. 1</w:t>
      </w:r>
      <w:r w:rsidR="00AE42A2">
        <w:rPr>
          <w:rFonts w:ascii="Times New Roman" w:hAnsi="Times New Roman" w:cs="Times New Roman"/>
          <w:sz w:val="24"/>
          <w:szCs w:val="24"/>
        </w:rPr>
        <w:t>4</w:t>
      </w:r>
      <w:r w:rsidR="00D2718C">
        <w:rPr>
          <w:rFonts w:ascii="Times New Roman" w:hAnsi="Times New Roman" w:cs="Times New Roman"/>
          <w:sz w:val="24"/>
          <w:szCs w:val="24"/>
        </w:rPr>
        <w:t>.</w:t>
      </w:r>
    </w:p>
    <w:p w14:paraId="78455EBE" w14:textId="4371001D" w:rsidR="00902157" w:rsidRPr="007345A8" w:rsidRDefault="009F2210" w:rsidP="000578FE">
      <w:pPr>
        <w:keepNext/>
        <w:jc w:val="both"/>
        <w:rPr>
          <w:rFonts w:ascii="Times New Roman" w:hAnsi="Times New Roman" w:cs="Times New Roman"/>
          <w:sz w:val="24"/>
          <w:szCs w:val="24"/>
        </w:rPr>
      </w:pPr>
      <w:r w:rsidRPr="009F2210">
        <w:rPr>
          <w:rFonts w:ascii="Times New Roman" w:hAnsi="Times New Roman" w:cs="Times New Roman"/>
          <w:sz w:val="24"/>
          <w:szCs w:val="24"/>
        </w:rPr>
        <w:t>Graf č. 1</w:t>
      </w:r>
      <w:r w:rsidR="00AE42A2">
        <w:rPr>
          <w:rFonts w:ascii="Times New Roman" w:hAnsi="Times New Roman" w:cs="Times New Roman"/>
          <w:sz w:val="24"/>
          <w:szCs w:val="24"/>
        </w:rPr>
        <w:t>4</w:t>
      </w:r>
      <w:r w:rsidRPr="009F2210">
        <w:rPr>
          <w:rFonts w:ascii="Times New Roman" w:hAnsi="Times New Roman" w:cs="Times New Roman"/>
          <w:sz w:val="24"/>
          <w:szCs w:val="24"/>
        </w:rPr>
        <w:t xml:space="preserve">: </w:t>
      </w:r>
      <w:r w:rsidRPr="000578FE">
        <w:rPr>
          <w:rFonts w:ascii="Times New Roman" w:hAnsi="Times New Roman" w:cs="Times New Roman"/>
          <w:sz w:val="24"/>
          <w:szCs w:val="24"/>
        </w:rPr>
        <w:t>Podiel vybraných národných a medzinárodných finančných mechanizmov na financovaní opatrení energetickej efektívnosti v rokoch 2014 - 2016</w:t>
      </w:r>
    </w:p>
    <w:p w14:paraId="303E1311" w14:textId="52261637" w:rsidR="00A8429F" w:rsidRPr="009F2998" w:rsidRDefault="00E812BE" w:rsidP="005311CA">
      <w:pPr>
        <w:jc w:val="center"/>
        <w:rPr>
          <w:rFonts w:ascii="Times New Roman" w:hAnsi="Times New Roman" w:cs="Times New Roman"/>
          <w:noProof/>
          <w:lang w:eastAsia="sk-SK"/>
        </w:rPr>
      </w:pPr>
      <w:r w:rsidRPr="009F2998">
        <w:rPr>
          <w:rFonts w:ascii="Times New Roman" w:hAnsi="Times New Roman" w:cs="Times New Roman"/>
          <w:noProof/>
          <w:lang w:eastAsia="sk-SK"/>
        </w:rPr>
        <w:drawing>
          <wp:inline distT="0" distB="0" distL="0" distR="0" wp14:anchorId="1A2F16F2" wp14:editId="75F38682">
            <wp:extent cx="5067300" cy="2447925"/>
            <wp:effectExtent l="0" t="0" r="0" b="0"/>
            <wp:docPr id="22" name="Graf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93EF559" w14:textId="36DE10D2" w:rsidR="00B83924" w:rsidRDefault="00062715" w:rsidP="00902157">
      <w:pPr>
        <w:jc w:val="both"/>
        <w:rPr>
          <w:rFonts w:ascii="Times New Roman" w:hAnsi="Times New Roman" w:cs="Times New Roman"/>
          <w:sz w:val="24"/>
          <w:szCs w:val="24"/>
        </w:rPr>
      </w:pPr>
      <w:r w:rsidRPr="000745A8">
        <w:rPr>
          <w:rFonts w:ascii="Times New Roman" w:hAnsi="Times New Roman" w:cs="Times New Roman"/>
          <w:sz w:val="24"/>
          <w:szCs w:val="24"/>
        </w:rPr>
        <w:t>Nízky p</w:t>
      </w:r>
      <w:r w:rsidR="00B83924" w:rsidRPr="000745A8">
        <w:rPr>
          <w:rFonts w:ascii="Times New Roman" w:hAnsi="Times New Roman" w:cs="Times New Roman"/>
          <w:sz w:val="24"/>
          <w:szCs w:val="24"/>
        </w:rPr>
        <w:t xml:space="preserve">odiel energetických služieb </w:t>
      </w:r>
      <w:r w:rsidRPr="000745A8">
        <w:rPr>
          <w:rFonts w:ascii="Times New Roman" w:hAnsi="Times New Roman" w:cs="Times New Roman"/>
          <w:sz w:val="24"/>
          <w:szCs w:val="24"/>
        </w:rPr>
        <w:t>je spôsobený najmä tým</w:t>
      </w:r>
      <w:r w:rsidR="00B83924" w:rsidRPr="000745A8">
        <w:rPr>
          <w:rFonts w:ascii="Times New Roman" w:hAnsi="Times New Roman" w:cs="Times New Roman"/>
          <w:sz w:val="24"/>
          <w:szCs w:val="24"/>
        </w:rPr>
        <w:t xml:space="preserve">, že v roku 2014 sa </w:t>
      </w:r>
      <w:r w:rsidRPr="000745A8">
        <w:rPr>
          <w:rFonts w:ascii="Times New Roman" w:hAnsi="Times New Roman" w:cs="Times New Roman"/>
          <w:sz w:val="24"/>
          <w:szCs w:val="24"/>
        </w:rPr>
        <w:t>nastavil nový legislatívny rámec pre energetické služby.</w:t>
      </w:r>
      <w:r w:rsidRPr="000745A8">
        <w:rPr>
          <w:rStyle w:val="Odkaznapoznmkupodiarou"/>
          <w:rFonts w:ascii="Times New Roman" w:hAnsi="Times New Roman" w:cs="Times New Roman"/>
          <w:sz w:val="24"/>
          <w:szCs w:val="24"/>
        </w:rPr>
        <w:footnoteReference w:id="26"/>
      </w:r>
      <w:r w:rsidR="00B83924" w:rsidRPr="000745A8">
        <w:rPr>
          <w:rFonts w:ascii="Times New Roman" w:hAnsi="Times New Roman" w:cs="Times New Roman"/>
          <w:sz w:val="24"/>
          <w:szCs w:val="24"/>
        </w:rPr>
        <w:t xml:space="preserve"> </w:t>
      </w:r>
    </w:p>
    <w:p w14:paraId="0AB50608" w14:textId="77777777" w:rsidR="003553AA" w:rsidRPr="000745A8" w:rsidRDefault="003553AA" w:rsidP="00902157">
      <w:pPr>
        <w:jc w:val="both"/>
        <w:rPr>
          <w:rFonts w:ascii="Times New Roman" w:hAnsi="Times New Roman" w:cs="Times New Roman"/>
          <w:sz w:val="24"/>
          <w:szCs w:val="24"/>
        </w:rPr>
      </w:pPr>
    </w:p>
    <w:p w14:paraId="1A5BADD1" w14:textId="25DECC3A" w:rsidR="003553AA" w:rsidRPr="003553AA" w:rsidRDefault="003553AA" w:rsidP="000578FE">
      <w:pPr>
        <w:keepNext/>
        <w:jc w:val="both"/>
        <w:rPr>
          <w:rFonts w:ascii="Times New Roman" w:hAnsi="Times New Roman" w:cs="Times New Roman"/>
          <w:sz w:val="24"/>
          <w:szCs w:val="24"/>
        </w:rPr>
      </w:pPr>
      <w:r w:rsidRPr="003553AA">
        <w:rPr>
          <w:rFonts w:ascii="Times New Roman" w:hAnsi="Times New Roman" w:cs="Times New Roman"/>
          <w:sz w:val="24"/>
          <w:szCs w:val="24"/>
        </w:rPr>
        <w:t>Graf č. 1</w:t>
      </w:r>
      <w:r w:rsidR="00AE42A2">
        <w:rPr>
          <w:rFonts w:ascii="Times New Roman" w:hAnsi="Times New Roman" w:cs="Times New Roman"/>
          <w:sz w:val="24"/>
          <w:szCs w:val="24"/>
        </w:rPr>
        <w:t>5</w:t>
      </w:r>
      <w:r w:rsidRPr="003553AA">
        <w:rPr>
          <w:rFonts w:ascii="Times New Roman" w:hAnsi="Times New Roman" w:cs="Times New Roman"/>
          <w:sz w:val="24"/>
          <w:szCs w:val="24"/>
        </w:rPr>
        <w:t xml:space="preserve">: </w:t>
      </w:r>
      <w:r w:rsidRPr="000578FE">
        <w:rPr>
          <w:rFonts w:ascii="Times New Roman" w:hAnsi="Times New Roman" w:cs="Times New Roman"/>
          <w:sz w:val="24"/>
          <w:szCs w:val="24"/>
        </w:rPr>
        <w:t>Podiel vybraných národných a medzinárodných finančných mechanizmov na financovaní opatrení energetickej efektívnosti v roku 2015</w:t>
      </w:r>
    </w:p>
    <w:p w14:paraId="4A32CFD3" w14:textId="77777777" w:rsidR="003553AA" w:rsidRPr="000745A8" w:rsidRDefault="003553AA" w:rsidP="00756ED8">
      <w:pPr>
        <w:jc w:val="both"/>
        <w:rPr>
          <w:rFonts w:ascii="Times New Roman" w:hAnsi="Times New Roman" w:cs="Times New Roman"/>
          <w:sz w:val="24"/>
          <w:szCs w:val="24"/>
        </w:rPr>
      </w:pPr>
    </w:p>
    <w:p w14:paraId="6F926556" w14:textId="69F1686B" w:rsidR="00516B6C" w:rsidRPr="009F2998" w:rsidRDefault="00516B6C" w:rsidP="00516B6C">
      <w:pPr>
        <w:jc w:val="center"/>
        <w:rPr>
          <w:rFonts w:ascii="Times New Roman" w:hAnsi="Times New Roman" w:cs="Times New Roman"/>
        </w:rPr>
      </w:pPr>
      <w:r w:rsidRPr="009F2998">
        <w:rPr>
          <w:rFonts w:ascii="Times New Roman" w:hAnsi="Times New Roman" w:cs="Times New Roman"/>
          <w:noProof/>
          <w:lang w:eastAsia="sk-SK"/>
        </w:rPr>
        <w:drawing>
          <wp:inline distT="0" distB="0" distL="0" distR="0" wp14:anchorId="6D3FAE28" wp14:editId="1A7C21CA">
            <wp:extent cx="4781550" cy="2711450"/>
            <wp:effectExtent l="0" t="0" r="0" b="0"/>
            <wp:docPr id="27" name="Graf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7"/>
        <w:gridCol w:w="7515"/>
      </w:tblGrid>
      <w:tr w:rsidR="00756ED8" w:rsidRPr="009F2998" w14:paraId="06735A25" w14:textId="77777777" w:rsidTr="003E73B5">
        <w:tc>
          <w:tcPr>
            <w:tcW w:w="858" w:type="pct"/>
            <w:vAlign w:val="center"/>
          </w:tcPr>
          <w:p w14:paraId="59A0F3E7" w14:textId="77777777" w:rsidR="00756ED8" w:rsidRPr="009F2998" w:rsidRDefault="00756ED8" w:rsidP="00CD4818">
            <w:pPr>
              <w:rPr>
                <w:rFonts w:ascii="Times New Roman" w:hAnsi="Times New Roman" w:cs="Times New Roman"/>
              </w:rPr>
            </w:pPr>
          </w:p>
        </w:tc>
        <w:tc>
          <w:tcPr>
            <w:tcW w:w="4142" w:type="pct"/>
            <w:vAlign w:val="center"/>
          </w:tcPr>
          <w:p w14:paraId="0EB9BC24" w14:textId="77777777" w:rsidR="00756ED8" w:rsidRPr="009F2998" w:rsidRDefault="00756ED8" w:rsidP="00CD4818">
            <w:pPr>
              <w:rPr>
                <w:rFonts w:ascii="Times New Roman" w:hAnsi="Times New Roman" w:cs="Times New Roman"/>
              </w:rPr>
            </w:pPr>
          </w:p>
        </w:tc>
      </w:tr>
    </w:tbl>
    <w:p w14:paraId="35C89C84" w14:textId="0F8B2B54" w:rsidR="00902157" w:rsidRPr="000578FE" w:rsidRDefault="00D31B2D" w:rsidP="005F7B58">
      <w:pPr>
        <w:pStyle w:val="Nadpis2"/>
        <w:keepNext w:val="0"/>
        <w:keepLines w:val="0"/>
        <w:numPr>
          <w:ilvl w:val="1"/>
          <w:numId w:val="47"/>
        </w:numPr>
        <w:ind w:left="993" w:hanging="567"/>
        <w:rPr>
          <w:rFonts w:ascii="Times New Roman" w:hAnsi="Times New Roman" w:cs="Times New Roman"/>
          <w:color w:val="auto"/>
        </w:rPr>
      </w:pPr>
      <w:bookmarkStart w:id="59" w:name="_Toc480547239"/>
      <w:r w:rsidRPr="000578FE">
        <w:rPr>
          <w:rFonts w:ascii="Times New Roman" w:hAnsi="Times New Roman" w:cs="Times New Roman"/>
          <w:color w:val="auto"/>
        </w:rPr>
        <w:lastRenderedPageBreak/>
        <w:t>Plánované</w:t>
      </w:r>
      <w:r w:rsidR="00902157" w:rsidRPr="000578FE">
        <w:rPr>
          <w:rFonts w:ascii="Times New Roman" w:hAnsi="Times New Roman" w:cs="Times New Roman"/>
          <w:color w:val="auto"/>
        </w:rPr>
        <w:t xml:space="preserve"> opatren</w:t>
      </w:r>
      <w:r w:rsidRPr="000578FE">
        <w:rPr>
          <w:rFonts w:ascii="Times New Roman" w:hAnsi="Times New Roman" w:cs="Times New Roman"/>
          <w:color w:val="auto"/>
        </w:rPr>
        <w:t xml:space="preserve">ia </w:t>
      </w:r>
      <w:r w:rsidR="00902157" w:rsidRPr="000578FE">
        <w:rPr>
          <w:rFonts w:ascii="Times New Roman" w:hAnsi="Times New Roman" w:cs="Times New Roman"/>
          <w:color w:val="auto"/>
        </w:rPr>
        <w:t xml:space="preserve">energetickej efektívnosti na obdobie 2017-2019 </w:t>
      </w:r>
      <w:r w:rsidR="00D65116" w:rsidRPr="000578FE">
        <w:rPr>
          <w:rFonts w:ascii="Times New Roman" w:hAnsi="Times New Roman" w:cs="Times New Roman"/>
          <w:color w:val="auto"/>
        </w:rPr>
        <w:t xml:space="preserve">      </w:t>
      </w:r>
      <w:r w:rsidR="00902157" w:rsidRPr="000578FE">
        <w:rPr>
          <w:rFonts w:ascii="Times New Roman" w:hAnsi="Times New Roman" w:cs="Times New Roman"/>
          <w:color w:val="auto"/>
        </w:rPr>
        <w:t>s výhľadom do roku 2020</w:t>
      </w:r>
      <w:bookmarkEnd w:id="59"/>
    </w:p>
    <w:p w14:paraId="56CD073E" w14:textId="6854DB8E" w:rsidR="006439C3" w:rsidRDefault="006439C3" w:rsidP="005F7B58">
      <w:pPr>
        <w:pStyle w:val="Nadpis3"/>
        <w:numPr>
          <w:ilvl w:val="2"/>
          <w:numId w:val="48"/>
        </w:numPr>
        <w:rPr>
          <w:rFonts w:ascii="Times New Roman" w:hAnsi="Times New Roman" w:cs="Times New Roman"/>
          <w:color w:val="auto"/>
        </w:rPr>
      </w:pPr>
      <w:bookmarkStart w:id="60" w:name="_Toc480547240"/>
      <w:r w:rsidRPr="005F7B58">
        <w:rPr>
          <w:rFonts w:ascii="Times New Roman" w:hAnsi="Times New Roman" w:cs="Times New Roman"/>
          <w:color w:val="auto"/>
        </w:rPr>
        <w:t>Plánované opatrenia v sektore budov</w:t>
      </w:r>
      <w:bookmarkEnd w:id="60"/>
    </w:p>
    <w:p w14:paraId="1A77C0FD" w14:textId="77777777" w:rsidR="00A75FC3" w:rsidRPr="005F7B58" w:rsidRDefault="00A75FC3" w:rsidP="005F7B58">
      <w:pPr>
        <w:spacing w:after="60" w:line="240" w:lineRule="auto"/>
        <w:jc w:val="both"/>
        <w:rPr>
          <w:rFonts w:ascii="Times New Roman" w:hAnsi="Times New Roman" w:cs="Times New Roman"/>
          <w:sz w:val="24"/>
          <w:szCs w:val="24"/>
        </w:rPr>
      </w:pPr>
    </w:p>
    <w:p w14:paraId="700AA1E7" w14:textId="3E67A163" w:rsidR="00893E0D" w:rsidRDefault="00893E0D" w:rsidP="006D7BDF">
      <w:pPr>
        <w:jc w:val="both"/>
        <w:rPr>
          <w:rFonts w:ascii="Times New Roman" w:hAnsi="Times New Roman" w:cs="Times New Roman"/>
          <w:sz w:val="24"/>
          <w:szCs w:val="24"/>
        </w:rPr>
      </w:pPr>
      <w:r w:rsidRPr="000745A8">
        <w:rPr>
          <w:rFonts w:ascii="Times New Roman" w:hAnsi="Times New Roman" w:cs="Times New Roman"/>
          <w:sz w:val="24"/>
          <w:szCs w:val="24"/>
        </w:rPr>
        <w:t>V budúcom období bude pokračovať podpora zlepšovania tepelnotechnických vlastností budov v bytových domoch z prostriedkov ŠFRB, ako aj rodinných domov prostredníctvom dotácií MDV SR. Bytové domy sa budú významne obnovovať aj z prostriedkov IROP (2014-2020)</w:t>
      </w:r>
      <w:r w:rsidR="00BC3D95">
        <w:rPr>
          <w:rFonts w:ascii="Times New Roman" w:hAnsi="Times New Roman" w:cs="Times New Roman"/>
          <w:sz w:val="24"/>
          <w:szCs w:val="24"/>
        </w:rPr>
        <w:t>, ako aj z programu Slovseff III</w:t>
      </w:r>
      <w:r w:rsidRPr="000745A8">
        <w:rPr>
          <w:rFonts w:ascii="Times New Roman" w:hAnsi="Times New Roman" w:cs="Times New Roman"/>
          <w:sz w:val="24"/>
          <w:szCs w:val="24"/>
        </w:rPr>
        <w:t>.</w:t>
      </w:r>
      <w:r w:rsidR="00BC3D95">
        <w:rPr>
          <w:rFonts w:ascii="Times New Roman" w:hAnsi="Times New Roman" w:cs="Times New Roman"/>
          <w:sz w:val="24"/>
          <w:szCs w:val="24"/>
        </w:rPr>
        <w:t xml:space="preserve"> </w:t>
      </w:r>
    </w:p>
    <w:p w14:paraId="62878AEE" w14:textId="78EC3E44" w:rsidR="00B23425" w:rsidRDefault="00B23425" w:rsidP="00B23425">
      <w:pPr>
        <w:jc w:val="both"/>
        <w:rPr>
          <w:rFonts w:ascii="Times New Roman" w:hAnsi="Times New Roman" w:cs="Times New Roman"/>
          <w:sz w:val="24"/>
          <w:szCs w:val="24"/>
        </w:rPr>
      </w:pPr>
      <w:r>
        <w:rPr>
          <w:rFonts w:ascii="Times New Roman" w:hAnsi="Times New Roman" w:cs="Times New Roman"/>
          <w:sz w:val="24"/>
          <w:szCs w:val="24"/>
        </w:rPr>
        <w:t xml:space="preserve">Predpokladá sa pokračujúci trend vo výške dotácií zo ŠFRB na významnú obnovu bytových domov. Realizácia projektov z IROP (2014-2020) sa predpokladá od roku 2018. </w:t>
      </w:r>
      <w:r w:rsidR="006D7BDF">
        <w:rPr>
          <w:rFonts w:ascii="Times New Roman" w:hAnsi="Times New Roman" w:cs="Times New Roman"/>
          <w:sz w:val="24"/>
          <w:szCs w:val="24"/>
        </w:rPr>
        <w:t>Program Slovseff III</w:t>
      </w:r>
      <w:r w:rsidR="006D7BDF" w:rsidRPr="000745A8">
        <w:rPr>
          <w:rFonts w:ascii="Times New Roman" w:hAnsi="Times New Roman" w:cs="Times New Roman"/>
          <w:sz w:val="24"/>
          <w:szCs w:val="24"/>
        </w:rPr>
        <w:t>.</w:t>
      </w:r>
      <w:r w:rsidR="006D7BDF">
        <w:rPr>
          <w:rFonts w:ascii="Times New Roman" w:hAnsi="Times New Roman" w:cs="Times New Roman"/>
          <w:sz w:val="24"/>
          <w:szCs w:val="24"/>
        </w:rPr>
        <w:t xml:space="preserve"> je pokračovaním programu Slovseff II</w:t>
      </w:r>
      <w:r>
        <w:rPr>
          <w:rFonts w:ascii="Times New Roman" w:hAnsi="Times New Roman" w:cs="Times New Roman"/>
          <w:sz w:val="24"/>
          <w:szCs w:val="24"/>
        </w:rPr>
        <w:t xml:space="preserve"> (pozri </w:t>
      </w:r>
      <w:r w:rsidR="00297B22">
        <w:rPr>
          <w:rFonts w:ascii="Times New Roman" w:hAnsi="Times New Roman" w:cs="Times New Roman"/>
          <w:sz w:val="24"/>
          <w:szCs w:val="24"/>
        </w:rPr>
        <w:t>časť</w:t>
      </w:r>
      <w:r>
        <w:rPr>
          <w:rFonts w:ascii="Times New Roman" w:hAnsi="Times New Roman" w:cs="Times New Roman"/>
          <w:sz w:val="24"/>
          <w:szCs w:val="24"/>
        </w:rPr>
        <w:t xml:space="preserve"> 2</w:t>
      </w:r>
      <w:r w:rsidR="00297B22">
        <w:rPr>
          <w:rFonts w:ascii="Times New Roman" w:hAnsi="Times New Roman" w:cs="Times New Roman"/>
          <w:sz w:val="24"/>
          <w:szCs w:val="24"/>
        </w:rPr>
        <w:t>.2</w:t>
      </w:r>
      <w:r>
        <w:rPr>
          <w:rFonts w:ascii="Times New Roman" w:hAnsi="Times New Roman" w:cs="Times New Roman"/>
          <w:sz w:val="24"/>
          <w:szCs w:val="24"/>
        </w:rPr>
        <w:t>.)</w:t>
      </w:r>
      <w:r w:rsidR="006D7BDF">
        <w:rPr>
          <w:rFonts w:ascii="Times New Roman" w:hAnsi="Times New Roman" w:cs="Times New Roman"/>
          <w:sz w:val="24"/>
          <w:szCs w:val="24"/>
        </w:rPr>
        <w:t xml:space="preserve">. </w:t>
      </w:r>
      <w:r>
        <w:rPr>
          <w:rFonts w:ascii="Times New Roman" w:hAnsi="Times New Roman" w:cs="Times New Roman"/>
          <w:sz w:val="24"/>
          <w:szCs w:val="24"/>
        </w:rPr>
        <w:t xml:space="preserve">Program </w:t>
      </w:r>
      <w:r w:rsidR="006D7BDF">
        <w:rPr>
          <w:rFonts w:ascii="Times New Roman" w:hAnsi="Times New Roman" w:cs="Times New Roman"/>
          <w:sz w:val="24"/>
          <w:szCs w:val="24"/>
        </w:rPr>
        <w:t xml:space="preserve">Slovseff III. je úverovou linkou, kde je nenávratný finančný príspevok poskytovaný v rámci Zelenej investičnej schémy </w:t>
      </w:r>
      <w:r>
        <w:rPr>
          <w:rFonts w:ascii="Times New Roman" w:hAnsi="Times New Roman" w:cs="Times New Roman"/>
          <w:sz w:val="24"/>
          <w:szCs w:val="24"/>
        </w:rPr>
        <w:t xml:space="preserve">financovanej z výnosov z emisných kvót skleníkových plynov. </w:t>
      </w:r>
    </w:p>
    <w:p w14:paraId="7AD0ECF9" w14:textId="10387FB2" w:rsidR="006D7BDF" w:rsidRPr="000745A8" w:rsidRDefault="00B23425" w:rsidP="00B23425">
      <w:pPr>
        <w:jc w:val="both"/>
        <w:rPr>
          <w:rFonts w:ascii="Times New Roman" w:hAnsi="Times New Roman" w:cs="Times New Roman"/>
          <w:sz w:val="24"/>
          <w:szCs w:val="24"/>
        </w:rPr>
      </w:pPr>
      <w:r>
        <w:rPr>
          <w:rFonts w:ascii="Times New Roman" w:hAnsi="Times New Roman" w:cs="Times New Roman"/>
          <w:sz w:val="24"/>
          <w:szCs w:val="24"/>
        </w:rPr>
        <w:t>Vzhľadom na to, že od 01. 01. 2016 sa sprísnili minimálne požiadavky na energetickú hospodárnosť budov pre nové budovy na úroveň ultranízkoenergetického štandardu, nové budovy možno stavať už iba na túto úroveň.</w:t>
      </w:r>
    </w:p>
    <w:p w14:paraId="24D73C1A" w14:textId="77777777" w:rsidR="00A75FC3" w:rsidRPr="005F7B58" w:rsidRDefault="00A75FC3" w:rsidP="005F7B58">
      <w:pPr>
        <w:spacing w:after="60" w:line="240" w:lineRule="auto"/>
        <w:jc w:val="both"/>
        <w:rPr>
          <w:rFonts w:ascii="Times New Roman" w:hAnsi="Times New Roman" w:cs="Times New Roman"/>
          <w:sz w:val="24"/>
          <w:szCs w:val="24"/>
        </w:rPr>
      </w:pPr>
    </w:p>
    <w:p w14:paraId="129BA759" w14:textId="10D3B519" w:rsidR="006439C3" w:rsidRDefault="006439C3" w:rsidP="005F7B58">
      <w:pPr>
        <w:pStyle w:val="Nadpis3"/>
        <w:numPr>
          <w:ilvl w:val="2"/>
          <w:numId w:val="47"/>
        </w:numPr>
        <w:rPr>
          <w:rFonts w:ascii="Times New Roman" w:hAnsi="Times New Roman" w:cs="Times New Roman"/>
          <w:color w:val="auto"/>
        </w:rPr>
      </w:pPr>
      <w:bookmarkStart w:id="61" w:name="_Toc480547241"/>
      <w:r w:rsidRPr="000578FE">
        <w:rPr>
          <w:rFonts w:ascii="Times New Roman" w:hAnsi="Times New Roman" w:cs="Times New Roman"/>
          <w:color w:val="auto"/>
        </w:rPr>
        <w:t>Plánované opatrenia v sektore priemysel</w:t>
      </w:r>
      <w:bookmarkEnd w:id="61"/>
    </w:p>
    <w:p w14:paraId="73F02358" w14:textId="77777777" w:rsidR="00A75FC3" w:rsidRPr="005F7B58" w:rsidRDefault="00A75FC3" w:rsidP="005F7B58">
      <w:pPr>
        <w:spacing w:after="60" w:line="240" w:lineRule="auto"/>
        <w:jc w:val="both"/>
        <w:rPr>
          <w:rFonts w:ascii="Times New Roman" w:hAnsi="Times New Roman" w:cs="Times New Roman"/>
          <w:sz w:val="24"/>
          <w:szCs w:val="24"/>
        </w:rPr>
      </w:pPr>
    </w:p>
    <w:p w14:paraId="30EAEAF4" w14:textId="7F90F6D6" w:rsidR="00893E0D" w:rsidRPr="000745A8" w:rsidRDefault="009A2549" w:rsidP="009A2549">
      <w:pPr>
        <w:jc w:val="both"/>
        <w:rPr>
          <w:rFonts w:ascii="Times New Roman" w:hAnsi="Times New Roman" w:cs="Times New Roman"/>
          <w:sz w:val="24"/>
          <w:szCs w:val="24"/>
        </w:rPr>
      </w:pPr>
      <w:r w:rsidRPr="000745A8">
        <w:rPr>
          <w:rFonts w:ascii="Times New Roman" w:hAnsi="Times New Roman" w:cs="Times New Roman"/>
          <w:sz w:val="24"/>
          <w:szCs w:val="24"/>
        </w:rPr>
        <w:t xml:space="preserve">V budúcom období </w:t>
      </w:r>
      <w:r w:rsidR="002E09E2" w:rsidRPr="000745A8">
        <w:rPr>
          <w:rFonts w:ascii="Times New Roman" w:hAnsi="Times New Roman" w:cs="Times New Roman"/>
          <w:sz w:val="24"/>
          <w:szCs w:val="24"/>
        </w:rPr>
        <w:t xml:space="preserve">sa </w:t>
      </w:r>
      <w:r w:rsidRPr="000745A8">
        <w:rPr>
          <w:rFonts w:ascii="Times New Roman" w:hAnsi="Times New Roman" w:cs="Times New Roman"/>
          <w:sz w:val="24"/>
          <w:szCs w:val="24"/>
        </w:rPr>
        <w:t>plán</w:t>
      </w:r>
      <w:r w:rsidR="002E09E2" w:rsidRPr="000745A8">
        <w:rPr>
          <w:rFonts w:ascii="Times New Roman" w:hAnsi="Times New Roman" w:cs="Times New Roman"/>
          <w:sz w:val="24"/>
          <w:szCs w:val="24"/>
        </w:rPr>
        <w:t>uje</w:t>
      </w:r>
      <w:r w:rsidRPr="000745A8">
        <w:rPr>
          <w:rFonts w:ascii="Times New Roman" w:hAnsi="Times New Roman" w:cs="Times New Roman"/>
          <w:sz w:val="24"/>
          <w:szCs w:val="24"/>
        </w:rPr>
        <w:t xml:space="preserve"> využívať financovanie z</w:t>
      </w:r>
      <w:r w:rsidR="002E09E2" w:rsidRPr="000745A8">
        <w:rPr>
          <w:rFonts w:ascii="Times New Roman" w:hAnsi="Times New Roman" w:cs="Times New Roman"/>
          <w:sz w:val="24"/>
          <w:szCs w:val="24"/>
        </w:rPr>
        <w:t> </w:t>
      </w:r>
      <w:r w:rsidRPr="000745A8">
        <w:rPr>
          <w:rFonts w:ascii="Times New Roman" w:hAnsi="Times New Roman" w:cs="Times New Roman"/>
          <w:sz w:val="24"/>
          <w:szCs w:val="24"/>
        </w:rPr>
        <w:t>EŠIF</w:t>
      </w:r>
      <w:r w:rsidR="002E09E2" w:rsidRPr="000745A8">
        <w:rPr>
          <w:rFonts w:ascii="Times New Roman" w:hAnsi="Times New Roman" w:cs="Times New Roman"/>
          <w:sz w:val="24"/>
          <w:szCs w:val="24"/>
        </w:rPr>
        <w:t xml:space="preserve"> (2014-2020),</w:t>
      </w:r>
      <w:r w:rsidRPr="000745A8">
        <w:rPr>
          <w:rFonts w:ascii="Times New Roman" w:hAnsi="Times New Roman" w:cs="Times New Roman"/>
          <w:sz w:val="24"/>
          <w:szCs w:val="24"/>
        </w:rPr>
        <w:t xml:space="preserve"> a to najmä prostredníctvom OP VaI</w:t>
      </w:r>
      <w:r w:rsidR="00D7280E">
        <w:rPr>
          <w:rFonts w:ascii="Times New Roman" w:hAnsi="Times New Roman" w:cs="Times New Roman"/>
          <w:sz w:val="24"/>
          <w:szCs w:val="24"/>
        </w:rPr>
        <w:t xml:space="preserve"> </w:t>
      </w:r>
      <w:r w:rsidRPr="000745A8">
        <w:rPr>
          <w:rFonts w:ascii="Times New Roman" w:hAnsi="Times New Roman" w:cs="Times New Roman"/>
          <w:sz w:val="24"/>
          <w:szCs w:val="24"/>
        </w:rPr>
        <w:t xml:space="preserve">a OP KŽP. </w:t>
      </w:r>
      <w:r w:rsidR="00D7280E">
        <w:rPr>
          <w:rFonts w:ascii="Times New Roman" w:hAnsi="Times New Roman" w:cs="Times New Roman"/>
          <w:sz w:val="24"/>
          <w:szCs w:val="24"/>
        </w:rPr>
        <w:t xml:space="preserve">V rámci OP VaI (2014-2020) sa budú podporovať inovácie v priemyselných podnikoch, pričom tieto môžu viesť k úsporám energie. </w:t>
      </w:r>
      <w:r w:rsidR="00E46B39">
        <w:rPr>
          <w:rFonts w:ascii="Times New Roman" w:hAnsi="Times New Roman" w:cs="Times New Roman"/>
          <w:sz w:val="24"/>
          <w:szCs w:val="24"/>
        </w:rPr>
        <w:t xml:space="preserve">OP KŽP (2014-2020) je zameraný na podporu prípravy energetických auditov v MSP, ako aj realizáciu opatrení vyplývajúcich z energetických auditov. Prostriedky OP KŽP môžu využívať iba podniky mimo Bratislavského samosprávneho kraja (BSK). Pre podporu prípravy energetických auditov v MSP v BSK aj v budúcom období pokračuje dotačná schéma v pôsobnosti MH SR. Obdobná schéma sa plánuje aj pre podporu realizáciu opatrení vyplývajúcich z energetických auditov pre MSP v BSK. </w:t>
      </w:r>
      <w:r w:rsidR="00D12B23" w:rsidRPr="000745A8">
        <w:rPr>
          <w:rFonts w:ascii="Times New Roman" w:hAnsi="Times New Roman" w:cs="Times New Roman"/>
          <w:sz w:val="24"/>
          <w:szCs w:val="24"/>
        </w:rPr>
        <w:t>Významný podiel úspor energie sa očakáva od rozšírenia aplikácie dobrovoľných dohôd</w:t>
      </w:r>
      <w:r w:rsidR="00D7280E">
        <w:rPr>
          <w:rFonts w:ascii="Times New Roman" w:hAnsi="Times New Roman" w:cs="Times New Roman"/>
          <w:sz w:val="24"/>
          <w:szCs w:val="24"/>
        </w:rPr>
        <w:t xml:space="preserve"> na </w:t>
      </w:r>
      <w:r w:rsidR="00E46B39">
        <w:rPr>
          <w:rFonts w:ascii="Times New Roman" w:hAnsi="Times New Roman" w:cs="Times New Roman"/>
          <w:sz w:val="24"/>
          <w:szCs w:val="24"/>
        </w:rPr>
        <w:t xml:space="preserve">veľké </w:t>
      </w:r>
      <w:r w:rsidR="00D7280E">
        <w:rPr>
          <w:rFonts w:ascii="Times New Roman" w:hAnsi="Times New Roman" w:cs="Times New Roman"/>
          <w:sz w:val="24"/>
          <w:szCs w:val="24"/>
        </w:rPr>
        <w:t xml:space="preserve">priemyselné podniky. </w:t>
      </w:r>
      <w:r w:rsidR="00E46B39">
        <w:rPr>
          <w:rFonts w:ascii="Times New Roman" w:hAnsi="Times New Roman" w:cs="Times New Roman"/>
          <w:sz w:val="24"/>
          <w:szCs w:val="24"/>
        </w:rPr>
        <w:t xml:space="preserve">V budúcnosti možno predpokladať aj úspory energie v podnikoch, ktorým boli poskytnuté investičné stimuly. </w:t>
      </w:r>
    </w:p>
    <w:p w14:paraId="1FE321BD" w14:textId="77777777" w:rsidR="00A75FC3" w:rsidRDefault="00A75FC3" w:rsidP="005F7B58">
      <w:pPr>
        <w:pStyle w:val="Nadpis3"/>
        <w:numPr>
          <w:ilvl w:val="0"/>
          <w:numId w:val="0"/>
        </w:numPr>
        <w:ind w:left="720" w:hanging="720"/>
        <w:rPr>
          <w:rFonts w:ascii="Times New Roman" w:hAnsi="Times New Roman" w:cs="Times New Roman"/>
          <w:color w:val="auto"/>
        </w:rPr>
      </w:pPr>
    </w:p>
    <w:p w14:paraId="786FC24B" w14:textId="569EA9C0" w:rsidR="006439C3" w:rsidRPr="000578FE" w:rsidRDefault="006439C3" w:rsidP="005F7B58">
      <w:pPr>
        <w:pStyle w:val="Nadpis3"/>
        <w:numPr>
          <w:ilvl w:val="2"/>
          <w:numId w:val="47"/>
        </w:numPr>
        <w:rPr>
          <w:rFonts w:ascii="Times New Roman" w:hAnsi="Times New Roman" w:cs="Times New Roman"/>
          <w:color w:val="auto"/>
        </w:rPr>
      </w:pPr>
      <w:bookmarkStart w:id="62" w:name="_Toc480547242"/>
      <w:r w:rsidRPr="000578FE">
        <w:rPr>
          <w:rFonts w:ascii="Times New Roman" w:hAnsi="Times New Roman" w:cs="Times New Roman"/>
          <w:color w:val="auto"/>
        </w:rPr>
        <w:t>Plánované opatrenia vo verejnom sektore</w:t>
      </w:r>
      <w:bookmarkEnd w:id="62"/>
    </w:p>
    <w:p w14:paraId="1A6D79EE" w14:textId="77777777" w:rsidR="00A75FC3" w:rsidRDefault="00A75FC3" w:rsidP="005F7B58">
      <w:pPr>
        <w:spacing w:after="60" w:line="240" w:lineRule="auto"/>
        <w:jc w:val="both"/>
        <w:rPr>
          <w:rFonts w:ascii="Times New Roman" w:hAnsi="Times New Roman" w:cs="Times New Roman"/>
          <w:sz w:val="24"/>
          <w:szCs w:val="24"/>
        </w:rPr>
      </w:pPr>
    </w:p>
    <w:p w14:paraId="0EAC25F2" w14:textId="79A06C73" w:rsidR="006D7BDF" w:rsidRDefault="006B228F" w:rsidP="006D7BDF">
      <w:pPr>
        <w:jc w:val="both"/>
        <w:rPr>
          <w:rFonts w:ascii="Times New Roman" w:hAnsi="Times New Roman" w:cs="Times New Roman"/>
          <w:sz w:val="24"/>
          <w:szCs w:val="24"/>
        </w:rPr>
      </w:pPr>
      <w:r w:rsidRPr="000745A8">
        <w:rPr>
          <w:rFonts w:ascii="Times New Roman" w:hAnsi="Times New Roman" w:cs="Times New Roman"/>
          <w:sz w:val="24"/>
          <w:szCs w:val="24"/>
        </w:rPr>
        <w:t>V budúcom období bude pokračovať podpora zlepšovania tepelnotechnických vlastností budov z existujúcich podporných mechanizmov (najmä OP KŽP</w:t>
      </w:r>
      <w:r w:rsidR="00B23425">
        <w:rPr>
          <w:rFonts w:ascii="Times New Roman" w:hAnsi="Times New Roman" w:cs="Times New Roman"/>
          <w:sz w:val="24"/>
          <w:szCs w:val="24"/>
        </w:rPr>
        <w:t xml:space="preserve"> (2014-2020)</w:t>
      </w:r>
      <w:r w:rsidR="00EC03C0">
        <w:rPr>
          <w:rFonts w:ascii="Times New Roman" w:hAnsi="Times New Roman" w:cs="Times New Roman"/>
          <w:sz w:val="24"/>
          <w:szCs w:val="24"/>
        </w:rPr>
        <w:t>, IROP</w:t>
      </w:r>
      <w:r w:rsidRPr="000745A8">
        <w:rPr>
          <w:rFonts w:ascii="Times New Roman" w:hAnsi="Times New Roman" w:cs="Times New Roman"/>
          <w:sz w:val="24"/>
          <w:szCs w:val="24"/>
        </w:rPr>
        <w:t xml:space="preserve"> </w:t>
      </w:r>
      <w:r w:rsidR="00B23425">
        <w:rPr>
          <w:rFonts w:ascii="Times New Roman" w:hAnsi="Times New Roman" w:cs="Times New Roman"/>
          <w:sz w:val="24"/>
          <w:szCs w:val="24"/>
        </w:rPr>
        <w:t xml:space="preserve">(2014-2020) </w:t>
      </w:r>
      <w:r w:rsidRPr="000745A8">
        <w:rPr>
          <w:rFonts w:ascii="Times New Roman" w:hAnsi="Times New Roman" w:cs="Times New Roman"/>
          <w:sz w:val="24"/>
          <w:szCs w:val="24"/>
        </w:rPr>
        <w:t>a Environmentálny fond)</w:t>
      </w:r>
      <w:r w:rsidR="00E1739F">
        <w:rPr>
          <w:rFonts w:ascii="Times New Roman" w:hAnsi="Times New Roman" w:cs="Times New Roman"/>
          <w:sz w:val="24"/>
          <w:szCs w:val="24"/>
        </w:rPr>
        <w:t xml:space="preserve">, resp. </w:t>
      </w:r>
      <w:r w:rsidR="000A3BE2">
        <w:rPr>
          <w:rFonts w:ascii="Times New Roman" w:hAnsi="Times New Roman" w:cs="Times New Roman"/>
          <w:sz w:val="24"/>
          <w:szCs w:val="24"/>
        </w:rPr>
        <w:t>v kombinácii</w:t>
      </w:r>
      <w:r w:rsidR="00E1739F">
        <w:rPr>
          <w:rFonts w:ascii="Times New Roman" w:hAnsi="Times New Roman" w:cs="Times New Roman"/>
          <w:sz w:val="24"/>
          <w:szCs w:val="24"/>
        </w:rPr>
        <w:t xml:space="preserve"> </w:t>
      </w:r>
      <w:r w:rsidR="00B776B1">
        <w:rPr>
          <w:rFonts w:ascii="Times New Roman" w:hAnsi="Times New Roman" w:cs="Times New Roman"/>
          <w:sz w:val="24"/>
          <w:szCs w:val="24"/>
        </w:rPr>
        <w:t>s mechanizmom</w:t>
      </w:r>
      <w:r w:rsidR="00E1739F">
        <w:rPr>
          <w:rFonts w:ascii="Times New Roman" w:hAnsi="Times New Roman" w:cs="Times New Roman"/>
          <w:sz w:val="24"/>
          <w:szCs w:val="24"/>
        </w:rPr>
        <w:t xml:space="preserve"> energetických služieb. </w:t>
      </w:r>
    </w:p>
    <w:p w14:paraId="4175AB5A" w14:textId="0A89ED67" w:rsidR="00B23425" w:rsidRDefault="004537A5" w:rsidP="004537A5">
      <w:pPr>
        <w:jc w:val="both"/>
        <w:rPr>
          <w:rFonts w:ascii="Times New Roman" w:hAnsi="Times New Roman" w:cs="Times New Roman"/>
          <w:sz w:val="24"/>
          <w:szCs w:val="24"/>
        </w:rPr>
      </w:pPr>
      <w:r>
        <w:rPr>
          <w:rFonts w:ascii="Times New Roman" w:hAnsi="Times New Roman" w:cs="Times New Roman"/>
          <w:sz w:val="24"/>
          <w:szCs w:val="24"/>
        </w:rPr>
        <w:t>Z dôvodu oneskorenia začatia čerpania EŠIF (2014-2020) sa najväčší objem projektov obnovy verejných budov očakáva práve v</w:t>
      </w:r>
      <w:r w:rsidR="00B23425">
        <w:rPr>
          <w:rFonts w:ascii="Times New Roman" w:hAnsi="Times New Roman" w:cs="Times New Roman"/>
          <w:sz w:val="24"/>
          <w:szCs w:val="24"/>
        </w:rPr>
        <w:t xml:space="preserve"> období </w:t>
      </w:r>
      <w:r>
        <w:rPr>
          <w:rFonts w:ascii="Times New Roman" w:hAnsi="Times New Roman" w:cs="Times New Roman"/>
          <w:sz w:val="24"/>
          <w:szCs w:val="24"/>
        </w:rPr>
        <w:t xml:space="preserve">rokov 2017-2020. Z OP KŽP je možné financovať </w:t>
      </w:r>
      <w:r w:rsidRPr="000745A8">
        <w:rPr>
          <w:rFonts w:ascii="Times New Roman" w:hAnsi="Times New Roman" w:cs="Times New Roman"/>
          <w:sz w:val="24"/>
          <w:szCs w:val="24"/>
        </w:rPr>
        <w:t>zlepšovania tepelnotechnických vlastností</w:t>
      </w:r>
      <w:r>
        <w:rPr>
          <w:rFonts w:ascii="Times New Roman" w:hAnsi="Times New Roman" w:cs="Times New Roman"/>
          <w:sz w:val="24"/>
          <w:szCs w:val="24"/>
        </w:rPr>
        <w:t xml:space="preserve"> verejných</w:t>
      </w:r>
      <w:r w:rsidRPr="000745A8">
        <w:rPr>
          <w:rFonts w:ascii="Times New Roman" w:hAnsi="Times New Roman" w:cs="Times New Roman"/>
          <w:sz w:val="24"/>
          <w:szCs w:val="24"/>
        </w:rPr>
        <w:t xml:space="preserve"> budov</w:t>
      </w:r>
      <w:r>
        <w:rPr>
          <w:rFonts w:ascii="Times New Roman" w:hAnsi="Times New Roman" w:cs="Times New Roman"/>
          <w:sz w:val="24"/>
          <w:szCs w:val="24"/>
        </w:rPr>
        <w:t xml:space="preserve"> mimo BSK, pričom v rámci IROPu (2014-2020) je možné podporiť verejné budovy aj v rámci BSK. Očakáva sa, že čerpanie dotácií na obnovu verejných budov z prostriedkov Environmentálneho fondu bude pokračovať v rovnakom trende ako v predchádzajúcom období, a to prostredníctvom Činnosti L3: </w:t>
      </w:r>
      <w:r>
        <w:rPr>
          <w:rFonts w:ascii="Times New Roman" w:hAnsi="Times New Roman" w:cs="Times New Roman"/>
          <w:sz w:val="24"/>
          <w:szCs w:val="24"/>
        </w:rPr>
        <w:lastRenderedPageBreak/>
        <w:t xml:space="preserve">Zvyšovanie </w:t>
      </w:r>
      <w:r w:rsidRPr="004537A5">
        <w:rPr>
          <w:rFonts w:ascii="Times New Roman" w:hAnsi="Times New Roman" w:cs="Times New Roman"/>
          <w:sz w:val="24"/>
          <w:szCs w:val="24"/>
        </w:rPr>
        <w:t>energetickej účinnosti existujúcich verejných budov vrátane zatepľovania</w:t>
      </w:r>
      <w:r>
        <w:rPr>
          <w:rFonts w:ascii="Times New Roman" w:hAnsi="Times New Roman" w:cs="Times New Roman"/>
          <w:sz w:val="24"/>
          <w:szCs w:val="24"/>
        </w:rPr>
        <w:t>. Z tohto programu sa financujú najmä budovy v správe obcí a miest. V budúcom období sa očakáva  zlepšovanie</w:t>
      </w:r>
      <w:r w:rsidRPr="000745A8">
        <w:rPr>
          <w:rFonts w:ascii="Times New Roman" w:hAnsi="Times New Roman" w:cs="Times New Roman"/>
          <w:sz w:val="24"/>
          <w:szCs w:val="24"/>
        </w:rPr>
        <w:t xml:space="preserve"> tepelnotechnických vlastností budov</w:t>
      </w:r>
      <w:r>
        <w:rPr>
          <w:rFonts w:ascii="Times New Roman" w:hAnsi="Times New Roman" w:cs="Times New Roman"/>
          <w:sz w:val="24"/>
          <w:szCs w:val="24"/>
        </w:rPr>
        <w:t xml:space="preserve"> ústredných orgánov štátnej správy. Vo všetkých uvedených programoch </w:t>
      </w:r>
      <w:r w:rsidR="008C4E6D">
        <w:rPr>
          <w:rFonts w:ascii="Times New Roman" w:hAnsi="Times New Roman" w:cs="Times New Roman"/>
          <w:sz w:val="24"/>
          <w:szCs w:val="24"/>
        </w:rPr>
        <w:t xml:space="preserve">financovaných z verejných zdrojov </w:t>
      </w:r>
      <w:r>
        <w:rPr>
          <w:rFonts w:ascii="Times New Roman" w:hAnsi="Times New Roman" w:cs="Times New Roman"/>
          <w:sz w:val="24"/>
          <w:szCs w:val="24"/>
        </w:rPr>
        <w:t>je potrebné dbať na realizáciu hĺbkovej obnovy za cieľom čo najväčšieho zníženia spotreby energie v budove, čo sa prejaví aj znížení</w:t>
      </w:r>
      <w:r w:rsidR="004B625C">
        <w:rPr>
          <w:rFonts w:ascii="Times New Roman" w:hAnsi="Times New Roman" w:cs="Times New Roman"/>
          <w:sz w:val="24"/>
          <w:szCs w:val="24"/>
        </w:rPr>
        <w:t>m</w:t>
      </w:r>
      <w:r>
        <w:rPr>
          <w:rFonts w:ascii="Times New Roman" w:hAnsi="Times New Roman" w:cs="Times New Roman"/>
          <w:sz w:val="24"/>
          <w:szCs w:val="24"/>
        </w:rPr>
        <w:t xml:space="preserve"> výdavkov verejnej správy.</w:t>
      </w:r>
    </w:p>
    <w:p w14:paraId="652A563C" w14:textId="3ADF1009" w:rsidR="006D7BDF" w:rsidRDefault="006D7BDF" w:rsidP="006D7BDF">
      <w:pPr>
        <w:jc w:val="both"/>
        <w:rPr>
          <w:rFonts w:ascii="Times New Roman" w:hAnsi="Times New Roman" w:cs="Times New Roman"/>
          <w:sz w:val="24"/>
          <w:szCs w:val="24"/>
        </w:rPr>
      </w:pPr>
      <w:r>
        <w:rPr>
          <w:rFonts w:ascii="Times New Roman" w:hAnsi="Times New Roman" w:cs="Times New Roman"/>
          <w:sz w:val="24"/>
          <w:szCs w:val="24"/>
        </w:rPr>
        <w:t xml:space="preserve">Od 01. 01. </w:t>
      </w:r>
      <w:r w:rsidRPr="006D7BDF">
        <w:rPr>
          <w:rFonts w:ascii="Times New Roman" w:hAnsi="Times New Roman" w:cs="Times New Roman"/>
          <w:sz w:val="24"/>
          <w:szCs w:val="24"/>
        </w:rPr>
        <w:t>2019</w:t>
      </w:r>
      <w:r>
        <w:rPr>
          <w:rFonts w:ascii="Times New Roman" w:hAnsi="Times New Roman" w:cs="Times New Roman"/>
          <w:sz w:val="24"/>
          <w:szCs w:val="24"/>
        </w:rPr>
        <w:t xml:space="preserve"> budú všetky </w:t>
      </w:r>
      <w:r w:rsidRPr="006D7BDF">
        <w:rPr>
          <w:rFonts w:ascii="Times New Roman" w:hAnsi="Times New Roman" w:cs="Times New Roman"/>
          <w:sz w:val="24"/>
          <w:szCs w:val="24"/>
        </w:rPr>
        <w:t>nové budovy, v ktorých sídlia a ktoré vlastnia orgány verejnej moci</w:t>
      </w:r>
      <w:r>
        <w:rPr>
          <w:rFonts w:ascii="Times New Roman" w:hAnsi="Times New Roman" w:cs="Times New Roman"/>
          <w:sz w:val="24"/>
          <w:szCs w:val="24"/>
        </w:rPr>
        <w:t xml:space="preserve">, musieť spĺňať minimálne požiadavky na energetickú hospodárnosť budov na úroveň takmer nulových budov. </w:t>
      </w:r>
    </w:p>
    <w:p w14:paraId="5FE9C706" w14:textId="402DD6F6" w:rsidR="0073521A" w:rsidRPr="000745A8" w:rsidRDefault="006B228F" w:rsidP="00D12B23">
      <w:pPr>
        <w:jc w:val="both"/>
        <w:rPr>
          <w:rFonts w:ascii="Times New Roman" w:hAnsi="Times New Roman" w:cs="Times New Roman"/>
          <w:sz w:val="24"/>
          <w:szCs w:val="24"/>
        </w:rPr>
      </w:pPr>
      <w:r w:rsidRPr="000745A8">
        <w:rPr>
          <w:rFonts w:ascii="Times New Roman" w:hAnsi="Times New Roman" w:cs="Times New Roman"/>
          <w:sz w:val="24"/>
          <w:szCs w:val="24"/>
        </w:rPr>
        <w:t>Na základe prieskumu</w:t>
      </w:r>
      <w:r w:rsidR="00C50BBB" w:rsidRPr="000745A8">
        <w:rPr>
          <w:rFonts w:ascii="Times New Roman" w:hAnsi="Times New Roman" w:cs="Times New Roman"/>
          <w:sz w:val="24"/>
          <w:szCs w:val="24"/>
        </w:rPr>
        <w:t xml:space="preserve"> potrieb verejného sektora na obnovu verejných budov</w:t>
      </w:r>
      <w:r w:rsidRPr="000745A8">
        <w:rPr>
          <w:rFonts w:ascii="Times New Roman" w:hAnsi="Times New Roman" w:cs="Times New Roman"/>
          <w:sz w:val="24"/>
          <w:szCs w:val="24"/>
        </w:rPr>
        <w:t>, ktorý uskutočnila SIEA vo ve</w:t>
      </w:r>
      <w:r w:rsidR="00C50BBB" w:rsidRPr="000745A8">
        <w:rPr>
          <w:rFonts w:ascii="Times New Roman" w:hAnsi="Times New Roman" w:cs="Times New Roman"/>
          <w:sz w:val="24"/>
          <w:szCs w:val="24"/>
        </w:rPr>
        <w:t>rejných budovách</w:t>
      </w:r>
      <w:r w:rsidRPr="000745A8">
        <w:rPr>
          <w:rFonts w:ascii="Times New Roman" w:hAnsi="Times New Roman" w:cs="Times New Roman"/>
          <w:sz w:val="24"/>
          <w:szCs w:val="24"/>
        </w:rPr>
        <w:t>, možno predpokladať potenciál úspor energie vo verejnom sektore vo výške zhruba 650 TJ</w:t>
      </w:r>
      <w:r w:rsidR="00C50BBB" w:rsidRPr="000745A8">
        <w:rPr>
          <w:rFonts w:ascii="Times New Roman" w:hAnsi="Times New Roman" w:cs="Times New Roman"/>
          <w:sz w:val="24"/>
          <w:szCs w:val="24"/>
        </w:rPr>
        <w:t xml:space="preserve"> do roku 2019</w:t>
      </w:r>
      <w:r w:rsidRPr="000745A8">
        <w:rPr>
          <w:rFonts w:ascii="Times New Roman" w:hAnsi="Times New Roman" w:cs="Times New Roman"/>
          <w:sz w:val="24"/>
          <w:szCs w:val="24"/>
        </w:rPr>
        <w:t xml:space="preserve">, pričom potrebné finančné zdroje sú odhadované vo výške </w:t>
      </w:r>
      <w:r w:rsidR="00D12B23" w:rsidRPr="000745A8">
        <w:rPr>
          <w:rFonts w:ascii="Times New Roman" w:hAnsi="Times New Roman" w:cs="Times New Roman"/>
          <w:sz w:val="24"/>
          <w:szCs w:val="24"/>
        </w:rPr>
        <w:t>asi</w:t>
      </w:r>
      <w:r w:rsidRPr="000745A8">
        <w:rPr>
          <w:rFonts w:ascii="Times New Roman" w:hAnsi="Times New Roman" w:cs="Times New Roman"/>
          <w:sz w:val="24"/>
          <w:szCs w:val="24"/>
        </w:rPr>
        <w:t xml:space="preserve"> 180 mil. </w:t>
      </w:r>
      <w:r w:rsidR="000C2919">
        <w:rPr>
          <w:rFonts w:ascii="Times New Roman" w:hAnsi="Times New Roman" w:cs="Times New Roman"/>
          <w:sz w:val="24"/>
          <w:szCs w:val="24"/>
        </w:rPr>
        <w:t>Eur</w:t>
      </w:r>
      <w:r w:rsidRPr="000745A8">
        <w:rPr>
          <w:rFonts w:ascii="Times New Roman" w:hAnsi="Times New Roman" w:cs="Times New Roman"/>
          <w:sz w:val="24"/>
          <w:szCs w:val="24"/>
        </w:rPr>
        <w:t xml:space="preserve">. </w:t>
      </w:r>
    </w:p>
    <w:p w14:paraId="727DA397" w14:textId="0A1B2D4B" w:rsidR="006439C3" w:rsidRPr="000578FE" w:rsidRDefault="006439C3" w:rsidP="005F7B58">
      <w:pPr>
        <w:pStyle w:val="Nadpis3"/>
        <w:numPr>
          <w:ilvl w:val="2"/>
          <w:numId w:val="47"/>
        </w:numPr>
        <w:rPr>
          <w:rFonts w:ascii="Times New Roman" w:hAnsi="Times New Roman" w:cs="Times New Roman"/>
          <w:color w:val="auto"/>
        </w:rPr>
      </w:pPr>
      <w:bookmarkStart w:id="63" w:name="_Toc480547243"/>
      <w:r w:rsidRPr="000578FE">
        <w:rPr>
          <w:rFonts w:ascii="Times New Roman" w:hAnsi="Times New Roman" w:cs="Times New Roman"/>
          <w:color w:val="auto"/>
        </w:rPr>
        <w:t>Plánované opatrenia v sektore doprava</w:t>
      </w:r>
      <w:bookmarkEnd w:id="63"/>
    </w:p>
    <w:p w14:paraId="073FB55F" w14:textId="77777777" w:rsidR="00A75FC3" w:rsidRDefault="00A75FC3" w:rsidP="005F7B58">
      <w:pPr>
        <w:spacing w:after="60" w:line="240" w:lineRule="auto"/>
        <w:jc w:val="both"/>
        <w:rPr>
          <w:rFonts w:ascii="Times New Roman" w:hAnsi="Times New Roman" w:cs="Times New Roman"/>
          <w:sz w:val="24"/>
          <w:szCs w:val="24"/>
        </w:rPr>
      </w:pPr>
    </w:p>
    <w:p w14:paraId="0D42D11C" w14:textId="15DE2BB6" w:rsidR="00406E97" w:rsidRPr="000745A8" w:rsidRDefault="00406E97" w:rsidP="00406E97">
      <w:pPr>
        <w:jc w:val="both"/>
        <w:rPr>
          <w:rFonts w:ascii="Times New Roman" w:hAnsi="Times New Roman" w:cs="Times New Roman"/>
          <w:sz w:val="24"/>
          <w:szCs w:val="24"/>
        </w:rPr>
      </w:pPr>
      <w:r w:rsidRPr="000745A8">
        <w:rPr>
          <w:rFonts w:ascii="Times New Roman" w:hAnsi="Times New Roman" w:cs="Times New Roman"/>
          <w:sz w:val="24"/>
          <w:szCs w:val="24"/>
        </w:rPr>
        <w:t>V ďalšom období bude pokračovať „Obnova a modernizácia vozidlového parku“ (obnova prostriedkov verejnej autobusovej dopravy bude financovaná z IROP 2014-2020, obnova prostriedkov dráhovej dopravy bude financovaná prostredníctvom OPII 2014-2020), ako aj opatrenie „Budovanie a modernizácia dopravnej infrašt</w:t>
      </w:r>
      <w:r w:rsidR="00971C94">
        <w:rPr>
          <w:rFonts w:ascii="Times New Roman" w:hAnsi="Times New Roman" w:cs="Times New Roman"/>
          <w:sz w:val="24"/>
          <w:szCs w:val="24"/>
        </w:rPr>
        <w:t>ruktúry“ (</w:t>
      </w:r>
      <w:r w:rsidRPr="000745A8">
        <w:rPr>
          <w:rFonts w:ascii="Times New Roman" w:hAnsi="Times New Roman" w:cs="Times New Roman"/>
          <w:sz w:val="24"/>
          <w:szCs w:val="24"/>
        </w:rPr>
        <w:t xml:space="preserve">OP II 2014-2020 a IROP 2014-2020). Predpokladá sa, že výstavba a rozvoj dopravnej infraštruktúry, dokončenie ucelenej siete nadradenej cestnej infraštruktúry, ciest II. a III. triedy a modernizácia hlavných železničných tratí, odstraňovanie úzkych dopravných miest a kritických nehodových lokalít umožnia zníženie spotreby pohonných látok. V rámci OP II 2014-2020 sa bude podporovať verejná osobná doprava prostredníctvom zlepšenia kvality infraštruktúry pre integrované dopravné systémy (ďalej aj „IDS“) a mestskú dráhovú dopravu. Prostredníctvom IROP 2014-2020 sa bude podporovať infraštruktúra a mobilné prostriedky cestnej verejnej osobnej dopravy, vrátane podpory pre vytváranie a zavádzanie integrovaných dopravných systémov. </w:t>
      </w:r>
    </w:p>
    <w:p w14:paraId="575CE5C1" w14:textId="399C6F23" w:rsidR="00406E97" w:rsidRPr="000745A8" w:rsidRDefault="00406E97" w:rsidP="00406E97">
      <w:pPr>
        <w:jc w:val="both"/>
        <w:rPr>
          <w:rFonts w:ascii="Times New Roman" w:hAnsi="Times New Roman" w:cs="Times New Roman"/>
          <w:sz w:val="24"/>
          <w:szCs w:val="24"/>
        </w:rPr>
      </w:pPr>
      <w:r w:rsidRPr="000745A8">
        <w:rPr>
          <w:rFonts w:ascii="Times New Roman" w:hAnsi="Times New Roman" w:cs="Times New Roman"/>
          <w:sz w:val="24"/>
          <w:szCs w:val="24"/>
        </w:rPr>
        <w:t>Zároveň sa bude výraznejšie podporovať rozvoj nemotorovej dopravy v súlade s Národnou stratégiou rozvoja cyklistickej dopravy a cykloturistiky v SR. Toto opatrenie zahŕňa podporu výstavby cyklistickej infraštruktúry, zavedenie orientačného a informačného systému pre cyklistov, zabezpečenie odstavných zariadení pre cyklistov, ale aj podporu pešej dopravy, vytváranie dopravne upokojených zón a ďalšie opatrenia, ktoré budú viesť k eliminácii nadmerného a neadekvátneho využívania súkromných osobných automobilov v</w:t>
      </w:r>
      <w:r w:rsidR="002B4689">
        <w:rPr>
          <w:rFonts w:ascii="Times New Roman" w:hAnsi="Times New Roman" w:cs="Times New Roman"/>
          <w:sz w:val="24"/>
          <w:szCs w:val="24"/>
        </w:rPr>
        <w:t> </w:t>
      </w:r>
      <w:r w:rsidRPr="000745A8">
        <w:rPr>
          <w:rFonts w:ascii="Times New Roman" w:hAnsi="Times New Roman" w:cs="Times New Roman"/>
          <w:sz w:val="24"/>
          <w:szCs w:val="24"/>
        </w:rPr>
        <w:t>mestách.</w:t>
      </w:r>
    </w:p>
    <w:p w14:paraId="5C5094BD" w14:textId="390A314D" w:rsidR="006439C3" w:rsidRDefault="00406E97" w:rsidP="007577DE">
      <w:pPr>
        <w:jc w:val="both"/>
        <w:rPr>
          <w:rFonts w:ascii="Times New Roman" w:hAnsi="Times New Roman" w:cs="Times New Roman"/>
          <w:sz w:val="24"/>
          <w:szCs w:val="24"/>
        </w:rPr>
      </w:pPr>
      <w:r w:rsidRPr="000745A8">
        <w:rPr>
          <w:rFonts w:ascii="Times New Roman" w:hAnsi="Times New Roman" w:cs="Times New Roman"/>
          <w:sz w:val="24"/>
          <w:szCs w:val="24"/>
        </w:rPr>
        <w:t>Okrem toho sa v budúcom období predpokladá aj nárast vozidiel na stlačený zemný plyn (CNG) a elektrickú energiu (plnohodnotne elektrické vozidlá, hybridné vozidlá), ktorých hlavnou výhodou je nižšia merná spotreba pohonných látok, ako aj nižšie emisie CO</w:t>
      </w:r>
      <w:r w:rsidRPr="000578FE">
        <w:rPr>
          <w:rFonts w:ascii="Times New Roman" w:hAnsi="Times New Roman" w:cs="Times New Roman"/>
          <w:sz w:val="24"/>
          <w:szCs w:val="24"/>
          <w:vertAlign w:val="subscript"/>
        </w:rPr>
        <w:t xml:space="preserve">2 </w:t>
      </w:r>
      <w:r w:rsidRPr="000745A8">
        <w:rPr>
          <w:rFonts w:ascii="Times New Roman" w:hAnsi="Times New Roman" w:cs="Times New Roman"/>
          <w:sz w:val="24"/>
          <w:szCs w:val="24"/>
        </w:rPr>
        <w:t>a </w:t>
      </w:r>
      <w:r w:rsidR="00D12B23" w:rsidRPr="000745A8">
        <w:rPr>
          <w:rFonts w:ascii="Times New Roman" w:hAnsi="Times New Roman" w:cs="Times New Roman"/>
          <w:sz w:val="24"/>
          <w:szCs w:val="24"/>
        </w:rPr>
        <w:t>tuhých</w:t>
      </w:r>
      <w:r w:rsidRPr="000745A8">
        <w:rPr>
          <w:rFonts w:ascii="Times New Roman" w:hAnsi="Times New Roman" w:cs="Times New Roman"/>
          <w:sz w:val="24"/>
          <w:szCs w:val="24"/>
        </w:rPr>
        <w:t xml:space="preserve"> častíc. Výzvou ostávajú vyššie počiatočné investičné náklady na obstaranie vozidla a vybudovanie siete plniacich </w:t>
      </w:r>
      <w:r w:rsidR="006471C6" w:rsidRPr="000745A8">
        <w:rPr>
          <w:rFonts w:ascii="Times New Roman" w:hAnsi="Times New Roman" w:cs="Times New Roman"/>
          <w:sz w:val="24"/>
          <w:szCs w:val="24"/>
        </w:rPr>
        <w:t xml:space="preserve">a nabíjacích </w:t>
      </w:r>
      <w:r w:rsidRPr="000745A8">
        <w:rPr>
          <w:rFonts w:ascii="Times New Roman" w:hAnsi="Times New Roman" w:cs="Times New Roman"/>
          <w:sz w:val="24"/>
          <w:szCs w:val="24"/>
        </w:rPr>
        <w:t>staníc</w:t>
      </w:r>
      <w:r w:rsidR="002B4689">
        <w:rPr>
          <w:rFonts w:ascii="Times New Roman" w:hAnsi="Times New Roman" w:cs="Times New Roman"/>
          <w:sz w:val="24"/>
          <w:szCs w:val="24"/>
        </w:rPr>
        <w:t xml:space="preserve">. Z tohto dôvodu MH SR a MDV SR budú pokračovať v podpore </w:t>
      </w:r>
      <w:r w:rsidR="006B475D">
        <w:rPr>
          <w:rFonts w:ascii="Times New Roman" w:hAnsi="Times New Roman" w:cs="Times New Roman"/>
          <w:sz w:val="24"/>
          <w:szCs w:val="24"/>
        </w:rPr>
        <w:t>zvyšovania počtu</w:t>
      </w:r>
      <w:r w:rsidR="002B4689">
        <w:rPr>
          <w:rFonts w:ascii="Times New Roman" w:hAnsi="Times New Roman" w:cs="Times New Roman"/>
          <w:sz w:val="24"/>
          <w:szCs w:val="24"/>
        </w:rPr>
        <w:t xml:space="preserve"> vozidiel v súvislosti s Národným politickým rámcom pre rozvoj trhu s alternatívnymi palivami. </w:t>
      </w:r>
    </w:p>
    <w:p w14:paraId="57123BC0" w14:textId="77777777" w:rsidR="00A75FC3" w:rsidRPr="000745A8" w:rsidRDefault="00A75FC3" w:rsidP="007577DE">
      <w:pPr>
        <w:jc w:val="both"/>
        <w:rPr>
          <w:rFonts w:ascii="Times New Roman" w:hAnsi="Times New Roman" w:cs="Times New Roman"/>
          <w:sz w:val="24"/>
          <w:szCs w:val="24"/>
        </w:rPr>
      </w:pPr>
    </w:p>
    <w:p w14:paraId="58F9CADF" w14:textId="1EE4669F" w:rsidR="006439C3" w:rsidRPr="000578FE" w:rsidRDefault="006439C3" w:rsidP="005F7B58">
      <w:pPr>
        <w:pStyle w:val="Nadpis3"/>
        <w:numPr>
          <w:ilvl w:val="2"/>
          <w:numId w:val="47"/>
        </w:numPr>
        <w:rPr>
          <w:rFonts w:ascii="Times New Roman" w:hAnsi="Times New Roman" w:cs="Times New Roman"/>
          <w:color w:val="auto"/>
        </w:rPr>
      </w:pPr>
      <w:bookmarkStart w:id="64" w:name="_Toc480547244"/>
      <w:r w:rsidRPr="000578FE">
        <w:rPr>
          <w:rFonts w:ascii="Times New Roman" w:hAnsi="Times New Roman" w:cs="Times New Roman"/>
          <w:color w:val="auto"/>
        </w:rPr>
        <w:t>Plánované opatrenia v sektore spotrebiče</w:t>
      </w:r>
      <w:bookmarkEnd w:id="64"/>
    </w:p>
    <w:p w14:paraId="20C9A0C5" w14:textId="77777777" w:rsidR="00A75FC3" w:rsidRDefault="00A75FC3" w:rsidP="005F7B58">
      <w:pPr>
        <w:spacing w:after="60" w:line="240" w:lineRule="auto"/>
        <w:jc w:val="both"/>
        <w:rPr>
          <w:rFonts w:ascii="Times New Roman" w:hAnsi="Times New Roman" w:cs="Times New Roman"/>
          <w:sz w:val="24"/>
          <w:szCs w:val="24"/>
        </w:rPr>
      </w:pPr>
    </w:p>
    <w:p w14:paraId="3B41AE7D" w14:textId="11A9B45B" w:rsidR="0007724F" w:rsidRPr="000745A8" w:rsidRDefault="003C6682" w:rsidP="007577DE">
      <w:pPr>
        <w:jc w:val="both"/>
        <w:rPr>
          <w:rFonts w:ascii="Times New Roman" w:hAnsi="Times New Roman" w:cs="Times New Roman"/>
          <w:sz w:val="24"/>
          <w:szCs w:val="24"/>
        </w:rPr>
      </w:pPr>
      <w:r w:rsidRPr="000745A8">
        <w:rPr>
          <w:rFonts w:ascii="Times New Roman" w:hAnsi="Times New Roman" w:cs="Times New Roman"/>
          <w:sz w:val="24"/>
          <w:szCs w:val="24"/>
        </w:rPr>
        <w:lastRenderedPageBreak/>
        <w:t>V sektore spotrebičov sa predpokladá naďalej obmena bielej techniky</w:t>
      </w:r>
      <w:r w:rsidR="00837791" w:rsidRPr="000745A8">
        <w:rPr>
          <w:rFonts w:ascii="Times New Roman" w:hAnsi="Times New Roman" w:cs="Times New Roman"/>
          <w:sz w:val="24"/>
          <w:szCs w:val="24"/>
        </w:rPr>
        <w:t>, inštalácia úsporných svietidiel a sprísňovanie minimálnych technických požiadaviek zo strany EK v rámci stanovenom legislatívou v oblasti ekodizajnu a štítkovania. V budúcom období plánuje MH SR</w:t>
      </w:r>
      <w:r w:rsidR="008C4E6D">
        <w:rPr>
          <w:rFonts w:ascii="Times New Roman" w:hAnsi="Times New Roman" w:cs="Times New Roman"/>
          <w:sz w:val="24"/>
          <w:szCs w:val="24"/>
        </w:rPr>
        <w:t xml:space="preserve"> a </w:t>
      </w:r>
      <w:r w:rsidR="00837791" w:rsidRPr="000745A8">
        <w:rPr>
          <w:rFonts w:ascii="Times New Roman" w:hAnsi="Times New Roman" w:cs="Times New Roman"/>
          <w:sz w:val="24"/>
          <w:szCs w:val="24"/>
        </w:rPr>
        <w:t>SIEA v spolupráci s CECED-om zabezpečiť monitorovanie aj iných typov spotrebičov v segmente bielej techniky</w:t>
      </w:r>
      <w:r w:rsidR="008C4E6D">
        <w:rPr>
          <w:rFonts w:ascii="Times New Roman" w:hAnsi="Times New Roman" w:cs="Times New Roman"/>
          <w:sz w:val="24"/>
          <w:szCs w:val="24"/>
        </w:rPr>
        <w:t xml:space="preserve"> (t. j. nielen chladničky a mrazničky, ale aj práčky, vysávače, umývačky riadu a iné)</w:t>
      </w:r>
      <w:r w:rsidR="00837791" w:rsidRPr="000745A8">
        <w:rPr>
          <w:rFonts w:ascii="Times New Roman" w:hAnsi="Times New Roman" w:cs="Times New Roman"/>
          <w:sz w:val="24"/>
          <w:szCs w:val="24"/>
        </w:rPr>
        <w:t xml:space="preserve">. </w:t>
      </w:r>
      <w:r w:rsidRPr="000745A8">
        <w:rPr>
          <w:rFonts w:ascii="Times New Roman" w:hAnsi="Times New Roman" w:cs="Times New Roman"/>
          <w:sz w:val="24"/>
          <w:szCs w:val="24"/>
        </w:rPr>
        <w:t xml:space="preserve"> </w:t>
      </w:r>
    </w:p>
    <w:p w14:paraId="6C29482C" w14:textId="57FC4245" w:rsidR="00902157" w:rsidRPr="000578FE" w:rsidRDefault="006439C3" w:rsidP="005F7B58">
      <w:pPr>
        <w:pStyle w:val="Nadpis3"/>
        <w:numPr>
          <w:ilvl w:val="2"/>
          <w:numId w:val="47"/>
        </w:numPr>
        <w:rPr>
          <w:rFonts w:ascii="Times New Roman" w:hAnsi="Times New Roman" w:cs="Times New Roman"/>
          <w:color w:val="auto"/>
        </w:rPr>
      </w:pPr>
      <w:bookmarkStart w:id="65" w:name="_Toc480547245"/>
      <w:r w:rsidRPr="000578FE">
        <w:rPr>
          <w:rFonts w:ascii="Times New Roman" w:hAnsi="Times New Roman" w:cs="Times New Roman"/>
          <w:color w:val="auto"/>
        </w:rPr>
        <w:t xml:space="preserve">Plánované opatrenia v sektore </w:t>
      </w:r>
      <w:r w:rsidR="00BE0764" w:rsidRPr="000578FE">
        <w:rPr>
          <w:rFonts w:ascii="Times New Roman" w:hAnsi="Times New Roman" w:cs="Times New Roman"/>
          <w:color w:val="auto"/>
        </w:rPr>
        <w:t>premena, prenos</w:t>
      </w:r>
      <w:r w:rsidR="006471C6" w:rsidRPr="000578FE">
        <w:rPr>
          <w:rFonts w:ascii="Times New Roman" w:hAnsi="Times New Roman" w:cs="Times New Roman"/>
          <w:color w:val="auto"/>
        </w:rPr>
        <w:t xml:space="preserve"> a </w:t>
      </w:r>
      <w:r w:rsidR="00BE0764" w:rsidRPr="000578FE">
        <w:rPr>
          <w:rFonts w:ascii="Times New Roman" w:hAnsi="Times New Roman" w:cs="Times New Roman"/>
          <w:color w:val="auto"/>
        </w:rPr>
        <w:t>distribúcia energie</w:t>
      </w:r>
      <w:bookmarkEnd w:id="65"/>
    </w:p>
    <w:p w14:paraId="296D9592" w14:textId="77777777" w:rsidR="00A75FC3" w:rsidRDefault="00A75FC3" w:rsidP="005F7B58">
      <w:pPr>
        <w:spacing w:after="60" w:line="240" w:lineRule="auto"/>
        <w:jc w:val="both"/>
        <w:rPr>
          <w:rFonts w:ascii="Times New Roman" w:hAnsi="Times New Roman" w:cs="Times New Roman"/>
          <w:sz w:val="24"/>
          <w:szCs w:val="24"/>
        </w:rPr>
      </w:pPr>
    </w:p>
    <w:p w14:paraId="1C878CCB" w14:textId="3678B4C4" w:rsidR="0007724F" w:rsidRPr="000745A8" w:rsidRDefault="00837791" w:rsidP="007577DE">
      <w:pPr>
        <w:jc w:val="both"/>
        <w:rPr>
          <w:rFonts w:ascii="Times New Roman" w:hAnsi="Times New Roman" w:cs="Times New Roman"/>
          <w:sz w:val="24"/>
          <w:szCs w:val="24"/>
        </w:rPr>
      </w:pPr>
      <w:r w:rsidRPr="000745A8">
        <w:rPr>
          <w:rFonts w:ascii="Times New Roman" w:hAnsi="Times New Roman" w:cs="Times New Roman"/>
          <w:sz w:val="24"/>
          <w:szCs w:val="24"/>
        </w:rPr>
        <w:t xml:space="preserve">K úsporám energie prispejú najmä opatrenia financované z OP KŽP (2014-2020) zamerané </w:t>
      </w:r>
      <w:r w:rsidR="004B625C">
        <w:rPr>
          <w:rFonts w:ascii="Times New Roman" w:hAnsi="Times New Roman" w:cs="Times New Roman"/>
          <w:sz w:val="24"/>
          <w:szCs w:val="24"/>
        </w:rPr>
        <w:t>tak</w:t>
      </w:r>
      <w:r w:rsidR="004B625C" w:rsidRPr="000745A8">
        <w:rPr>
          <w:rFonts w:ascii="Times New Roman" w:hAnsi="Times New Roman" w:cs="Times New Roman"/>
          <w:sz w:val="24"/>
          <w:szCs w:val="24"/>
        </w:rPr>
        <w:t xml:space="preserve"> </w:t>
      </w:r>
      <w:r w:rsidRPr="000745A8">
        <w:rPr>
          <w:rFonts w:ascii="Times New Roman" w:hAnsi="Times New Roman" w:cs="Times New Roman"/>
          <w:sz w:val="24"/>
          <w:szCs w:val="24"/>
        </w:rPr>
        <w:t>na výstavbu, rekonštrukciu a modernizáciu rozvodov tepla</w:t>
      </w:r>
      <w:r w:rsidR="004B625C">
        <w:rPr>
          <w:rFonts w:ascii="Times New Roman" w:hAnsi="Times New Roman" w:cs="Times New Roman"/>
          <w:sz w:val="24"/>
          <w:szCs w:val="24"/>
        </w:rPr>
        <w:t>,</w:t>
      </w:r>
      <w:r w:rsidRPr="000745A8">
        <w:rPr>
          <w:rFonts w:ascii="Times New Roman" w:hAnsi="Times New Roman" w:cs="Times New Roman"/>
          <w:sz w:val="24"/>
          <w:szCs w:val="24"/>
        </w:rPr>
        <w:t xml:space="preserve"> ako aj na výstavbu, rekonštrukciu a modernizáciu zariadení na výrobu elektriny a tepla vysoko účinnou kombinovanou výrobou s maximálnym tepelným príkonom do 20 MW. Cieľom je prispôsobiť výrobu a dodávku tepla potrebe využiteľného tepla, ktorá sa v dôsledku postupnej realizácie opatrení na úsporu energie na strane spotreby postupne znižuje. Optimalizáciou výroby, distribúcie a spotreby tepla s dôrazom na využívanie vysoko účinnej kombinovanej výroby elektriny a tepla je možné prispieť k zníženiu primárnych energetických zdrojov a rozvoju účinných systémov CZT. Nakoľko OP KŽP je financované z ERDF, z ktorého nemožno tieto opatrenia realizovať v BSK, MH SR bude poskytovať dotácie na rekonštrukciu a modernizáciu zariadení na výrobu elektriny a tepla a rozvodov tepla v BSK.</w:t>
      </w:r>
    </w:p>
    <w:p w14:paraId="7D7DB3FB" w14:textId="09A4DA79" w:rsidR="00F9314F" w:rsidRDefault="006439C3" w:rsidP="005F7B58">
      <w:pPr>
        <w:pStyle w:val="Nadpis3"/>
        <w:numPr>
          <w:ilvl w:val="2"/>
          <w:numId w:val="47"/>
        </w:numPr>
        <w:rPr>
          <w:rFonts w:ascii="Times New Roman" w:hAnsi="Times New Roman" w:cs="Times New Roman"/>
          <w:color w:val="auto"/>
        </w:rPr>
      </w:pPr>
      <w:bookmarkStart w:id="66" w:name="_Toc480547246"/>
      <w:r w:rsidRPr="000578FE">
        <w:rPr>
          <w:rFonts w:ascii="Times New Roman" w:hAnsi="Times New Roman" w:cs="Times New Roman"/>
          <w:color w:val="auto"/>
        </w:rPr>
        <w:t>Sumárny návrh plánovaných opatrení</w:t>
      </w:r>
      <w:bookmarkEnd w:id="66"/>
    </w:p>
    <w:p w14:paraId="18002602" w14:textId="77777777" w:rsidR="00A75FC3" w:rsidRPr="005F7B58" w:rsidRDefault="00A75FC3" w:rsidP="005F7B58">
      <w:pPr>
        <w:spacing w:after="60" w:line="240" w:lineRule="auto"/>
        <w:jc w:val="both"/>
        <w:rPr>
          <w:rFonts w:ascii="Times New Roman" w:hAnsi="Times New Roman" w:cs="Times New Roman"/>
          <w:sz w:val="24"/>
          <w:szCs w:val="24"/>
        </w:rPr>
      </w:pPr>
    </w:p>
    <w:p w14:paraId="06C2A01F" w14:textId="2B783358" w:rsidR="00902157" w:rsidRPr="000745A8" w:rsidRDefault="009A7C57" w:rsidP="009A7C57">
      <w:pPr>
        <w:jc w:val="both"/>
        <w:rPr>
          <w:rFonts w:ascii="Times New Roman" w:hAnsi="Times New Roman" w:cs="Times New Roman"/>
          <w:sz w:val="24"/>
          <w:szCs w:val="24"/>
        </w:rPr>
      </w:pPr>
      <w:r w:rsidRPr="000745A8">
        <w:rPr>
          <w:rFonts w:ascii="Times New Roman" w:hAnsi="Times New Roman" w:cs="Times New Roman"/>
          <w:sz w:val="24"/>
          <w:szCs w:val="24"/>
        </w:rPr>
        <w:t xml:space="preserve">Plánované úspory energie </w:t>
      </w:r>
      <w:r w:rsidR="00294E6D" w:rsidRPr="000745A8">
        <w:rPr>
          <w:rFonts w:ascii="Times New Roman" w:hAnsi="Times New Roman" w:cs="Times New Roman"/>
          <w:sz w:val="24"/>
          <w:szCs w:val="24"/>
        </w:rPr>
        <w:t xml:space="preserve">pre jednotlivé opatrenia energetickej efektívnosti </w:t>
      </w:r>
      <w:r w:rsidRPr="000745A8">
        <w:rPr>
          <w:rFonts w:ascii="Times New Roman" w:hAnsi="Times New Roman" w:cs="Times New Roman"/>
          <w:sz w:val="24"/>
          <w:szCs w:val="24"/>
        </w:rPr>
        <w:t>na ďalšie obdobie rokov 2017-2019 s výhľadom do roku 2020 sú vypočítané n</w:t>
      </w:r>
      <w:r w:rsidR="00902157" w:rsidRPr="000745A8">
        <w:rPr>
          <w:rFonts w:ascii="Times New Roman" w:hAnsi="Times New Roman" w:cs="Times New Roman"/>
          <w:sz w:val="24"/>
          <w:szCs w:val="24"/>
        </w:rPr>
        <w:t>a základe existujúcich a pripravovaných opatrení energetickej efektívnosti a predpokladaných disponibilných finančných prostriedkov</w:t>
      </w:r>
      <w:r w:rsidRPr="000745A8">
        <w:rPr>
          <w:rFonts w:ascii="Times New Roman" w:hAnsi="Times New Roman" w:cs="Times New Roman"/>
          <w:sz w:val="24"/>
          <w:szCs w:val="24"/>
        </w:rPr>
        <w:t xml:space="preserve"> pomocou aplikácie priemernej investičnej náročnosti </w:t>
      </w:r>
      <w:r w:rsidR="00294E6D" w:rsidRPr="000745A8">
        <w:rPr>
          <w:rFonts w:ascii="Times New Roman" w:hAnsi="Times New Roman" w:cs="Times New Roman"/>
          <w:sz w:val="24"/>
          <w:szCs w:val="24"/>
        </w:rPr>
        <w:t>pre jednotlivé opatrenia za minulé obdobie (2014-2016). Výsledky plánovacieho procesu</w:t>
      </w:r>
      <w:r w:rsidR="00902157" w:rsidRPr="000745A8">
        <w:rPr>
          <w:rFonts w:ascii="Times New Roman" w:hAnsi="Times New Roman" w:cs="Times New Roman"/>
          <w:sz w:val="24"/>
          <w:szCs w:val="24"/>
        </w:rPr>
        <w:t xml:space="preserve"> sú podľa jednotlivých sektorov uvedené v tabuľke </w:t>
      </w:r>
      <w:r w:rsidR="00BB33A1">
        <w:rPr>
          <w:rFonts w:ascii="Times New Roman" w:hAnsi="Times New Roman" w:cs="Times New Roman"/>
          <w:sz w:val="24"/>
          <w:szCs w:val="24"/>
        </w:rPr>
        <w:t>č. 7</w:t>
      </w:r>
      <w:r w:rsidR="00902157" w:rsidRPr="000745A8">
        <w:rPr>
          <w:rFonts w:ascii="Times New Roman" w:hAnsi="Times New Roman" w:cs="Times New Roman"/>
          <w:sz w:val="24"/>
          <w:szCs w:val="24"/>
        </w:rPr>
        <w:t>.</w:t>
      </w:r>
    </w:p>
    <w:p w14:paraId="0C6327C4" w14:textId="629F5A08" w:rsidR="00902157" w:rsidRPr="000578FE" w:rsidRDefault="00BB33A1" w:rsidP="00902157">
      <w:pPr>
        <w:spacing w:after="0" w:line="240" w:lineRule="auto"/>
        <w:rPr>
          <w:rFonts w:ascii="Times New Roman" w:hAnsi="Times New Roman" w:cs="Times New Roman"/>
          <w:sz w:val="24"/>
          <w:szCs w:val="24"/>
        </w:rPr>
      </w:pPr>
      <w:r w:rsidRPr="000578FE">
        <w:rPr>
          <w:rFonts w:ascii="Times New Roman" w:hAnsi="Times New Roman" w:cs="Times New Roman"/>
          <w:sz w:val="24"/>
          <w:szCs w:val="24"/>
        </w:rPr>
        <w:t>Tabuľka č. 7: Prehľad plánovaných úspor energie</w:t>
      </w:r>
      <w:r w:rsidR="002706C2">
        <w:rPr>
          <w:rFonts w:ascii="Times New Roman" w:hAnsi="Times New Roman" w:cs="Times New Roman"/>
          <w:sz w:val="24"/>
          <w:szCs w:val="24"/>
        </w:rPr>
        <w:t xml:space="preserve"> a predpokladaných finančných zdrojov</w:t>
      </w:r>
      <w:r w:rsidRPr="000578FE">
        <w:rPr>
          <w:rFonts w:ascii="Times New Roman" w:hAnsi="Times New Roman" w:cs="Times New Roman"/>
          <w:sz w:val="24"/>
          <w:szCs w:val="24"/>
        </w:rPr>
        <w:t xml:space="preserve"> v jednotlivých sektoroch na roky 2017 – 2019 s výhľadom do roku 2020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54"/>
        <w:gridCol w:w="923"/>
        <w:gridCol w:w="972"/>
        <w:gridCol w:w="1673"/>
        <w:gridCol w:w="1189"/>
        <w:gridCol w:w="916"/>
        <w:gridCol w:w="1025"/>
      </w:tblGrid>
      <w:tr w:rsidR="00902157" w:rsidRPr="00CB1BA9" w14:paraId="68058F80" w14:textId="77777777" w:rsidTr="00DA558A">
        <w:trPr>
          <w:trHeight w:val="330"/>
          <w:tblHeader/>
        </w:trPr>
        <w:tc>
          <w:tcPr>
            <w:tcW w:w="1300" w:type="pct"/>
            <w:vMerge w:val="restart"/>
            <w:tcBorders>
              <w:top w:val="single" w:sz="8" w:space="0" w:color="auto"/>
              <w:left w:val="single" w:sz="8" w:space="0" w:color="auto"/>
            </w:tcBorders>
            <w:shd w:val="pct25" w:color="auto" w:fill="auto"/>
            <w:noWrap/>
            <w:vAlign w:val="center"/>
          </w:tcPr>
          <w:p w14:paraId="311D9E11" w14:textId="601B6B35" w:rsidR="00902157" w:rsidRPr="004E746F" w:rsidRDefault="00CD4818" w:rsidP="00CD4818">
            <w:pPr>
              <w:spacing w:after="0" w:line="240" w:lineRule="auto"/>
              <w:jc w:val="center"/>
              <w:rPr>
                <w:rFonts w:ascii="Times New Roman" w:eastAsia="Times New Roman" w:hAnsi="Times New Roman" w:cs="Times New Roman"/>
                <w:b/>
                <w:color w:val="000000"/>
                <w:lang w:eastAsia="sk-SK"/>
              </w:rPr>
            </w:pPr>
            <w:r w:rsidRPr="004E746F">
              <w:rPr>
                <w:rFonts w:ascii="Times New Roman" w:eastAsia="Times New Roman" w:hAnsi="Times New Roman" w:cs="Times New Roman"/>
                <w:b/>
                <w:color w:val="000000"/>
                <w:lang w:eastAsia="sk-SK"/>
              </w:rPr>
              <w:t>Sektor</w:t>
            </w:r>
          </w:p>
        </w:tc>
        <w:tc>
          <w:tcPr>
            <w:tcW w:w="1971" w:type="pct"/>
            <w:gridSpan w:val="3"/>
            <w:tcBorders>
              <w:top w:val="single" w:sz="8" w:space="0" w:color="auto"/>
              <w:right w:val="single" w:sz="8" w:space="0" w:color="auto"/>
            </w:tcBorders>
            <w:shd w:val="pct25" w:color="auto" w:fill="auto"/>
            <w:noWrap/>
            <w:vAlign w:val="center"/>
          </w:tcPr>
          <w:p w14:paraId="5845B66F" w14:textId="77777777" w:rsidR="00902157" w:rsidRPr="004E746F" w:rsidRDefault="00902157" w:rsidP="00CD4818">
            <w:pPr>
              <w:spacing w:after="0" w:line="240" w:lineRule="auto"/>
              <w:jc w:val="center"/>
              <w:rPr>
                <w:rFonts w:ascii="Times New Roman" w:eastAsia="Times New Roman" w:hAnsi="Times New Roman" w:cs="Times New Roman"/>
                <w:b/>
                <w:color w:val="000000"/>
                <w:lang w:eastAsia="sk-SK"/>
              </w:rPr>
            </w:pPr>
            <w:r w:rsidRPr="004E746F">
              <w:rPr>
                <w:rFonts w:ascii="Times New Roman" w:eastAsia="Times New Roman" w:hAnsi="Times New Roman" w:cs="Times New Roman"/>
                <w:b/>
                <w:color w:val="000000"/>
                <w:lang w:eastAsia="sk-SK"/>
              </w:rPr>
              <w:t>2017-2019</w:t>
            </w:r>
          </w:p>
        </w:tc>
        <w:tc>
          <w:tcPr>
            <w:tcW w:w="1729" w:type="pct"/>
            <w:gridSpan w:val="3"/>
            <w:tcBorders>
              <w:top w:val="single" w:sz="8" w:space="0" w:color="auto"/>
              <w:left w:val="single" w:sz="8" w:space="0" w:color="auto"/>
              <w:right w:val="single" w:sz="8" w:space="0" w:color="auto"/>
            </w:tcBorders>
            <w:shd w:val="pct25" w:color="auto" w:fill="auto"/>
            <w:vAlign w:val="center"/>
          </w:tcPr>
          <w:p w14:paraId="0574AC60" w14:textId="77777777" w:rsidR="00902157" w:rsidRPr="004E746F" w:rsidRDefault="00902157" w:rsidP="00CD4818">
            <w:pPr>
              <w:spacing w:after="0" w:line="240" w:lineRule="auto"/>
              <w:jc w:val="center"/>
              <w:rPr>
                <w:rFonts w:ascii="Times New Roman" w:eastAsia="Times New Roman" w:hAnsi="Times New Roman" w:cs="Times New Roman"/>
                <w:b/>
                <w:color w:val="000000"/>
                <w:lang w:eastAsia="sk-SK"/>
              </w:rPr>
            </w:pPr>
            <w:r w:rsidRPr="004E746F">
              <w:rPr>
                <w:rFonts w:ascii="Times New Roman" w:eastAsia="Times New Roman" w:hAnsi="Times New Roman" w:cs="Times New Roman"/>
                <w:b/>
                <w:color w:val="000000"/>
                <w:lang w:eastAsia="sk-SK"/>
              </w:rPr>
              <w:t>2017-2020</w:t>
            </w:r>
          </w:p>
        </w:tc>
      </w:tr>
      <w:tr w:rsidR="00902157" w:rsidRPr="00CB1BA9" w14:paraId="3AA88985" w14:textId="77777777" w:rsidTr="00DA558A">
        <w:trPr>
          <w:trHeight w:val="330"/>
          <w:tblHeader/>
        </w:trPr>
        <w:tc>
          <w:tcPr>
            <w:tcW w:w="1300" w:type="pct"/>
            <w:vMerge/>
            <w:tcBorders>
              <w:left w:val="single" w:sz="8" w:space="0" w:color="auto"/>
            </w:tcBorders>
            <w:shd w:val="pct25" w:color="auto" w:fill="auto"/>
            <w:noWrap/>
            <w:vAlign w:val="center"/>
            <w:hideMark/>
          </w:tcPr>
          <w:p w14:paraId="385F1D48" w14:textId="77777777" w:rsidR="00902157" w:rsidRPr="00CB1BA9" w:rsidRDefault="00902157" w:rsidP="00CD4818">
            <w:pPr>
              <w:spacing w:after="0" w:line="240" w:lineRule="auto"/>
              <w:jc w:val="center"/>
              <w:rPr>
                <w:rFonts w:ascii="Times New Roman" w:eastAsia="Times New Roman" w:hAnsi="Times New Roman" w:cs="Times New Roman"/>
                <w:b/>
                <w:color w:val="000000"/>
                <w:lang w:eastAsia="sk-SK"/>
              </w:rPr>
            </w:pPr>
          </w:p>
        </w:tc>
        <w:tc>
          <w:tcPr>
            <w:tcW w:w="510" w:type="pct"/>
            <w:shd w:val="pct25" w:color="auto" w:fill="auto"/>
            <w:noWrap/>
            <w:vAlign w:val="center"/>
            <w:hideMark/>
          </w:tcPr>
          <w:p w14:paraId="33F32FB2" w14:textId="2030FE3C" w:rsidR="00902157" w:rsidRPr="004E746F" w:rsidRDefault="00902157" w:rsidP="00CD4818">
            <w:pPr>
              <w:spacing w:after="0" w:line="240" w:lineRule="auto"/>
              <w:jc w:val="center"/>
              <w:rPr>
                <w:rFonts w:ascii="Times New Roman" w:eastAsia="Times New Roman" w:hAnsi="Times New Roman" w:cs="Times New Roman"/>
                <w:b/>
                <w:color w:val="000000"/>
                <w:lang w:eastAsia="sk-SK"/>
              </w:rPr>
            </w:pPr>
            <w:r w:rsidRPr="004E746F">
              <w:rPr>
                <w:rFonts w:ascii="Times New Roman" w:eastAsia="Times New Roman" w:hAnsi="Times New Roman" w:cs="Times New Roman"/>
                <w:b/>
                <w:color w:val="000000"/>
                <w:lang w:eastAsia="sk-SK"/>
              </w:rPr>
              <w:t>Úspora energie</w:t>
            </w:r>
          </w:p>
          <w:p w14:paraId="13797FA8" w14:textId="1296152C" w:rsidR="00902157" w:rsidRPr="004E746F" w:rsidRDefault="00902157" w:rsidP="00CD4818">
            <w:pPr>
              <w:spacing w:after="0" w:line="240" w:lineRule="auto"/>
              <w:jc w:val="center"/>
              <w:rPr>
                <w:rFonts w:ascii="Times New Roman" w:eastAsia="Times New Roman" w:hAnsi="Times New Roman" w:cs="Times New Roman"/>
                <w:b/>
                <w:color w:val="000000"/>
                <w:lang w:eastAsia="sk-SK"/>
              </w:rPr>
            </w:pPr>
            <w:r w:rsidRPr="004E746F">
              <w:rPr>
                <w:rFonts w:ascii="Times New Roman" w:eastAsia="Times New Roman" w:hAnsi="Times New Roman" w:cs="Times New Roman"/>
                <w:b/>
                <w:color w:val="000000"/>
                <w:lang w:eastAsia="sk-SK"/>
              </w:rPr>
              <w:t>(KES)</w:t>
            </w:r>
          </w:p>
        </w:tc>
        <w:tc>
          <w:tcPr>
            <w:tcW w:w="537" w:type="pct"/>
            <w:shd w:val="pct25" w:color="auto" w:fill="auto"/>
            <w:noWrap/>
            <w:vAlign w:val="center"/>
            <w:hideMark/>
          </w:tcPr>
          <w:p w14:paraId="2D4BCEB2" w14:textId="77777777" w:rsidR="00BE0764" w:rsidRPr="004E746F" w:rsidRDefault="00BE0764" w:rsidP="00BE0764">
            <w:pPr>
              <w:spacing w:after="0" w:line="240" w:lineRule="auto"/>
              <w:jc w:val="center"/>
              <w:rPr>
                <w:rFonts w:ascii="Times New Roman" w:eastAsia="Times New Roman" w:hAnsi="Times New Roman" w:cs="Times New Roman"/>
                <w:b/>
                <w:color w:val="000000"/>
                <w:lang w:eastAsia="sk-SK"/>
              </w:rPr>
            </w:pPr>
            <w:r w:rsidRPr="004E746F">
              <w:rPr>
                <w:rFonts w:ascii="Times New Roman" w:eastAsia="Times New Roman" w:hAnsi="Times New Roman" w:cs="Times New Roman"/>
                <w:b/>
                <w:color w:val="000000"/>
                <w:lang w:eastAsia="sk-SK"/>
              </w:rPr>
              <w:t>Úspora energie</w:t>
            </w:r>
          </w:p>
          <w:p w14:paraId="37230827" w14:textId="227D1597" w:rsidR="00902157" w:rsidRPr="004E746F" w:rsidRDefault="00BE0764" w:rsidP="00BE0764">
            <w:pPr>
              <w:spacing w:after="0" w:line="240" w:lineRule="auto"/>
              <w:jc w:val="center"/>
              <w:rPr>
                <w:rFonts w:ascii="Times New Roman" w:eastAsia="Times New Roman" w:hAnsi="Times New Roman" w:cs="Times New Roman"/>
                <w:b/>
                <w:color w:val="000000"/>
                <w:lang w:eastAsia="sk-SK"/>
              </w:rPr>
            </w:pPr>
            <w:r w:rsidRPr="004E746F">
              <w:rPr>
                <w:rFonts w:ascii="Times New Roman" w:eastAsia="Times New Roman" w:hAnsi="Times New Roman" w:cs="Times New Roman"/>
                <w:b/>
                <w:color w:val="000000"/>
                <w:lang w:eastAsia="sk-SK"/>
              </w:rPr>
              <w:t>(PES)</w:t>
            </w:r>
          </w:p>
        </w:tc>
        <w:tc>
          <w:tcPr>
            <w:tcW w:w="924" w:type="pct"/>
            <w:tcBorders>
              <w:right w:val="single" w:sz="8" w:space="0" w:color="auto"/>
            </w:tcBorders>
            <w:shd w:val="pct25" w:color="auto" w:fill="auto"/>
            <w:noWrap/>
            <w:vAlign w:val="center"/>
            <w:hideMark/>
          </w:tcPr>
          <w:p w14:paraId="55FC9BE1" w14:textId="29B43EFA" w:rsidR="00902157" w:rsidRPr="004E746F" w:rsidRDefault="00902157" w:rsidP="00063AF1">
            <w:pPr>
              <w:spacing w:after="0" w:line="240" w:lineRule="auto"/>
              <w:jc w:val="center"/>
              <w:rPr>
                <w:rFonts w:ascii="Times New Roman" w:eastAsia="Times New Roman" w:hAnsi="Times New Roman" w:cs="Times New Roman"/>
                <w:b/>
                <w:color w:val="000000"/>
                <w:lang w:eastAsia="sk-SK"/>
              </w:rPr>
            </w:pPr>
            <w:r w:rsidRPr="004E746F">
              <w:rPr>
                <w:rFonts w:ascii="Times New Roman" w:eastAsia="Times New Roman" w:hAnsi="Times New Roman" w:cs="Times New Roman"/>
                <w:b/>
                <w:color w:val="000000"/>
                <w:lang w:eastAsia="sk-SK"/>
              </w:rPr>
              <w:t xml:space="preserve">Celkové </w:t>
            </w:r>
            <w:r w:rsidR="00BE0764" w:rsidRPr="004E746F">
              <w:rPr>
                <w:rFonts w:ascii="Times New Roman" w:eastAsia="Times New Roman" w:hAnsi="Times New Roman" w:cs="Times New Roman"/>
                <w:b/>
                <w:color w:val="000000"/>
                <w:lang w:eastAsia="sk-SK"/>
              </w:rPr>
              <w:t>finan</w:t>
            </w:r>
            <w:r w:rsidR="002706C2">
              <w:rPr>
                <w:rFonts w:ascii="Times New Roman" w:eastAsia="Times New Roman" w:hAnsi="Times New Roman" w:cs="Times New Roman"/>
                <w:b/>
                <w:color w:val="000000"/>
                <w:lang w:eastAsia="sk-SK"/>
              </w:rPr>
              <w:t>čné zdroje</w:t>
            </w:r>
          </w:p>
        </w:tc>
        <w:tc>
          <w:tcPr>
            <w:tcW w:w="657" w:type="pct"/>
            <w:tcBorders>
              <w:left w:val="single" w:sz="8" w:space="0" w:color="auto"/>
            </w:tcBorders>
            <w:shd w:val="pct25" w:color="auto" w:fill="auto"/>
            <w:vAlign w:val="center"/>
          </w:tcPr>
          <w:p w14:paraId="56F4ED2A" w14:textId="22B6F681" w:rsidR="00902157" w:rsidRPr="004E746F" w:rsidRDefault="00902157" w:rsidP="00CD4818">
            <w:pPr>
              <w:spacing w:after="0" w:line="240" w:lineRule="auto"/>
              <w:jc w:val="center"/>
              <w:rPr>
                <w:rFonts w:ascii="Times New Roman" w:eastAsia="Times New Roman" w:hAnsi="Times New Roman" w:cs="Times New Roman"/>
                <w:b/>
                <w:color w:val="000000"/>
                <w:lang w:eastAsia="sk-SK"/>
              </w:rPr>
            </w:pPr>
            <w:r w:rsidRPr="004E746F">
              <w:rPr>
                <w:rFonts w:ascii="Times New Roman" w:eastAsia="Times New Roman" w:hAnsi="Times New Roman" w:cs="Times New Roman"/>
                <w:b/>
                <w:color w:val="000000"/>
                <w:lang w:eastAsia="sk-SK"/>
              </w:rPr>
              <w:t>Úspora energie</w:t>
            </w:r>
          </w:p>
          <w:p w14:paraId="0D3B49B7" w14:textId="77777777" w:rsidR="00902157" w:rsidRPr="004E746F" w:rsidRDefault="00902157" w:rsidP="00CD4818">
            <w:pPr>
              <w:spacing w:after="0" w:line="240" w:lineRule="auto"/>
              <w:jc w:val="center"/>
              <w:rPr>
                <w:rFonts w:ascii="Times New Roman" w:eastAsia="Times New Roman" w:hAnsi="Times New Roman" w:cs="Times New Roman"/>
                <w:b/>
                <w:color w:val="000000"/>
                <w:lang w:eastAsia="sk-SK"/>
              </w:rPr>
            </w:pPr>
            <w:r w:rsidRPr="004E746F">
              <w:rPr>
                <w:rFonts w:ascii="Times New Roman" w:eastAsia="Times New Roman" w:hAnsi="Times New Roman" w:cs="Times New Roman"/>
                <w:b/>
                <w:color w:val="000000"/>
                <w:lang w:eastAsia="sk-SK"/>
              </w:rPr>
              <w:t>(KES)</w:t>
            </w:r>
          </w:p>
        </w:tc>
        <w:tc>
          <w:tcPr>
            <w:tcW w:w="506" w:type="pct"/>
            <w:shd w:val="pct25" w:color="auto" w:fill="auto"/>
            <w:vAlign w:val="center"/>
          </w:tcPr>
          <w:p w14:paraId="25D11E11" w14:textId="77777777" w:rsidR="00BE0764" w:rsidRPr="004E746F" w:rsidRDefault="00BE0764" w:rsidP="00BE0764">
            <w:pPr>
              <w:spacing w:after="0" w:line="240" w:lineRule="auto"/>
              <w:jc w:val="center"/>
              <w:rPr>
                <w:rFonts w:ascii="Times New Roman" w:eastAsia="Times New Roman" w:hAnsi="Times New Roman" w:cs="Times New Roman"/>
                <w:b/>
                <w:color w:val="000000"/>
                <w:lang w:eastAsia="sk-SK"/>
              </w:rPr>
            </w:pPr>
            <w:r w:rsidRPr="004E746F">
              <w:rPr>
                <w:rFonts w:ascii="Times New Roman" w:eastAsia="Times New Roman" w:hAnsi="Times New Roman" w:cs="Times New Roman"/>
                <w:b/>
                <w:color w:val="000000"/>
                <w:lang w:eastAsia="sk-SK"/>
              </w:rPr>
              <w:t>Úspora energie</w:t>
            </w:r>
          </w:p>
          <w:p w14:paraId="3687A2B6" w14:textId="505F2A0C" w:rsidR="00902157" w:rsidRPr="004E746F" w:rsidRDefault="00BE0764" w:rsidP="00BE0764">
            <w:pPr>
              <w:spacing w:after="0" w:line="240" w:lineRule="auto"/>
              <w:jc w:val="center"/>
              <w:rPr>
                <w:rFonts w:ascii="Times New Roman" w:eastAsia="Times New Roman" w:hAnsi="Times New Roman" w:cs="Times New Roman"/>
                <w:b/>
                <w:color w:val="000000"/>
                <w:lang w:eastAsia="sk-SK"/>
              </w:rPr>
            </w:pPr>
            <w:r w:rsidRPr="004E746F">
              <w:rPr>
                <w:rFonts w:ascii="Times New Roman" w:eastAsia="Times New Roman" w:hAnsi="Times New Roman" w:cs="Times New Roman"/>
                <w:b/>
                <w:color w:val="000000"/>
                <w:lang w:eastAsia="sk-SK"/>
              </w:rPr>
              <w:t>(PES)</w:t>
            </w:r>
          </w:p>
        </w:tc>
        <w:tc>
          <w:tcPr>
            <w:tcW w:w="566" w:type="pct"/>
            <w:tcBorders>
              <w:right w:val="single" w:sz="8" w:space="0" w:color="auto"/>
            </w:tcBorders>
            <w:shd w:val="pct25" w:color="auto" w:fill="auto"/>
            <w:vAlign w:val="center"/>
          </w:tcPr>
          <w:p w14:paraId="0C79E08F" w14:textId="02E0D251" w:rsidR="00902157" w:rsidRPr="004E746F" w:rsidRDefault="00902157" w:rsidP="00063AF1">
            <w:pPr>
              <w:spacing w:after="0" w:line="240" w:lineRule="auto"/>
              <w:jc w:val="center"/>
              <w:rPr>
                <w:rFonts w:ascii="Times New Roman" w:eastAsia="Times New Roman" w:hAnsi="Times New Roman" w:cs="Times New Roman"/>
                <w:b/>
                <w:color w:val="000000"/>
                <w:lang w:eastAsia="sk-SK"/>
              </w:rPr>
            </w:pPr>
            <w:r w:rsidRPr="00297B22">
              <w:rPr>
                <w:rFonts w:ascii="Times New Roman" w:eastAsia="Times New Roman" w:hAnsi="Times New Roman" w:cs="Times New Roman"/>
                <w:b/>
                <w:color w:val="000000"/>
                <w:lang w:eastAsia="sk-SK"/>
              </w:rPr>
              <w:t>Celkové</w:t>
            </w:r>
            <w:r w:rsidRPr="004E746F">
              <w:rPr>
                <w:rFonts w:ascii="Times New Roman" w:eastAsia="Times New Roman" w:hAnsi="Times New Roman" w:cs="Times New Roman"/>
                <w:b/>
                <w:color w:val="000000"/>
                <w:lang w:eastAsia="sk-SK"/>
              </w:rPr>
              <w:t xml:space="preserve"> </w:t>
            </w:r>
            <w:r w:rsidR="002706C2" w:rsidRPr="00D91203">
              <w:rPr>
                <w:rFonts w:ascii="Times New Roman" w:eastAsia="Times New Roman" w:hAnsi="Times New Roman" w:cs="Times New Roman"/>
                <w:b/>
                <w:color w:val="000000"/>
                <w:lang w:eastAsia="sk-SK"/>
              </w:rPr>
              <w:t>finan</w:t>
            </w:r>
            <w:r w:rsidR="002706C2">
              <w:rPr>
                <w:rFonts w:ascii="Times New Roman" w:eastAsia="Times New Roman" w:hAnsi="Times New Roman" w:cs="Times New Roman"/>
                <w:b/>
                <w:color w:val="000000"/>
                <w:lang w:eastAsia="sk-SK"/>
              </w:rPr>
              <w:t>čné zdroje</w:t>
            </w:r>
          </w:p>
        </w:tc>
      </w:tr>
      <w:tr w:rsidR="00902157" w:rsidRPr="00CB1BA9" w14:paraId="3538854C" w14:textId="77777777" w:rsidTr="00DA558A">
        <w:trPr>
          <w:trHeight w:val="330"/>
          <w:tblHeader/>
        </w:trPr>
        <w:tc>
          <w:tcPr>
            <w:tcW w:w="1300" w:type="pct"/>
            <w:vMerge/>
            <w:tcBorders>
              <w:left w:val="single" w:sz="8" w:space="0" w:color="auto"/>
              <w:bottom w:val="single" w:sz="8" w:space="0" w:color="auto"/>
            </w:tcBorders>
            <w:shd w:val="pct25" w:color="auto" w:fill="auto"/>
            <w:noWrap/>
            <w:vAlign w:val="center"/>
            <w:hideMark/>
          </w:tcPr>
          <w:p w14:paraId="6EB0764D" w14:textId="77777777" w:rsidR="00902157" w:rsidRPr="00CB1BA9" w:rsidRDefault="00902157" w:rsidP="00CD4818">
            <w:pPr>
              <w:spacing w:after="0" w:line="240" w:lineRule="auto"/>
              <w:jc w:val="center"/>
              <w:rPr>
                <w:rFonts w:ascii="Times New Roman" w:eastAsia="Times New Roman" w:hAnsi="Times New Roman" w:cs="Times New Roman"/>
                <w:b/>
                <w:color w:val="000000"/>
                <w:lang w:eastAsia="sk-SK"/>
              </w:rPr>
            </w:pPr>
          </w:p>
        </w:tc>
        <w:tc>
          <w:tcPr>
            <w:tcW w:w="510" w:type="pct"/>
            <w:tcBorders>
              <w:bottom w:val="single" w:sz="8" w:space="0" w:color="auto"/>
            </w:tcBorders>
            <w:shd w:val="pct25" w:color="auto" w:fill="auto"/>
            <w:noWrap/>
            <w:vAlign w:val="center"/>
            <w:hideMark/>
          </w:tcPr>
          <w:p w14:paraId="02B750A7" w14:textId="77777777" w:rsidR="00902157" w:rsidRPr="004E746F" w:rsidRDefault="00902157" w:rsidP="00CD4818">
            <w:pPr>
              <w:spacing w:after="0" w:line="240" w:lineRule="auto"/>
              <w:jc w:val="center"/>
              <w:rPr>
                <w:rFonts w:ascii="Times New Roman" w:eastAsia="Times New Roman" w:hAnsi="Times New Roman" w:cs="Times New Roman"/>
                <w:b/>
                <w:color w:val="000000"/>
                <w:lang w:eastAsia="sk-SK"/>
              </w:rPr>
            </w:pPr>
            <w:r w:rsidRPr="004E746F">
              <w:rPr>
                <w:rFonts w:ascii="Times New Roman" w:eastAsia="Times New Roman" w:hAnsi="Times New Roman" w:cs="Times New Roman"/>
                <w:b/>
                <w:color w:val="000000"/>
                <w:lang w:eastAsia="sk-SK"/>
              </w:rPr>
              <w:t>TJ</w:t>
            </w:r>
          </w:p>
        </w:tc>
        <w:tc>
          <w:tcPr>
            <w:tcW w:w="537" w:type="pct"/>
            <w:tcBorders>
              <w:bottom w:val="single" w:sz="8" w:space="0" w:color="auto"/>
            </w:tcBorders>
            <w:shd w:val="pct25" w:color="auto" w:fill="auto"/>
            <w:noWrap/>
            <w:vAlign w:val="center"/>
            <w:hideMark/>
          </w:tcPr>
          <w:p w14:paraId="4D9DC0B4" w14:textId="77777777" w:rsidR="00902157" w:rsidRPr="004E746F" w:rsidRDefault="00902157" w:rsidP="00CD4818">
            <w:pPr>
              <w:spacing w:after="0" w:line="240" w:lineRule="auto"/>
              <w:jc w:val="center"/>
              <w:rPr>
                <w:rFonts w:ascii="Times New Roman" w:eastAsia="Times New Roman" w:hAnsi="Times New Roman" w:cs="Times New Roman"/>
                <w:b/>
                <w:color w:val="000000"/>
                <w:lang w:eastAsia="sk-SK"/>
              </w:rPr>
            </w:pPr>
            <w:r w:rsidRPr="004E746F">
              <w:rPr>
                <w:rFonts w:ascii="Times New Roman" w:eastAsia="Times New Roman" w:hAnsi="Times New Roman" w:cs="Times New Roman"/>
                <w:b/>
                <w:color w:val="000000"/>
                <w:lang w:eastAsia="sk-SK"/>
              </w:rPr>
              <w:t>TJ</w:t>
            </w:r>
          </w:p>
        </w:tc>
        <w:tc>
          <w:tcPr>
            <w:tcW w:w="924" w:type="pct"/>
            <w:tcBorders>
              <w:bottom w:val="single" w:sz="8" w:space="0" w:color="auto"/>
              <w:right w:val="single" w:sz="8" w:space="0" w:color="auto"/>
            </w:tcBorders>
            <w:shd w:val="pct25" w:color="auto" w:fill="auto"/>
            <w:noWrap/>
            <w:vAlign w:val="center"/>
            <w:hideMark/>
          </w:tcPr>
          <w:p w14:paraId="37F68F69" w14:textId="356C0D76" w:rsidR="00902157" w:rsidRPr="004E746F" w:rsidRDefault="00902157" w:rsidP="00CD4818">
            <w:pPr>
              <w:spacing w:after="0" w:line="240" w:lineRule="auto"/>
              <w:jc w:val="center"/>
              <w:rPr>
                <w:rFonts w:ascii="Times New Roman" w:eastAsia="Times New Roman" w:hAnsi="Times New Roman" w:cs="Times New Roman"/>
                <w:b/>
                <w:color w:val="000000"/>
                <w:lang w:eastAsia="sk-SK"/>
              </w:rPr>
            </w:pPr>
            <w:r w:rsidRPr="004E746F">
              <w:rPr>
                <w:rFonts w:ascii="Times New Roman" w:eastAsia="Times New Roman" w:hAnsi="Times New Roman" w:cs="Times New Roman"/>
                <w:b/>
                <w:color w:val="000000"/>
                <w:lang w:eastAsia="sk-SK"/>
              </w:rPr>
              <w:t xml:space="preserve">tis. </w:t>
            </w:r>
            <w:r w:rsidR="000C2919" w:rsidRPr="004E746F">
              <w:rPr>
                <w:rFonts w:ascii="Times New Roman" w:eastAsia="Times New Roman" w:hAnsi="Times New Roman" w:cs="Times New Roman"/>
                <w:b/>
                <w:color w:val="000000"/>
                <w:lang w:eastAsia="sk-SK"/>
              </w:rPr>
              <w:t>Eur</w:t>
            </w:r>
          </w:p>
        </w:tc>
        <w:tc>
          <w:tcPr>
            <w:tcW w:w="657" w:type="pct"/>
            <w:tcBorders>
              <w:left w:val="single" w:sz="8" w:space="0" w:color="auto"/>
              <w:bottom w:val="single" w:sz="8" w:space="0" w:color="auto"/>
            </w:tcBorders>
            <w:shd w:val="pct25" w:color="auto" w:fill="auto"/>
            <w:vAlign w:val="center"/>
          </w:tcPr>
          <w:p w14:paraId="08E88DB5" w14:textId="77777777" w:rsidR="00902157" w:rsidRPr="004E746F" w:rsidRDefault="00902157" w:rsidP="00CD4818">
            <w:pPr>
              <w:spacing w:after="0" w:line="240" w:lineRule="auto"/>
              <w:jc w:val="center"/>
              <w:rPr>
                <w:rFonts w:ascii="Times New Roman" w:eastAsia="Times New Roman" w:hAnsi="Times New Roman" w:cs="Times New Roman"/>
                <w:b/>
                <w:color w:val="000000"/>
                <w:lang w:eastAsia="sk-SK"/>
              </w:rPr>
            </w:pPr>
            <w:r w:rsidRPr="004E746F">
              <w:rPr>
                <w:rFonts w:ascii="Times New Roman" w:eastAsia="Times New Roman" w:hAnsi="Times New Roman" w:cs="Times New Roman"/>
                <w:b/>
                <w:color w:val="000000"/>
                <w:lang w:eastAsia="sk-SK"/>
              </w:rPr>
              <w:t>TJ</w:t>
            </w:r>
          </w:p>
        </w:tc>
        <w:tc>
          <w:tcPr>
            <w:tcW w:w="506" w:type="pct"/>
            <w:tcBorders>
              <w:bottom w:val="single" w:sz="8" w:space="0" w:color="auto"/>
            </w:tcBorders>
            <w:shd w:val="pct25" w:color="auto" w:fill="auto"/>
            <w:vAlign w:val="center"/>
          </w:tcPr>
          <w:p w14:paraId="5C911512" w14:textId="77777777" w:rsidR="00902157" w:rsidRPr="004E746F" w:rsidRDefault="00902157" w:rsidP="00CD4818">
            <w:pPr>
              <w:spacing w:after="0" w:line="240" w:lineRule="auto"/>
              <w:jc w:val="center"/>
              <w:rPr>
                <w:rFonts w:ascii="Times New Roman" w:eastAsia="Times New Roman" w:hAnsi="Times New Roman" w:cs="Times New Roman"/>
                <w:b/>
                <w:color w:val="000000"/>
                <w:lang w:eastAsia="sk-SK"/>
              </w:rPr>
            </w:pPr>
            <w:r w:rsidRPr="004E746F">
              <w:rPr>
                <w:rFonts w:ascii="Times New Roman" w:eastAsia="Times New Roman" w:hAnsi="Times New Roman" w:cs="Times New Roman"/>
                <w:b/>
                <w:color w:val="000000"/>
                <w:lang w:eastAsia="sk-SK"/>
              </w:rPr>
              <w:t>TJ</w:t>
            </w:r>
          </w:p>
        </w:tc>
        <w:tc>
          <w:tcPr>
            <w:tcW w:w="566" w:type="pct"/>
            <w:tcBorders>
              <w:bottom w:val="single" w:sz="8" w:space="0" w:color="auto"/>
              <w:right w:val="single" w:sz="8" w:space="0" w:color="auto"/>
            </w:tcBorders>
            <w:shd w:val="pct25" w:color="auto" w:fill="auto"/>
            <w:vAlign w:val="center"/>
          </w:tcPr>
          <w:p w14:paraId="44E235D8" w14:textId="62C54181" w:rsidR="00902157" w:rsidRPr="004E746F" w:rsidRDefault="00902157" w:rsidP="00CD4818">
            <w:pPr>
              <w:spacing w:after="0" w:line="240" w:lineRule="auto"/>
              <w:jc w:val="center"/>
              <w:rPr>
                <w:rFonts w:ascii="Times New Roman" w:eastAsia="Times New Roman" w:hAnsi="Times New Roman" w:cs="Times New Roman"/>
                <w:b/>
                <w:color w:val="000000"/>
                <w:lang w:eastAsia="sk-SK"/>
              </w:rPr>
            </w:pPr>
            <w:r w:rsidRPr="004E746F">
              <w:rPr>
                <w:rFonts w:ascii="Times New Roman" w:eastAsia="Times New Roman" w:hAnsi="Times New Roman" w:cs="Times New Roman"/>
                <w:b/>
                <w:color w:val="000000"/>
                <w:lang w:eastAsia="sk-SK"/>
              </w:rPr>
              <w:t xml:space="preserve">tis. </w:t>
            </w:r>
            <w:r w:rsidR="000C2919" w:rsidRPr="004E746F">
              <w:rPr>
                <w:rFonts w:ascii="Times New Roman" w:eastAsia="Times New Roman" w:hAnsi="Times New Roman" w:cs="Times New Roman"/>
                <w:b/>
                <w:color w:val="000000"/>
                <w:lang w:eastAsia="sk-SK"/>
              </w:rPr>
              <w:t>Eur</w:t>
            </w:r>
          </w:p>
        </w:tc>
      </w:tr>
      <w:tr w:rsidR="00310CBA" w:rsidRPr="00CB1BA9" w14:paraId="5D4314DD" w14:textId="77777777" w:rsidTr="005F7B58">
        <w:trPr>
          <w:trHeight w:val="330"/>
        </w:trPr>
        <w:tc>
          <w:tcPr>
            <w:tcW w:w="1300" w:type="pct"/>
            <w:tcBorders>
              <w:top w:val="single" w:sz="8" w:space="0" w:color="auto"/>
              <w:left w:val="single" w:sz="8" w:space="0" w:color="auto"/>
            </w:tcBorders>
            <w:shd w:val="clear" w:color="auto" w:fill="auto"/>
            <w:noWrap/>
            <w:vAlign w:val="center"/>
            <w:hideMark/>
          </w:tcPr>
          <w:p w14:paraId="64BD4450" w14:textId="3E81360D" w:rsidR="00310CBA" w:rsidRPr="00CB1BA9" w:rsidRDefault="00310CBA" w:rsidP="00310CBA">
            <w:pPr>
              <w:spacing w:after="0" w:line="240" w:lineRule="auto"/>
              <w:rPr>
                <w:rFonts w:ascii="Times New Roman" w:eastAsia="Times New Roman" w:hAnsi="Times New Roman" w:cs="Times New Roman"/>
                <w:color w:val="000000"/>
                <w:lang w:eastAsia="sk-SK"/>
              </w:rPr>
            </w:pPr>
            <w:r w:rsidRPr="00CB1BA9">
              <w:rPr>
                <w:rFonts w:ascii="Times New Roman" w:eastAsia="Times New Roman" w:hAnsi="Times New Roman" w:cs="Times New Roman"/>
                <w:color w:val="000000"/>
                <w:lang w:eastAsia="sk-SK"/>
              </w:rPr>
              <w:t>Budovy</w:t>
            </w:r>
          </w:p>
        </w:tc>
        <w:tc>
          <w:tcPr>
            <w:tcW w:w="510" w:type="pct"/>
            <w:tcBorders>
              <w:top w:val="single" w:sz="8" w:space="0" w:color="auto"/>
            </w:tcBorders>
            <w:shd w:val="clear" w:color="auto" w:fill="auto"/>
            <w:noWrap/>
            <w:vAlign w:val="center"/>
          </w:tcPr>
          <w:p w14:paraId="4BF2AA39" w14:textId="4FBB9566" w:rsidR="00310CBA" w:rsidRPr="008A2E69" w:rsidRDefault="00310CBA" w:rsidP="008A2E69">
            <w:pPr>
              <w:spacing w:after="0" w:line="240" w:lineRule="auto"/>
              <w:jc w:val="right"/>
              <w:rPr>
                <w:rFonts w:ascii="Times New Roman" w:hAnsi="Times New Roman" w:cs="Times New Roman"/>
              </w:rPr>
            </w:pPr>
            <w:r w:rsidRPr="005F7B58">
              <w:rPr>
                <w:rFonts w:ascii="Times New Roman" w:hAnsi="Times New Roman" w:cs="Times New Roman"/>
              </w:rPr>
              <w:t>3 251</w:t>
            </w:r>
          </w:p>
        </w:tc>
        <w:tc>
          <w:tcPr>
            <w:tcW w:w="537" w:type="pct"/>
            <w:tcBorders>
              <w:top w:val="single" w:sz="8" w:space="0" w:color="auto"/>
            </w:tcBorders>
            <w:shd w:val="clear" w:color="auto" w:fill="auto"/>
            <w:noWrap/>
            <w:vAlign w:val="center"/>
          </w:tcPr>
          <w:p w14:paraId="37791B88" w14:textId="6A5F4DDB" w:rsidR="00310CBA" w:rsidRPr="008A2E69" w:rsidRDefault="00310CBA" w:rsidP="008A2E69">
            <w:pPr>
              <w:spacing w:after="0" w:line="240" w:lineRule="auto"/>
              <w:jc w:val="right"/>
              <w:rPr>
                <w:rFonts w:ascii="Times New Roman" w:hAnsi="Times New Roman" w:cs="Times New Roman"/>
                <w:color w:val="000000"/>
              </w:rPr>
            </w:pPr>
            <w:r w:rsidRPr="005F7B58">
              <w:rPr>
                <w:rFonts w:ascii="Times New Roman" w:hAnsi="Times New Roman" w:cs="Times New Roman"/>
              </w:rPr>
              <w:t>5 088</w:t>
            </w:r>
          </w:p>
        </w:tc>
        <w:tc>
          <w:tcPr>
            <w:tcW w:w="924" w:type="pct"/>
            <w:tcBorders>
              <w:top w:val="single" w:sz="8" w:space="0" w:color="auto"/>
              <w:right w:val="single" w:sz="8" w:space="0" w:color="auto"/>
            </w:tcBorders>
            <w:shd w:val="clear" w:color="auto" w:fill="auto"/>
            <w:noWrap/>
            <w:vAlign w:val="center"/>
          </w:tcPr>
          <w:p w14:paraId="3C220D8B" w14:textId="653AC8A9" w:rsidR="00310CBA" w:rsidRPr="008A2E69" w:rsidRDefault="00310CBA" w:rsidP="00AF28E9">
            <w:pPr>
              <w:spacing w:after="0" w:line="240" w:lineRule="auto"/>
              <w:jc w:val="right"/>
              <w:rPr>
                <w:rFonts w:ascii="Times New Roman" w:hAnsi="Times New Roman" w:cs="Times New Roman"/>
                <w:color w:val="000000"/>
              </w:rPr>
            </w:pPr>
            <w:r w:rsidRPr="005F7B58">
              <w:rPr>
                <w:rFonts w:ascii="Times New Roman" w:hAnsi="Times New Roman" w:cs="Times New Roman"/>
              </w:rPr>
              <w:t>1 506 162</w:t>
            </w:r>
          </w:p>
        </w:tc>
        <w:tc>
          <w:tcPr>
            <w:tcW w:w="657" w:type="pct"/>
            <w:tcBorders>
              <w:top w:val="single" w:sz="8" w:space="0" w:color="auto"/>
              <w:left w:val="single" w:sz="8" w:space="0" w:color="auto"/>
            </w:tcBorders>
            <w:shd w:val="clear" w:color="auto" w:fill="auto"/>
            <w:vAlign w:val="center"/>
          </w:tcPr>
          <w:p w14:paraId="016E5EDF" w14:textId="1B30F023" w:rsidR="00310CBA" w:rsidRPr="008A2E69" w:rsidRDefault="00310CBA" w:rsidP="00AF28E9">
            <w:pPr>
              <w:spacing w:after="0" w:line="240" w:lineRule="auto"/>
              <w:jc w:val="right"/>
              <w:rPr>
                <w:rFonts w:ascii="Times New Roman" w:hAnsi="Times New Roman" w:cs="Times New Roman"/>
                <w:color w:val="000000"/>
              </w:rPr>
            </w:pPr>
            <w:r w:rsidRPr="005F7B58">
              <w:rPr>
                <w:rFonts w:ascii="Times New Roman" w:hAnsi="Times New Roman" w:cs="Times New Roman"/>
              </w:rPr>
              <w:t>4 280</w:t>
            </w:r>
          </w:p>
        </w:tc>
        <w:tc>
          <w:tcPr>
            <w:tcW w:w="506" w:type="pct"/>
            <w:tcBorders>
              <w:top w:val="single" w:sz="8" w:space="0" w:color="auto"/>
            </w:tcBorders>
            <w:shd w:val="clear" w:color="auto" w:fill="auto"/>
            <w:vAlign w:val="center"/>
          </w:tcPr>
          <w:p w14:paraId="023A4E88" w14:textId="3F79220B" w:rsidR="00310CBA" w:rsidRPr="008A2E69" w:rsidRDefault="00310CBA">
            <w:pPr>
              <w:spacing w:after="0" w:line="240" w:lineRule="auto"/>
              <w:jc w:val="right"/>
              <w:rPr>
                <w:rFonts w:ascii="Times New Roman" w:hAnsi="Times New Roman" w:cs="Times New Roman"/>
                <w:color w:val="000000"/>
              </w:rPr>
            </w:pPr>
            <w:r w:rsidRPr="005F7B58">
              <w:rPr>
                <w:rFonts w:ascii="Times New Roman" w:hAnsi="Times New Roman" w:cs="Times New Roman"/>
              </w:rPr>
              <w:t>6 698</w:t>
            </w:r>
          </w:p>
        </w:tc>
        <w:tc>
          <w:tcPr>
            <w:tcW w:w="566" w:type="pct"/>
            <w:tcBorders>
              <w:top w:val="single" w:sz="8" w:space="0" w:color="auto"/>
              <w:right w:val="single" w:sz="8" w:space="0" w:color="auto"/>
            </w:tcBorders>
            <w:shd w:val="clear" w:color="auto" w:fill="auto"/>
            <w:vAlign w:val="center"/>
          </w:tcPr>
          <w:p w14:paraId="11E36FC2" w14:textId="251BC3BC" w:rsidR="00310CBA" w:rsidRPr="008A2E69" w:rsidRDefault="00310CBA">
            <w:pPr>
              <w:spacing w:after="0" w:line="240" w:lineRule="auto"/>
              <w:jc w:val="right"/>
              <w:rPr>
                <w:rFonts w:ascii="Times New Roman" w:hAnsi="Times New Roman" w:cs="Times New Roman"/>
                <w:color w:val="000000"/>
              </w:rPr>
            </w:pPr>
            <w:r w:rsidRPr="005F7B58">
              <w:rPr>
                <w:rFonts w:ascii="Times New Roman" w:hAnsi="Times New Roman" w:cs="Times New Roman"/>
              </w:rPr>
              <w:t>2 019 247</w:t>
            </w:r>
          </w:p>
        </w:tc>
      </w:tr>
      <w:tr w:rsidR="00310CBA" w:rsidRPr="00CB1BA9" w14:paraId="29E3EB93" w14:textId="77777777" w:rsidTr="005F7B58">
        <w:trPr>
          <w:trHeight w:val="330"/>
        </w:trPr>
        <w:tc>
          <w:tcPr>
            <w:tcW w:w="1300" w:type="pct"/>
            <w:tcBorders>
              <w:left w:val="single" w:sz="8" w:space="0" w:color="auto"/>
            </w:tcBorders>
            <w:shd w:val="clear" w:color="auto" w:fill="auto"/>
            <w:noWrap/>
            <w:vAlign w:val="center"/>
          </w:tcPr>
          <w:p w14:paraId="1652E2BD" w14:textId="1CBCD402" w:rsidR="00310CBA" w:rsidRPr="00CB1BA9" w:rsidRDefault="00310CBA" w:rsidP="00310CBA">
            <w:pPr>
              <w:spacing w:after="0" w:line="240" w:lineRule="auto"/>
              <w:rPr>
                <w:rFonts w:ascii="Times New Roman" w:eastAsia="Times New Roman" w:hAnsi="Times New Roman" w:cs="Times New Roman"/>
                <w:color w:val="000000"/>
                <w:lang w:eastAsia="sk-SK"/>
              </w:rPr>
            </w:pPr>
            <w:r w:rsidRPr="00CB1BA9">
              <w:rPr>
                <w:rFonts w:ascii="Times New Roman" w:eastAsia="Times New Roman" w:hAnsi="Times New Roman" w:cs="Times New Roman"/>
                <w:color w:val="000000"/>
                <w:lang w:eastAsia="sk-SK"/>
              </w:rPr>
              <w:t>Priemysel</w:t>
            </w:r>
          </w:p>
        </w:tc>
        <w:tc>
          <w:tcPr>
            <w:tcW w:w="510" w:type="pct"/>
            <w:shd w:val="clear" w:color="auto" w:fill="auto"/>
            <w:noWrap/>
            <w:vAlign w:val="center"/>
          </w:tcPr>
          <w:p w14:paraId="04D127DC" w14:textId="2A0B8E27" w:rsidR="00310CBA" w:rsidRPr="008A2E69" w:rsidRDefault="00310CBA" w:rsidP="008A2E69">
            <w:pPr>
              <w:spacing w:after="0" w:line="240" w:lineRule="auto"/>
              <w:jc w:val="right"/>
              <w:rPr>
                <w:rFonts w:ascii="Times New Roman" w:hAnsi="Times New Roman" w:cs="Times New Roman"/>
              </w:rPr>
            </w:pPr>
            <w:r w:rsidRPr="005F7B58">
              <w:rPr>
                <w:rFonts w:ascii="Times New Roman" w:hAnsi="Times New Roman" w:cs="Times New Roman"/>
              </w:rPr>
              <w:t>5 507</w:t>
            </w:r>
          </w:p>
        </w:tc>
        <w:tc>
          <w:tcPr>
            <w:tcW w:w="537" w:type="pct"/>
            <w:shd w:val="clear" w:color="auto" w:fill="auto"/>
            <w:noWrap/>
            <w:vAlign w:val="center"/>
          </w:tcPr>
          <w:p w14:paraId="66F2C310" w14:textId="185940F7" w:rsidR="00310CBA" w:rsidRPr="008A2E69" w:rsidRDefault="00310CBA" w:rsidP="008A2E69">
            <w:pPr>
              <w:spacing w:after="0" w:line="240" w:lineRule="auto"/>
              <w:jc w:val="right"/>
              <w:rPr>
                <w:rFonts w:ascii="Times New Roman" w:hAnsi="Times New Roman" w:cs="Times New Roman"/>
                <w:color w:val="000000"/>
              </w:rPr>
            </w:pPr>
            <w:r w:rsidRPr="005F7B58">
              <w:rPr>
                <w:rFonts w:ascii="Times New Roman" w:hAnsi="Times New Roman" w:cs="Times New Roman"/>
              </w:rPr>
              <w:t>8 618</w:t>
            </w:r>
          </w:p>
        </w:tc>
        <w:tc>
          <w:tcPr>
            <w:tcW w:w="924" w:type="pct"/>
            <w:tcBorders>
              <w:right w:val="single" w:sz="8" w:space="0" w:color="auto"/>
            </w:tcBorders>
            <w:shd w:val="clear" w:color="auto" w:fill="auto"/>
            <w:noWrap/>
            <w:vAlign w:val="center"/>
          </w:tcPr>
          <w:p w14:paraId="0A323A19" w14:textId="331E128E" w:rsidR="00310CBA" w:rsidRPr="008A2E69" w:rsidRDefault="00310CBA" w:rsidP="00AF28E9">
            <w:pPr>
              <w:spacing w:after="0" w:line="240" w:lineRule="auto"/>
              <w:jc w:val="right"/>
              <w:rPr>
                <w:rFonts w:ascii="Times New Roman" w:hAnsi="Times New Roman" w:cs="Times New Roman"/>
                <w:color w:val="000000"/>
              </w:rPr>
            </w:pPr>
            <w:r w:rsidRPr="005F7B58">
              <w:rPr>
                <w:rFonts w:ascii="Times New Roman" w:hAnsi="Times New Roman" w:cs="Times New Roman"/>
              </w:rPr>
              <w:t>998 527</w:t>
            </w:r>
          </w:p>
        </w:tc>
        <w:tc>
          <w:tcPr>
            <w:tcW w:w="657" w:type="pct"/>
            <w:tcBorders>
              <w:left w:val="single" w:sz="8" w:space="0" w:color="auto"/>
            </w:tcBorders>
            <w:shd w:val="clear" w:color="auto" w:fill="auto"/>
            <w:vAlign w:val="center"/>
          </w:tcPr>
          <w:p w14:paraId="43EB792B" w14:textId="23BAAEB9" w:rsidR="00310CBA" w:rsidRPr="008A2E69" w:rsidRDefault="00310CBA" w:rsidP="00AF28E9">
            <w:pPr>
              <w:spacing w:after="0" w:line="240" w:lineRule="auto"/>
              <w:jc w:val="right"/>
              <w:rPr>
                <w:rFonts w:ascii="Times New Roman" w:hAnsi="Times New Roman" w:cs="Times New Roman"/>
                <w:color w:val="000000"/>
              </w:rPr>
            </w:pPr>
            <w:r w:rsidRPr="005F7B58">
              <w:rPr>
                <w:rFonts w:ascii="Times New Roman" w:hAnsi="Times New Roman" w:cs="Times New Roman"/>
              </w:rPr>
              <w:t>6 770</w:t>
            </w:r>
          </w:p>
        </w:tc>
        <w:tc>
          <w:tcPr>
            <w:tcW w:w="506" w:type="pct"/>
            <w:shd w:val="clear" w:color="auto" w:fill="auto"/>
            <w:vAlign w:val="center"/>
          </w:tcPr>
          <w:p w14:paraId="3B944747" w14:textId="4BCDC094" w:rsidR="00310CBA" w:rsidRPr="008A2E69" w:rsidRDefault="00310CBA">
            <w:pPr>
              <w:spacing w:after="0" w:line="240" w:lineRule="auto"/>
              <w:jc w:val="right"/>
              <w:rPr>
                <w:rFonts w:ascii="Times New Roman" w:hAnsi="Times New Roman" w:cs="Times New Roman"/>
                <w:color w:val="000000"/>
              </w:rPr>
            </w:pPr>
            <w:r w:rsidRPr="005F7B58">
              <w:rPr>
                <w:rFonts w:ascii="Times New Roman" w:hAnsi="Times New Roman" w:cs="Times New Roman"/>
              </w:rPr>
              <w:t>10 595</w:t>
            </w:r>
          </w:p>
        </w:tc>
        <w:tc>
          <w:tcPr>
            <w:tcW w:w="566" w:type="pct"/>
            <w:tcBorders>
              <w:right w:val="single" w:sz="8" w:space="0" w:color="auto"/>
            </w:tcBorders>
            <w:shd w:val="clear" w:color="auto" w:fill="auto"/>
            <w:vAlign w:val="center"/>
          </w:tcPr>
          <w:p w14:paraId="427F54C5" w14:textId="2F61D1A5" w:rsidR="00310CBA" w:rsidRPr="008A2E69" w:rsidRDefault="00310CBA">
            <w:pPr>
              <w:spacing w:after="0" w:line="240" w:lineRule="auto"/>
              <w:jc w:val="right"/>
              <w:rPr>
                <w:rFonts w:ascii="Times New Roman" w:hAnsi="Times New Roman" w:cs="Times New Roman"/>
                <w:color w:val="000000"/>
              </w:rPr>
            </w:pPr>
            <w:r w:rsidRPr="005F7B58">
              <w:rPr>
                <w:rFonts w:ascii="Times New Roman" w:hAnsi="Times New Roman" w:cs="Times New Roman"/>
              </w:rPr>
              <w:t>1 278 815</w:t>
            </w:r>
          </w:p>
        </w:tc>
      </w:tr>
      <w:tr w:rsidR="00310CBA" w:rsidRPr="00CB1BA9" w14:paraId="7BB741F2" w14:textId="77777777" w:rsidTr="005F7B58">
        <w:trPr>
          <w:trHeight w:val="330"/>
        </w:trPr>
        <w:tc>
          <w:tcPr>
            <w:tcW w:w="1300" w:type="pct"/>
            <w:tcBorders>
              <w:left w:val="single" w:sz="8" w:space="0" w:color="auto"/>
            </w:tcBorders>
            <w:shd w:val="clear" w:color="auto" w:fill="auto"/>
            <w:noWrap/>
            <w:vAlign w:val="center"/>
            <w:hideMark/>
          </w:tcPr>
          <w:p w14:paraId="71845A5B" w14:textId="77777777" w:rsidR="00310CBA" w:rsidRPr="00CB1BA9" w:rsidRDefault="00310CBA" w:rsidP="00310CBA">
            <w:pPr>
              <w:spacing w:after="0" w:line="240" w:lineRule="auto"/>
              <w:rPr>
                <w:rFonts w:ascii="Times New Roman" w:eastAsia="Times New Roman" w:hAnsi="Times New Roman" w:cs="Times New Roman"/>
                <w:color w:val="000000"/>
                <w:lang w:eastAsia="sk-SK"/>
              </w:rPr>
            </w:pPr>
            <w:r w:rsidRPr="00CB1BA9">
              <w:rPr>
                <w:rFonts w:ascii="Times New Roman" w:eastAsia="Times New Roman" w:hAnsi="Times New Roman" w:cs="Times New Roman"/>
                <w:color w:val="000000"/>
                <w:lang w:eastAsia="sk-SK"/>
              </w:rPr>
              <w:t>Verejný sektor</w:t>
            </w:r>
          </w:p>
        </w:tc>
        <w:tc>
          <w:tcPr>
            <w:tcW w:w="510" w:type="pct"/>
            <w:shd w:val="clear" w:color="auto" w:fill="auto"/>
            <w:noWrap/>
            <w:vAlign w:val="center"/>
          </w:tcPr>
          <w:p w14:paraId="7D8B4526" w14:textId="56B485A6" w:rsidR="00310CBA" w:rsidRPr="008A2E69" w:rsidRDefault="00310CBA" w:rsidP="008A2E69">
            <w:pPr>
              <w:spacing w:after="0" w:line="240" w:lineRule="auto"/>
              <w:jc w:val="right"/>
              <w:rPr>
                <w:rFonts w:ascii="Times New Roman" w:hAnsi="Times New Roman" w:cs="Times New Roman"/>
              </w:rPr>
            </w:pPr>
            <w:r w:rsidRPr="005F7B58">
              <w:rPr>
                <w:rFonts w:ascii="Times New Roman" w:hAnsi="Times New Roman" w:cs="Times New Roman"/>
              </w:rPr>
              <w:t>1 362</w:t>
            </w:r>
          </w:p>
        </w:tc>
        <w:tc>
          <w:tcPr>
            <w:tcW w:w="537" w:type="pct"/>
            <w:shd w:val="clear" w:color="auto" w:fill="auto"/>
            <w:noWrap/>
            <w:vAlign w:val="center"/>
          </w:tcPr>
          <w:p w14:paraId="62E8B8D1" w14:textId="667821EB" w:rsidR="00310CBA" w:rsidRPr="008A2E69" w:rsidRDefault="00310CBA" w:rsidP="008A2E69">
            <w:pPr>
              <w:spacing w:after="0" w:line="240" w:lineRule="auto"/>
              <w:jc w:val="right"/>
              <w:rPr>
                <w:rFonts w:ascii="Times New Roman" w:hAnsi="Times New Roman" w:cs="Times New Roman"/>
                <w:color w:val="000000"/>
              </w:rPr>
            </w:pPr>
            <w:r w:rsidRPr="005F7B58">
              <w:rPr>
                <w:rFonts w:ascii="Times New Roman" w:hAnsi="Times New Roman" w:cs="Times New Roman"/>
              </w:rPr>
              <w:t>2 132</w:t>
            </w:r>
          </w:p>
        </w:tc>
        <w:tc>
          <w:tcPr>
            <w:tcW w:w="924" w:type="pct"/>
            <w:tcBorders>
              <w:right w:val="single" w:sz="8" w:space="0" w:color="auto"/>
            </w:tcBorders>
            <w:shd w:val="clear" w:color="auto" w:fill="auto"/>
            <w:noWrap/>
            <w:vAlign w:val="center"/>
          </w:tcPr>
          <w:p w14:paraId="15070711" w14:textId="29BA34CD" w:rsidR="00310CBA" w:rsidRPr="008A2E69" w:rsidRDefault="00310CBA" w:rsidP="00AF28E9">
            <w:pPr>
              <w:spacing w:after="0" w:line="240" w:lineRule="auto"/>
              <w:jc w:val="right"/>
              <w:rPr>
                <w:rFonts w:ascii="Times New Roman" w:hAnsi="Times New Roman" w:cs="Times New Roman"/>
                <w:color w:val="000000"/>
              </w:rPr>
            </w:pPr>
            <w:r w:rsidRPr="005F7B58">
              <w:rPr>
                <w:rFonts w:ascii="Times New Roman" w:hAnsi="Times New Roman" w:cs="Times New Roman"/>
              </w:rPr>
              <w:t>636 111</w:t>
            </w:r>
          </w:p>
        </w:tc>
        <w:tc>
          <w:tcPr>
            <w:tcW w:w="657" w:type="pct"/>
            <w:tcBorders>
              <w:left w:val="single" w:sz="8" w:space="0" w:color="auto"/>
            </w:tcBorders>
            <w:shd w:val="clear" w:color="auto" w:fill="auto"/>
            <w:vAlign w:val="center"/>
          </w:tcPr>
          <w:p w14:paraId="49A6C22F" w14:textId="67885CAF" w:rsidR="00310CBA" w:rsidRPr="008A2E69" w:rsidRDefault="00310CBA" w:rsidP="00AF28E9">
            <w:pPr>
              <w:spacing w:after="0" w:line="240" w:lineRule="auto"/>
              <w:jc w:val="right"/>
              <w:rPr>
                <w:rFonts w:ascii="Times New Roman" w:hAnsi="Times New Roman" w:cs="Times New Roman"/>
                <w:color w:val="000000"/>
              </w:rPr>
            </w:pPr>
            <w:r w:rsidRPr="005F7B58">
              <w:rPr>
                <w:rFonts w:ascii="Times New Roman" w:hAnsi="Times New Roman" w:cs="Times New Roman"/>
              </w:rPr>
              <w:t>1 706</w:t>
            </w:r>
          </w:p>
        </w:tc>
        <w:tc>
          <w:tcPr>
            <w:tcW w:w="506" w:type="pct"/>
            <w:shd w:val="clear" w:color="auto" w:fill="auto"/>
            <w:vAlign w:val="center"/>
          </w:tcPr>
          <w:p w14:paraId="1D7468F5" w14:textId="755898F6" w:rsidR="00310CBA" w:rsidRPr="008A2E69" w:rsidRDefault="00310CBA">
            <w:pPr>
              <w:spacing w:after="0" w:line="240" w:lineRule="auto"/>
              <w:jc w:val="right"/>
              <w:rPr>
                <w:rFonts w:ascii="Times New Roman" w:hAnsi="Times New Roman" w:cs="Times New Roman"/>
                <w:color w:val="000000"/>
              </w:rPr>
            </w:pPr>
            <w:r w:rsidRPr="005F7B58">
              <w:rPr>
                <w:rFonts w:ascii="Times New Roman" w:hAnsi="Times New Roman" w:cs="Times New Roman"/>
              </w:rPr>
              <w:t>2 670</w:t>
            </w:r>
          </w:p>
        </w:tc>
        <w:tc>
          <w:tcPr>
            <w:tcW w:w="566" w:type="pct"/>
            <w:tcBorders>
              <w:right w:val="single" w:sz="8" w:space="0" w:color="auto"/>
            </w:tcBorders>
            <w:shd w:val="clear" w:color="auto" w:fill="auto"/>
            <w:vAlign w:val="center"/>
          </w:tcPr>
          <w:p w14:paraId="15EB375A" w14:textId="62F10B14" w:rsidR="00310CBA" w:rsidRPr="008A2E69" w:rsidRDefault="00310CBA">
            <w:pPr>
              <w:spacing w:after="0" w:line="240" w:lineRule="auto"/>
              <w:jc w:val="right"/>
              <w:rPr>
                <w:rFonts w:ascii="Times New Roman" w:hAnsi="Times New Roman" w:cs="Times New Roman"/>
                <w:color w:val="000000"/>
              </w:rPr>
            </w:pPr>
            <w:r w:rsidRPr="005F7B58">
              <w:rPr>
                <w:rFonts w:ascii="Times New Roman" w:hAnsi="Times New Roman" w:cs="Times New Roman"/>
              </w:rPr>
              <w:t>800 486</w:t>
            </w:r>
          </w:p>
        </w:tc>
      </w:tr>
      <w:tr w:rsidR="00310CBA" w:rsidRPr="00CB1BA9" w14:paraId="0D46EDA4" w14:textId="77777777" w:rsidTr="005F7B58">
        <w:trPr>
          <w:trHeight w:val="330"/>
        </w:trPr>
        <w:tc>
          <w:tcPr>
            <w:tcW w:w="1300" w:type="pct"/>
            <w:tcBorders>
              <w:left w:val="single" w:sz="8" w:space="0" w:color="auto"/>
            </w:tcBorders>
            <w:shd w:val="clear" w:color="auto" w:fill="auto"/>
            <w:noWrap/>
            <w:vAlign w:val="center"/>
            <w:hideMark/>
          </w:tcPr>
          <w:p w14:paraId="4069E157" w14:textId="77777777" w:rsidR="00310CBA" w:rsidRPr="00CB1BA9" w:rsidRDefault="00310CBA" w:rsidP="00310CBA">
            <w:pPr>
              <w:spacing w:after="0" w:line="240" w:lineRule="auto"/>
              <w:rPr>
                <w:rFonts w:ascii="Times New Roman" w:eastAsia="Times New Roman" w:hAnsi="Times New Roman" w:cs="Times New Roman"/>
                <w:color w:val="000000"/>
                <w:lang w:eastAsia="sk-SK"/>
              </w:rPr>
            </w:pPr>
            <w:r w:rsidRPr="00CB1BA9">
              <w:rPr>
                <w:rFonts w:ascii="Times New Roman" w:eastAsia="Times New Roman" w:hAnsi="Times New Roman" w:cs="Times New Roman"/>
                <w:color w:val="000000"/>
                <w:lang w:eastAsia="sk-SK"/>
              </w:rPr>
              <w:t xml:space="preserve">Doprava </w:t>
            </w:r>
          </w:p>
        </w:tc>
        <w:tc>
          <w:tcPr>
            <w:tcW w:w="510" w:type="pct"/>
            <w:shd w:val="clear" w:color="auto" w:fill="auto"/>
            <w:noWrap/>
            <w:vAlign w:val="center"/>
          </w:tcPr>
          <w:p w14:paraId="38F6AD2F" w14:textId="5442E5E4" w:rsidR="00310CBA" w:rsidRPr="008A2E69" w:rsidRDefault="00310CBA" w:rsidP="008A2E69">
            <w:pPr>
              <w:spacing w:after="0" w:line="240" w:lineRule="auto"/>
              <w:jc w:val="right"/>
              <w:rPr>
                <w:rFonts w:ascii="Times New Roman" w:hAnsi="Times New Roman" w:cs="Times New Roman"/>
              </w:rPr>
            </w:pPr>
            <w:r w:rsidRPr="005F7B58">
              <w:rPr>
                <w:rFonts w:ascii="Times New Roman" w:hAnsi="Times New Roman" w:cs="Times New Roman"/>
              </w:rPr>
              <w:t>743</w:t>
            </w:r>
          </w:p>
        </w:tc>
        <w:tc>
          <w:tcPr>
            <w:tcW w:w="537" w:type="pct"/>
            <w:shd w:val="clear" w:color="auto" w:fill="auto"/>
            <w:noWrap/>
            <w:vAlign w:val="center"/>
          </w:tcPr>
          <w:p w14:paraId="6A5EB119" w14:textId="257A3DB0" w:rsidR="00310CBA" w:rsidRPr="008A2E69" w:rsidRDefault="00310CBA" w:rsidP="008A2E69">
            <w:pPr>
              <w:spacing w:after="0" w:line="240" w:lineRule="auto"/>
              <w:jc w:val="right"/>
              <w:rPr>
                <w:rFonts w:ascii="Times New Roman" w:hAnsi="Times New Roman" w:cs="Times New Roman"/>
                <w:color w:val="000000"/>
              </w:rPr>
            </w:pPr>
            <w:r w:rsidRPr="005F7B58">
              <w:rPr>
                <w:rFonts w:ascii="Times New Roman" w:hAnsi="Times New Roman" w:cs="Times New Roman"/>
              </w:rPr>
              <w:t>1 163</w:t>
            </w:r>
          </w:p>
        </w:tc>
        <w:tc>
          <w:tcPr>
            <w:tcW w:w="924" w:type="pct"/>
            <w:tcBorders>
              <w:right w:val="single" w:sz="8" w:space="0" w:color="auto"/>
            </w:tcBorders>
            <w:shd w:val="clear" w:color="auto" w:fill="auto"/>
            <w:noWrap/>
            <w:vAlign w:val="center"/>
          </w:tcPr>
          <w:p w14:paraId="4DBD01CB" w14:textId="5D9D44F4" w:rsidR="00310CBA" w:rsidRPr="008A2E69" w:rsidRDefault="00310CBA" w:rsidP="00AF28E9">
            <w:pPr>
              <w:spacing w:after="0" w:line="240" w:lineRule="auto"/>
              <w:jc w:val="right"/>
              <w:rPr>
                <w:rFonts w:ascii="Times New Roman" w:hAnsi="Times New Roman" w:cs="Times New Roman"/>
                <w:color w:val="000000"/>
              </w:rPr>
            </w:pPr>
            <w:r w:rsidRPr="005F7B58">
              <w:rPr>
                <w:rFonts w:ascii="Times New Roman" w:hAnsi="Times New Roman" w:cs="Times New Roman"/>
              </w:rPr>
              <w:t>1 162 470</w:t>
            </w:r>
          </w:p>
        </w:tc>
        <w:tc>
          <w:tcPr>
            <w:tcW w:w="657" w:type="pct"/>
            <w:tcBorders>
              <w:left w:val="single" w:sz="8" w:space="0" w:color="auto"/>
            </w:tcBorders>
            <w:shd w:val="clear" w:color="auto" w:fill="auto"/>
            <w:vAlign w:val="center"/>
          </w:tcPr>
          <w:p w14:paraId="66FAB04C" w14:textId="756B316F" w:rsidR="00310CBA" w:rsidRPr="008A2E69" w:rsidRDefault="00310CBA" w:rsidP="00AF28E9">
            <w:pPr>
              <w:spacing w:after="0" w:line="240" w:lineRule="auto"/>
              <w:jc w:val="right"/>
              <w:rPr>
                <w:rFonts w:ascii="Times New Roman" w:hAnsi="Times New Roman" w:cs="Times New Roman"/>
                <w:color w:val="000000"/>
              </w:rPr>
            </w:pPr>
            <w:r w:rsidRPr="005F7B58">
              <w:rPr>
                <w:rFonts w:ascii="Times New Roman" w:hAnsi="Times New Roman" w:cs="Times New Roman"/>
              </w:rPr>
              <w:t>1 061</w:t>
            </w:r>
          </w:p>
        </w:tc>
        <w:tc>
          <w:tcPr>
            <w:tcW w:w="506" w:type="pct"/>
            <w:shd w:val="clear" w:color="auto" w:fill="auto"/>
            <w:vAlign w:val="center"/>
          </w:tcPr>
          <w:p w14:paraId="3A4A2E80" w14:textId="2C5465A3" w:rsidR="00310CBA" w:rsidRPr="008A2E69" w:rsidRDefault="00310CBA">
            <w:pPr>
              <w:spacing w:after="0" w:line="240" w:lineRule="auto"/>
              <w:jc w:val="right"/>
              <w:rPr>
                <w:rFonts w:ascii="Times New Roman" w:hAnsi="Times New Roman" w:cs="Times New Roman"/>
                <w:color w:val="000000"/>
              </w:rPr>
            </w:pPr>
            <w:r w:rsidRPr="005F7B58">
              <w:rPr>
                <w:rFonts w:ascii="Times New Roman" w:hAnsi="Times New Roman" w:cs="Times New Roman"/>
              </w:rPr>
              <w:t>1 660</w:t>
            </w:r>
          </w:p>
        </w:tc>
        <w:tc>
          <w:tcPr>
            <w:tcW w:w="566" w:type="pct"/>
            <w:tcBorders>
              <w:right w:val="single" w:sz="8" w:space="0" w:color="auto"/>
            </w:tcBorders>
            <w:shd w:val="clear" w:color="auto" w:fill="auto"/>
            <w:vAlign w:val="center"/>
          </w:tcPr>
          <w:p w14:paraId="4AE6A4A3" w14:textId="3CCBF0DC" w:rsidR="00310CBA" w:rsidRPr="008A2E69" w:rsidRDefault="00310CBA">
            <w:pPr>
              <w:spacing w:after="0" w:line="240" w:lineRule="auto"/>
              <w:jc w:val="right"/>
              <w:rPr>
                <w:rFonts w:ascii="Times New Roman" w:hAnsi="Times New Roman" w:cs="Times New Roman"/>
                <w:color w:val="000000"/>
              </w:rPr>
            </w:pPr>
            <w:r w:rsidRPr="005F7B58">
              <w:rPr>
                <w:rFonts w:ascii="Times New Roman" w:hAnsi="Times New Roman" w:cs="Times New Roman"/>
              </w:rPr>
              <w:t>1 683 905</w:t>
            </w:r>
          </w:p>
        </w:tc>
      </w:tr>
      <w:tr w:rsidR="00310CBA" w:rsidRPr="00CB1BA9" w14:paraId="4CB138FF" w14:textId="77777777" w:rsidTr="005F7B58">
        <w:trPr>
          <w:trHeight w:val="330"/>
        </w:trPr>
        <w:tc>
          <w:tcPr>
            <w:tcW w:w="1300" w:type="pct"/>
            <w:tcBorders>
              <w:left w:val="single" w:sz="8" w:space="0" w:color="auto"/>
            </w:tcBorders>
            <w:shd w:val="clear" w:color="auto" w:fill="auto"/>
            <w:noWrap/>
            <w:vAlign w:val="center"/>
            <w:hideMark/>
          </w:tcPr>
          <w:p w14:paraId="751759AF" w14:textId="4B43113C" w:rsidR="00310CBA" w:rsidRPr="00CB1BA9" w:rsidRDefault="00310CBA" w:rsidP="00310CBA">
            <w:pPr>
              <w:spacing w:after="0" w:line="240" w:lineRule="auto"/>
              <w:rPr>
                <w:rFonts w:ascii="Times New Roman" w:eastAsia="Times New Roman" w:hAnsi="Times New Roman" w:cs="Times New Roman"/>
                <w:color w:val="000000"/>
                <w:lang w:eastAsia="sk-SK"/>
              </w:rPr>
            </w:pPr>
            <w:r w:rsidRPr="00CB1BA9">
              <w:rPr>
                <w:rFonts w:ascii="Times New Roman" w:eastAsia="Times New Roman" w:hAnsi="Times New Roman" w:cs="Times New Roman"/>
                <w:color w:val="000000"/>
                <w:lang w:eastAsia="sk-SK"/>
              </w:rPr>
              <w:t>Spotrebiče</w:t>
            </w:r>
          </w:p>
        </w:tc>
        <w:tc>
          <w:tcPr>
            <w:tcW w:w="510" w:type="pct"/>
            <w:shd w:val="clear" w:color="auto" w:fill="auto"/>
            <w:noWrap/>
            <w:vAlign w:val="center"/>
          </w:tcPr>
          <w:p w14:paraId="1BD875C1" w14:textId="76E40F2C" w:rsidR="00310CBA" w:rsidRPr="008A2E69" w:rsidRDefault="00310CBA" w:rsidP="008A2E69">
            <w:pPr>
              <w:spacing w:after="0" w:line="240" w:lineRule="auto"/>
              <w:jc w:val="right"/>
              <w:rPr>
                <w:rFonts w:ascii="Times New Roman" w:hAnsi="Times New Roman" w:cs="Times New Roman"/>
              </w:rPr>
            </w:pPr>
            <w:r w:rsidRPr="005F7B58">
              <w:rPr>
                <w:rFonts w:ascii="Times New Roman" w:hAnsi="Times New Roman" w:cs="Times New Roman"/>
              </w:rPr>
              <w:t>677</w:t>
            </w:r>
          </w:p>
        </w:tc>
        <w:tc>
          <w:tcPr>
            <w:tcW w:w="537" w:type="pct"/>
            <w:shd w:val="clear" w:color="auto" w:fill="auto"/>
            <w:noWrap/>
            <w:vAlign w:val="center"/>
          </w:tcPr>
          <w:p w14:paraId="5A2A253C" w14:textId="2626F05D" w:rsidR="00310CBA" w:rsidRPr="008A2E69" w:rsidRDefault="00310CBA" w:rsidP="008A2E69">
            <w:pPr>
              <w:spacing w:after="0" w:line="240" w:lineRule="auto"/>
              <w:jc w:val="right"/>
              <w:rPr>
                <w:rFonts w:ascii="Times New Roman" w:hAnsi="Times New Roman" w:cs="Times New Roman"/>
                <w:color w:val="000000"/>
              </w:rPr>
            </w:pPr>
            <w:r w:rsidRPr="005F7B58">
              <w:rPr>
                <w:rFonts w:ascii="Times New Roman" w:hAnsi="Times New Roman" w:cs="Times New Roman"/>
              </w:rPr>
              <w:t>1 059</w:t>
            </w:r>
          </w:p>
        </w:tc>
        <w:tc>
          <w:tcPr>
            <w:tcW w:w="924" w:type="pct"/>
            <w:tcBorders>
              <w:right w:val="single" w:sz="8" w:space="0" w:color="auto"/>
            </w:tcBorders>
            <w:shd w:val="clear" w:color="auto" w:fill="auto"/>
            <w:noWrap/>
            <w:vAlign w:val="center"/>
          </w:tcPr>
          <w:p w14:paraId="1DE34A83" w14:textId="3EDFF07C" w:rsidR="00310CBA" w:rsidRPr="008A2E69" w:rsidRDefault="00310CBA" w:rsidP="00AF28E9">
            <w:pPr>
              <w:spacing w:after="0" w:line="240" w:lineRule="auto"/>
              <w:jc w:val="right"/>
              <w:rPr>
                <w:rFonts w:ascii="Times New Roman" w:hAnsi="Times New Roman" w:cs="Times New Roman"/>
                <w:color w:val="000000"/>
              </w:rPr>
            </w:pPr>
            <w:r w:rsidRPr="005F7B58">
              <w:rPr>
                <w:rFonts w:ascii="Times New Roman" w:hAnsi="Times New Roman" w:cs="Times New Roman"/>
              </w:rPr>
              <w:t>118 665</w:t>
            </w:r>
          </w:p>
        </w:tc>
        <w:tc>
          <w:tcPr>
            <w:tcW w:w="657" w:type="pct"/>
            <w:tcBorders>
              <w:left w:val="single" w:sz="8" w:space="0" w:color="auto"/>
            </w:tcBorders>
            <w:shd w:val="clear" w:color="auto" w:fill="auto"/>
            <w:vAlign w:val="center"/>
          </w:tcPr>
          <w:p w14:paraId="33AE43A8" w14:textId="30199093" w:rsidR="00310CBA" w:rsidRPr="00AF28E9" w:rsidRDefault="00310CBA" w:rsidP="00AF28E9">
            <w:pPr>
              <w:spacing w:after="0" w:line="240" w:lineRule="auto"/>
              <w:jc w:val="right"/>
              <w:rPr>
                <w:rFonts w:ascii="Times New Roman" w:hAnsi="Times New Roman" w:cs="Times New Roman"/>
                <w:color w:val="000000"/>
              </w:rPr>
            </w:pPr>
            <w:r w:rsidRPr="005F7B58">
              <w:rPr>
                <w:rFonts w:ascii="Times New Roman" w:hAnsi="Times New Roman" w:cs="Times New Roman"/>
              </w:rPr>
              <w:t>902</w:t>
            </w:r>
          </w:p>
        </w:tc>
        <w:tc>
          <w:tcPr>
            <w:tcW w:w="506" w:type="pct"/>
            <w:shd w:val="clear" w:color="auto" w:fill="auto"/>
            <w:vAlign w:val="center"/>
          </w:tcPr>
          <w:p w14:paraId="3F66431F" w14:textId="5FCC34D6" w:rsidR="00310CBA" w:rsidRPr="008A2E69" w:rsidRDefault="00310CBA">
            <w:pPr>
              <w:spacing w:after="0" w:line="240" w:lineRule="auto"/>
              <w:jc w:val="right"/>
              <w:rPr>
                <w:rFonts w:ascii="Times New Roman" w:hAnsi="Times New Roman" w:cs="Times New Roman"/>
                <w:color w:val="000000"/>
              </w:rPr>
            </w:pPr>
            <w:r w:rsidRPr="005F7B58">
              <w:rPr>
                <w:rFonts w:ascii="Times New Roman" w:hAnsi="Times New Roman" w:cs="Times New Roman"/>
              </w:rPr>
              <w:t>1 412</w:t>
            </w:r>
          </w:p>
        </w:tc>
        <w:tc>
          <w:tcPr>
            <w:tcW w:w="566" w:type="pct"/>
            <w:tcBorders>
              <w:right w:val="single" w:sz="8" w:space="0" w:color="auto"/>
            </w:tcBorders>
            <w:shd w:val="clear" w:color="auto" w:fill="auto"/>
            <w:vAlign w:val="center"/>
          </w:tcPr>
          <w:p w14:paraId="5129D3DA" w14:textId="3813E2FD" w:rsidR="00310CBA" w:rsidRPr="008A2E69" w:rsidRDefault="00310CBA">
            <w:pPr>
              <w:spacing w:after="0" w:line="240" w:lineRule="auto"/>
              <w:jc w:val="right"/>
              <w:rPr>
                <w:rFonts w:ascii="Times New Roman" w:hAnsi="Times New Roman" w:cs="Times New Roman"/>
                <w:color w:val="000000"/>
              </w:rPr>
            </w:pPr>
            <w:r w:rsidRPr="005F7B58">
              <w:rPr>
                <w:rFonts w:ascii="Times New Roman" w:hAnsi="Times New Roman" w:cs="Times New Roman"/>
              </w:rPr>
              <w:t>158 220</w:t>
            </w:r>
          </w:p>
        </w:tc>
      </w:tr>
      <w:tr w:rsidR="001A7A74" w:rsidRPr="00CB1BA9" w14:paraId="44DD6D7D" w14:textId="77777777" w:rsidTr="005F7B58">
        <w:trPr>
          <w:trHeight w:val="330"/>
        </w:trPr>
        <w:tc>
          <w:tcPr>
            <w:tcW w:w="1300" w:type="pct"/>
            <w:tcBorders>
              <w:left w:val="single" w:sz="8" w:space="0" w:color="auto"/>
            </w:tcBorders>
            <w:shd w:val="clear" w:color="auto" w:fill="auto"/>
            <w:noWrap/>
            <w:vAlign w:val="center"/>
            <w:hideMark/>
          </w:tcPr>
          <w:p w14:paraId="7A725B51" w14:textId="77777777" w:rsidR="001A7A74" w:rsidRPr="00CB1BA9" w:rsidRDefault="001A7A74" w:rsidP="001A7A74">
            <w:pPr>
              <w:spacing w:after="0" w:line="240" w:lineRule="auto"/>
              <w:rPr>
                <w:rFonts w:ascii="Times New Roman" w:eastAsia="Times New Roman" w:hAnsi="Times New Roman" w:cs="Times New Roman"/>
                <w:color w:val="000000"/>
                <w:lang w:eastAsia="sk-SK"/>
              </w:rPr>
            </w:pPr>
            <w:r w:rsidRPr="00CB1BA9">
              <w:rPr>
                <w:rFonts w:ascii="Times New Roman" w:eastAsia="Times New Roman" w:hAnsi="Times New Roman" w:cs="Times New Roman"/>
                <w:color w:val="000000"/>
                <w:lang w:eastAsia="sk-SK"/>
              </w:rPr>
              <w:t xml:space="preserve">Premena, prenos a distribúcia energie </w:t>
            </w:r>
          </w:p>
        </w:tc>
        <w:tc>
          <w:tcPr>
            <w:tcW w:w="510" w:type="pct"/>
            <w:shd w:val="clear" w:color="auto" w:fill="auto"/>
            <w:noWrap/>
            <w:vAlign w:val="center"/>
          </w:tcPr>
          <w:p w14:paraId="102619F7" w14:textId="6DF7D74E" w:rsidR="001A7A74" w:rsidRPr="008A2E69" w:rsidRDefault="001A7A74" w:rsidP="001A7A74">
            <w:pPr>
              <w:spacing w:after="0" w:line="240" w:lineRule="auto"/>
              <w:jc w:val="right"/>
              <w:rPr>
                <w:rFonts w:ascii="Times New Roman" w:hAnsi="Times New Roman" w:cs="Times New Roman"/>
              </w:rPr>
            </w:pPr>
            <w:r w:rsidRPr="005F7B58">
              <w:rPr>
                <w:rFonts w:ascii="Times New Roman" w:hAnsi="Times New Roman" w:cs="Times New Roman"/>
              </w:rPr>
              <w:t>0</w:t>
            </w:r>
          </w:p>
        </w:tc>
        <w:tc>
          <w:tcPr>
            <w:tcW w:w="537" w:type="pct"/>
            <w:shd w:val="clear" w:color="auto" w:fill="auto"/>
            <w:noWrap/>
            <w:vAlign w:val="center"/>
          </w:tcPr>
          <w:p w14:paraId="20BEDCB1" w14:textId="580BAB8B" w:rsidR="001A7A74" w:rsidRPr="008A2E69" w:rsidRDefault="001A7A74" w:rsidP="001A7A74">
            <w:pPr>
              <w:spacing w:after="0" w:line="240" w:lineRule="auto"/>
              <w:jc w:val="right"/>
              <w:rPr>
                <w:rFonts w:ascii="Times New Roman" w:hAnsi="Times New Roman" w:cs="Times New Roman"/>
              </w:rPr>
            </w:pPr>
            <w:r w:rsidRPr="005F7B58">
              <w:rPr>
                <w:rFonts w:ascii="Times New Roman" w:hAnsi="Times New Roman" w:cs="Times New Roman"/>
              </w:rPr>
              <w:t>3 325</w:t>
            </w:r>
          </w:p>
        </w:tc>
        <w:tc>
          <w:tcPr>
            <w:tcW w:w="924" w:type="pct"/>
            <w:tcBorders>
              <w:right w:val="single" w:sz="8" w:space="0" w:color="auto"/>
            </w:tcBorders>
            <w:shd w:val="clear" w:color="auto" w:fill="auto"/>
            <w:noWrap/>
            <w:vAlign w:val="center"/>
          </w:tcPr>
          <w:p w14:paraId="55254279" w14:textId="52C0D607" w:rsidR="001A7A74" w:rsidRPr="008A2E69" w:rsidRDefault="001A7A74" w:rsidP="001A7A74">
            <w:pPr>
              <w:spacing w:after="0" w:line="240" w:lineRule="auto"/>
              <w:jc w:val="right"/>
              <w:rPr>
                <w:rFonts w:ascii="Times New Roman" w:hAnsi="Times New Roman" w:cs="Times New Roman"/>
                <w:color w:val="000000"/>
              </w:rPr>
            </w:pPr>
            <w:r w:rsidRPr="005F7B58">
              <w:rPr>
                <w:rFonts w:ascii="Times New Roman" w:hAnsi="Times New Roman" w:cs="Times New Roman"/>
              </w:rPr>
              <w:t>225 681</w:t>
            </w:r>
          </w:p>
        </w:tc>
        <w:tc>
          <w:tcPr>
            <w:tcW w:w="657" w:type="pct"/>
            <w:tcBorders>
              <w:left w:val="single" w:sz="8" w:space="0" w:color="auto"/>
            </w:tcBorders>
            <w:shd w:val="clear" w:color="auto" w:fill="auto"/>
            <w:vAlign w:val="center"/>
          </w:tcPr>
          <w:p w14:paraId="11740370" w14:textId="4ADF9EE9" w:rsidR="001A7A74" w:rsidRPr="008A2E69" w:rsidRDefault="001A7A74" w:rsidP="001A7A74">
            <w:pPr>
              <w:spacing w:after="0" w:line="240" w:lineRule="auto"/>
              <w:jc w:val="right"/>
              <w:rPr>
                <w:rFonts w:ascii="Times New Roman" w:hAnsi="Times New Roman" w:cs="Times New Roman"/>
                <w:color w:val="000000"/>
              </w:rPr>
            </w:pPr>
            <w:r w:rsidRPr="005F7B58">
              <w:rPr>
                <w:rFonts w:ascii="Times New Roman" w:hAnsi="Times New Roman" w:cs="Times New Roman"/>
              </w:rPr>
              <w:t>0</w:t>
            </w:r>
          </w:p>
        </w:tc>
        <w:tc>
          <w:tcPr>
            <w:tcW w:w="506" w:type="pct"/>
            <w:shd w:val="clear" w:color="auto" w:fill="auto"/>
            <w:vAlign w:val="center"/>
          </w:tcPr>
          <w:p w14:paraId="2AB48D3F" w14:textId="58D2C5CD" w:rsidR="001A7A74" w:rsidRPr="005F7B58" w:rsidRDefault="001A7A74" w:rsidP="00297B22">
            <w:pPr>
              <w:spacing w:after="0" w:line="240" w:lineRule="auto"/>
              <w:jc w:val="right"/>
              <w:rPr>
                <w:rFonts w:ascii="Times New Roman" w:hAnsi="Times New Roman" w:cs="Times New Roman"/>
              </w:rPr>
            </w:pPr>
            <w:r w:rsidRPr="005F7B58">
              <w:rPr>
                <w:rFonts w:ascii="Times New Roman" w:hAnsi="Times New Roman" w:cs="Times New Roman"/>
              </w:rPr>
              <w:t>4 328</w:t>
            </w:r>
          </w:p>
        </w:tc>
        <w:tc>
          <w:tcPr>
            <w:tcW w:w="566" w:type="pct"/>
            <w:tcBorders>
              <w:right w:val="single" w:sz="8" w:space="0" w:color="auto"/>
            </w:tcBorders>
            <w:shd w:val="clear" w:color="auto" w:fill="auto"/>
            <w:vAlign w:val="center"/>
          </w:tcPr>
          <w:p w14:paraId="6B9B6E25" w14:textId="456F86C5" w:rsidR="001A7A74" w:rsidRPr="005F7B58" w:rsidRDefault="001A7A74" w:rsidP="00297B22">
            <w:pPr>
              <w:spacing w:after="0" w:line="240" w:lineRule="auto"/>
              <w:jc w:val="right"/>
              <w:rPr>
                <w:rFonts w:ascii="Times New Roman" w:hAnsi="Times New Roman" w:cs="Times New Roman"/>
              </w:rPr>
            </w:pPr>
            <w:r w:rsidRPr="005F7B58">
              <w:rPr>
                <w:rFonts w:ascii="Times New Roman" w:hAnsi="Times New Roman" w:cs="Times New Roman"/>
              </w:rPr>
              <w:t>295 388</w:t>
            </w:r>
          </w:p>
        </w:tc>
      </w:tr>
      <w:tr w:rsidR="001A7A74" w:rsidRPr="00CB1BA9" w14:paraId="1833D9CB" w14:textId="77777777" w:rsidTr="005F7B58">
        <w:trPr>
          <w:trHeight w:val="300"/>
        </w:trPr>
        <w:tc>
          <w:tcPr>
            <w:tcW w:w="1300" w:type="pct"/>
            <w:tcBorders>
              <w:left w:val="single" w:sz="8" w:space="0" w:color="auto"/>
            </w:tcBorders>
            <w:shd w:val="clear" w:color="auto" w:fill="auto"/>
            <w:noWrap/>
            <w:vAlign w:val="center"/>
            <w:hideMark/>
          </w:tcPr>
          <w:p w14:paraId="7DBE2B66" w14:textId="77777777" w:rsidR="001A7A74" w:rsidRPr="00CB1BA9" w:rsidRDefault="001A7A74" w:rsidP="001A7A74">
            <w:pPr>
              <w:spacing w:after="0" w:line="240" w:lineRule="auto"/>
              <w:rPr>
                <w:rFonts w:ascii="Times New Roman" w:eastAsia="Times New Roman" w:hAnsi="Times New Roman" w:cs="Times New Roman"/>
                <w:b/>
                <w:color w:val="000000"/>
                <w:lang w:eastAsia="sk-SK"/>
              </w:rPr>
            </w:pPr>
            <w:r w:rsidRPr="00CB1BA9">
              <w:rPr>
                <w:rFonts w:ascii="Times New Roman" w:eastAsia="Times New Roman" w:hAnsi="Times New Roman" w:cs="Times New Roman"/>
                <w:b/>
                <w:color w:val="000000"/>
                <w:lang w:eastAsia="sk-SK"/>
              </w:rPr>
              <w:t>Spolu</w:t>
            </w:r>
          </w:p>
        </w:tc>
        <w:tc>
          <w:tcPr>
            <w:tcW w:w="510" w:type="pct"/>
            <w:shd w:val="clear" w:color="auto" w:fill="auto"/>
            <w:noWrap/>
            <w:vAlign w:val="center"/>
          </w:tcPr>
          <w:p w14:paraId="0393E3D7" w14:textId="6292078F" w:rsidR="001A7A74" w:rsidRPr="008A2E69" w:rsidRDefault="001A7A74" w:rsidP="001A7A74">
            <w:pPr>
              <w:spacing w:after="0" w:line="240" w:lineRule="auto"/>
              <w:jc w:val="right"/>
              <w:rPr>
                <w:rFonts w:ascii="Times New Roman" w:hAnsi="Times New Roman" w:cs="Times New Roman"/>
                <w:b/>
                <w:color w:val="000000"/>
              </w:rPr>
            </w:pPr>
            <w:r w:rsidRPr="005F7B58">
              <w:rPr>
                <w:rFonts w:ascii="Times New Roman" w:hAnsi="Times New Roman" w:cs="Times New Roman"/>
                <w:b/>
              </w:rPr>
              <w:t>11 540</w:t>
            </w:r>
          </w:p>
        </w:tc>
        <w:tc>
          <w:tcPr>
            <w:tcW w:w="537" w:type="pct"/>
            <w:shd w:val="clear" w:color="auto" w:fill="auto"/>
            <w:noWrap/>
            <w:vAlign w:val="center"/>
          </w:tcPr>
          <w:p w14:paraId="5B986547" w14:textId="1738EA8B" w:rsidR="001A7A74" w:rsidRPr="008A2E69" w:rsidRDefault="001A7A74" w:rsidP="001A7A74">
            <w:pPr>
              <w:spacing w:after="0" w:line="240" w:lineRule="auto"/>
              <w:jc w:val="right"/>
              <w:rPr>
                <w:rFonts w:ascii="Times New Roman" w:hAnsi="Times New Roman" w:cs="Times New Roman"/>
                <w:b/>
                <w:color w:val="000000"/>
              </w:rPr>
            </w:pPr>
            <w:r w:rsidRPr="005F7B58">
              <w:rPr>
                <w:rFonts w:ascii="Times New Roman" w:hAnsi="Times New Roman" w:cs="Times New Roman"/>
                <w:b/>
              </w:rPr>
              <w:t>21 385</w:t>
            </w:r>
          </w:p>
        </w:tc>
        <w:tc>
          <w:tcPr>
            <w:tcW w:w="924" w:type="pct"/>
            <w:tcBorders>
              <w:right w:val="single" w:sz="8" w:space="0" w:color="auto"/>
            </w:tcBorders>
            <w:shd w:val="clear" w:color="auto" w:fill="auto"/>
            <w:noWrap/>
            <w:vAlign w:val="center"/>
          </w:tcPr>
          <w:p w14:paraId="00723B26" w14:textId="7D8A980E" w:rsidR="001A7A74" w:rsidRPr="008A2E69" w:rsidRDefault="001A7A74" w:rsidP="001A7A74">
            <w:pPr>
              <w:spacing w:after="0" w:line="240" w:lineRule="auto"/>
              <w:jc w:val="right"/>
              <w:rPr>
                <w:rFonts w:ascii="Times New Roman" w:hAnsi="Times New Roman" w:cs="Times New Roman"/>
                <w:b/>
                <w:color w:val="000000"/>
              </w:rPr>
            </w:pPr>
            <w:r w:rsidRPr="005F7B58">
              <w:rPr>
                <w:rFonts w:ascii="Times New Roman" w:hAnsi="Times New Roman" w:cs="Times New Roman"/>
                <w:b/>
              </w:rPr>
              <w:t>4 647 615</w:t>
            </w:r>
          </w:p>
        </w:tc>
        <w:tc>
          <w:tcPr>
            <w:tcW w:w="657" w:type="pct"/>
            <w:tcBorders>
              <w:left w:val="single" w:sz="8" w:space="0" w:color="auto"/>
            </w:tcBorders>
            <w:shd w:val="clear" w:color="auto" w:fill="auto"/>
            <w:vAlign w:val="center"/>
          </w:tcPr>
          <w:p w14:paraId="3953D8ED" w14:textId="48F84ED1" w:rsidR="001A7A74" w:rsidRPr="008A2E69" w:rsidRDefault="001A7A74" w:rsidP="001A7A74">
            <w:pPr>
              <w:spacing w:after="0" w:line="240" w:lineRule="auto"/>
              <w:jc w:val="right"/>
              <w:rPr>
                <w:rFonts w:ascii="Times New Roman" w:hAnsi="Times New Roman" w:cs="Times New Roman"/>
                <w:b/>
                <w:color w:val="000000"/>
              </w:rPr>
            </w:pPr>
            <w:r w:rsidRPr="005F7B58">
              <w:rPr>
                <w:rFonts w:ascii="Times New Roman" w:hAnsi="Times New Roman" w:cs="Times New Roman"/>
                <w:b/>
              </w:rPr>
              <w:t>14 719</w:t>
            </w:r>
          </w:p>
        </w:tc>
        <w:tc>
          <w:tcPr>
            <w:tcW w:w="506" w:type="pct"/>
            <w:shd w:val="clear" w:color="auto" w:fill="auto"/>
            <w:vAlign w:val="center"/>
          </w:tcPr>
          <w:p w14:paraId="60B5D7CF" w14:textId="55F81B53" w:rsidR="001A7A74" w:rsidRPr="005F7B58" w:rsidRDefault="001A7A74" w:rsidP="00297B22">
            <w:pPr>
              <w:spacing w:after="0" w:line="240" w:lineRule="auto"/>
              <w:jc w:val="right"/>
              <w:rPr>
                <w:rFonts w:ascii="Times New Roman" w:hAnsi="Times New Roman" w:cs="Times New Roman"/>
                <w:b/>
              </w:rPr>
            </w:pPr>
            <w:r w:rsidRPr="005F7B58">
              <w:rPr>
                <w:rFonts w:ascii="Times New Roman" w:hAnsi="Times New Roman" w:cs="Times New Roman"/>
                <w:b/>
              </w:rPr>
              <w:t>27 362</w:t>
            </w:r>
          </w:p>
        </w:tc>
        <w:tc>
          <w:tcPr>
            <w:tcW w:w="566" w:type="pct"/>
            <w:tcBorders>
              <w:right w:val="single" w:sz="8" w:space="0" w:color="auto"/>
            </w:tcBorders>
            <w:shd w:val="clear" w:color="auto" w:fill="auto"/>
            <w:vAlign w:val="center"/>
          </w:tcPr>
          <w:p w14:paraId="3B251217" w14:textId="05E60F16" w:rsidR="001A7A74" w:rsidRPr="005F7B58" w:rsidRDefault="001A7A74" w:rsidP="00297B22">
            <w:pPr>
              <w:spacing w:after="0" w:line="240" w:lineRule="auto"/>
              <w:jc w:val="right"/>
              <w:rPr>
                <w:rFonts w:ascii="Times New Roman" w:hAnsi="Times New Roman" w:cs="Times New Roman"/>
                <w:b/>
              </w:rPr>
            </w:pPr>
            <w:r w:rsidRPr="005F7B58">
              <w:rPr>
                <w:rFonts w:ascii="Times New Roman" w:hAnsi="Times New Roman" w:cs="Times New Roman"/>
                <w:b/>
              </w:rPr>
              <w:t>6 236 061</w:t>
            </w:r>
          </w:p>
        </w:tc>
      </w:tr>
    </w:tbl>
    <w:p w14:paraId="23E9E3C9" w14:textId="77777777" w:rsidR="00BB33A1" w:rsidRDefault="00BB33A1" w:rsidP="000745A8">
      <w:pPr>
        <w:jc w:val="both"/>
        <w:rPr>
          <w:rFonts w:ascii="Times New Roman" w:hAnsi="Times New Roman" w:cs="Times New Roman"/>
          <w:sz w:val="24"/>
          <w:szCs w:val="24"/>
        </w:rPr>
      </w:pPr>
    </w:p>
    <w:p w14:paraId="15EE26F1" w14:textId="65DD711E" w:rsidR="00BB33A1" w:rsidRPr="000745A8" w:rsidRDefault="00BB33A1" w:rsidP="00BB33A1">
      <w:pPr>
        <w:jc w:val="both"/>
        <w:rPr>
          <w:rFonts w:ascii="Times New Roman" w:hAnsi="Times New Roman" w:cs="Times New Roman"/>
          <w:sz w:val="24"/>
          <w:szCs w:val="24"/>
        </w:rPr>
      </w:pPr>
      <w:r w:rsidRPr="000745A8">
        <w:rPr>
          <w:rFonts w:ascii="Times New Roman" w:hAnsi="Times New Roman" w:cs="Times New Roman"/>
          <w:sz w:val="24"/>
          <w:szCs w:val="24"/>
        </w:rPr>
        <w:lastRenderedPageBreak/>
        <w:t xml:space="preserve">Plánované úspory energie vo forme konečnej energetickej spotreby sú </w:t>
      </w:r>
      <w:r w:rsidRPr="007577DE">
        <w:rPr>
          <w:rFonts w:ascii="Times New Roman" w:hAnsi="Times New Roman" w:cs="Times New Roman"/>
          <w:sz w:val="24"/>
          <w:szCs w:val="24"/>
        </w:rPr>
        <w:t>v rokoch 2017 – 2020</w:t>
      </w:r>
      <w:r w:rsidRPr="000745A8">
        <w:rPr>
          <w:rFonts w:ascii="Times New Roman" w:hAnsi="Times New Roman" w:cs="Times New Roman"/>
          <w:b/>
          <w:sz w:val="24"/>
          <w:szCs w:val="24"/>
        </w:rPr>
        <w:t xml:space="preserve"> </w:t>
      </w:r>
      <w:r w:rsidRPr="000745A8">
        <w:rPr>
          <w:rFonts w:ascii="Times New Roman" w:hAnsi="Times New Roman" w:cs="Times New Roman"/>
          <w:sz w:val="24"/>
          <w:szCs w:val="24"/>
        </w:rPr>
        <w:t xml:space="preserve">vo výške </w:t>
      </w:r>
      <w:r w:rsidR="0020448C" w:rsidRPr="00AF5415">
        <w:rPr>
          <w:rFonts w:ascii="Times New Roman" w:hAnsi="Times New Roman" w:cs="Times New Roman"/>
          <w:b/>
          <w:sz w:val="24"/>
          <w:szCs w:val="24"/>
        </w:rPr>
        <w:t xml:space="preserve">14 </w:t>
      </w:r>
      <w:r w:rsidR="00BE68A1">
        <w:rPr>
          <w:rFonts w:ascii="Times New Roman" w:hAnsi="Times New Roman" w:cs="Times New Roman"/>
          <w:b/>
          <w:sz w:val="24"/>
          <w:szCs w:val="24"/>
        </w:rPr>
        <w:t>71</w:t>
      </w:r>
      <w:r w:rsidR="0020448C" w:rsidRPr="00AF5415">
        <w:rPr>
          <w:rFonts w:ascii="Times New Roman" w:hAnsi="Times New Roman" w:cs="Times New Roman"/>
          <w:b/>
          <w:sz w:val="24"/>
          <w:szCs w:val="24"/>
        </w:rPr>
        <w:t>9</w:t>
      </w:r>
      <w:r w:rsidRPr="000745A8">
        <w:rPr>
          <w:rFonts w:ascii="Times New Roman" w:hAnsi="Times New Roman" w:cs="Times New Roman"/>
          <w:b/>
          <w:sz w:val="24"/>
          <w:szCs w:val="24"/>
        </w:rPr>
        <w:t xml:space="preserve"> TJ</w:t>
      </w:r>
      <w:r w:rsidRPr="000745A8">
        <w:rPr>
          <w:rFonts w:ascii="Times New Roman" w:hAnsi="Times New Roman" w:cs="Times New Roman"/>
          <w:sz w:val="24"/>
          <w:szCs w:val="24"/>
        </w:rPr>
        <w:t xml:space="preserve">. </w:t>
      </w:r>
    </w:p>
    <w:p w14:paraId="6C58B55A" w14:textId="4CCA930F" w:rsidR="00BB33A1" w:rsidRPr="000745A8" w:rsidRDefault="00BB33A1" w:rsidP="00BB33A1">
      <w:pPr>
        <w:jc w:val="both"/>
        <w:rPr>
          <w:rFonts w:ascii="Times New Roman" w:hAnsi="Times New Roman" w:cs="Times New Roman"/>
          <w:sz w:val="24"/>
          <w:szCs w:val="24"/>
        </w:rPr>
      </w:pPr>
      <w:r w:rsidRPr="000745A8">
        <w:rPr>
          <w:rFonts w:ascii="Times New Roman" w:hAnsi="Times New Roman" w:cs="Times New Roman"/>
          <w:sz w:val="24"/>
          <w:szCs w:val="24"/>
        </w:rPr>
        <w:t>Úspory vo forme primárnej energetickej spotreby sú plánované v rokoch 2017 – 2020 vo výške</w:t>
      </w:r>
      <w:r w:rsidRPr="000745A8">
        <w:rPr>
          <w:rFonts w:ascii="Times New Roman" w:hAnsi="Times New Roman" w:cs="Times New Roman"/>
          <w:b/>
          <w:sz w:val="24"/>
          <w:szCs w:val="24"/>
        </w:rPr>
        <w:t xml:space="preserve"> </w:t>
      </w:r>
      <w:r w:rsidR="00BE68A1" w:rsidRPr="00297B22">
        <w:rPr>
          <w:rFonts w:ascii="Times New Roman" w:hAnsi="Times New Roman" w:cs="Times New Roman"/>
          <w:b/>
          <w:sz w:val="24"/>
          <w:szCs w:val="24"/>
        </w:rPr>
        <w:t xml:space="preserve">27 </w:t>
      </w:r>
      <w:r w:rsidR="0007497F" w:rsidRPr="005F7B58">
        <w:rPr>
          <w:rFonts w:ascii="Times New Roman" w:hAnsi="Times New Roman" w:cs="Times New Roman"/>
          <w:b/>
          <w:sz w:val="24"/>
          <w:szCs w:val="24"/>
        </w:rPr>
        <w:t>362</w:t>
      </w:r>
      <w:r w:rsidRPr="00297B22">
        <w:rPr>
          <w:rFonts w:ascii="Times New Roman" w:hAnsi="Times New Roman" w:cs="Times New Roman"/>
          <w:b/>
          <w:sz w:val="24"/>
          <w:szCs w:val="24"/>
        </w:rPr>
        <w:t xml:space="preserve"> TJ</w:t>
      </w:r>
      <w:r w:rsidRPr="00297B22">
        <w:rPr>
          <w:rFonts w:ascii="Times New Roman" w:hAnsi="Times New Roman" w:cs="Times New Roman"/>
          <w:sz w:val="24"/>
          <w:szCs w:val="24"/>
        </w:rPr>
        <w:t>.</w:t>
      </w:r>
      <w:r w:rsidRPr="00297B22">
        <w:rPr>
          <w:rStyle w:val="Odkaznapoznmkupodiarou"/>
          <w:rFonts w:ascii="Times New Roman" w:hAnsi="Times New Roman" w:cs="Times New Roman"/>
          <w:sz w:val="24"/>
          <w:szCs w:val="24"/>
        </w:rPr>
        <w:footnoteReference w:id="27"/>
      </w:r>
    </w:p>
    <w:p w14:paraId="4B5C21CF" w14:textId="3CDF1706" w:rsidR="00902157" w:rsidRPr="000745A8" w:rsidRDefault="00902157" w:rsidP="000745A8">
      <w:pPr>
        <w:jc w:val="both"/>
        <w:rPr>
          <w:rFonts w:ascii="Times New Roman" w:hAnsi="Times New Roman" w:cs="Times New Roman"/>
          <w:sz w:val="24"/>
          <w:szCs w:val="24"/>
        </w:rPr>
      </w:pPr>
      <w:r w:rsidRPr="000745A8">
        <w:rPr>
          <w:rFonts w:ascii="Times New Roman" w:hAnsi="Times New Roman" w:cs="Times New Roman"/>
          <w:sz w:val="24"/>
          <w:szCs w:val="24"/>
        </w:rPr>
        <w:t>K plánovanému plneniu cieľa úspor energie prispejú najviac budovy, priemysel a verejný sektor</w:t>
      </w:r>
      <w:r w:rsidR="006471C6" w:rsidRPr="000745A8">
        <w:rPr>
          <w:rFonts w:ascii="Times New Roman" w:hAnsi="Times New Roman" w:cs="Times New Roman"/>
          <w:sz w:val="24"/>
          <w:szCs w:val="24"/>
        </w:rPr>
        <w:t xml:space="preserve"> </w:t>
      </w:r>
      <w:r w:rsidR="00236ABD" w:rsidRPr="000745A8">
        <w:rPr>
          <w:rFonts w:ascii="Times New Roman" w:hAnsi="Times New Roman" w:cs="Times New Roman"/>
          <w:sz w:val="24"/>
          <w:szCs w:val="24"/>
        </w:rPr>
        <w:t>(</w:t>
      </w:r>
      <w:r w:rsidR="001653AA" w:rsidRPr="000745A8">
        <w:rPr>
          <w:rFonts w:ascii="Times New Roman" w:hAnsi="Times New Roman" w:cs="Times New Roman"/>
          <w:sz w:val="24"/>
          <w:szCs w:val="24"/>
        </w:rPr>
        <w:t>pozri</w:t>
      </w:r>
      <w:r w:rsidR="00F8616B" w:rsidRPr="000745A8">
        <w:rPr>
          <w:rFonts w:ascii="Times New Roman" w:hAnsi="Times New Roman" w:cs="Times New Roman"/>
          <w:sz w:val="24"/>
          <w:szCs w:val="24"/>
        </w:rPr>
        <w:t xml:space="preserve"> </w:t>
      </w:r>
      <w:r w:rsidR="00BB33A1">
        <w:rPr>
          <w:rFonts w:ascii="Times New Roman" w:hAnsi="Times New Roman" w:cs="Times New Roman"/>
          <w:sz w:val="24"/>
          <w:szCs w:val="24"/>
        </w:rPr>
        <w:t>g</w:t>
      </w:r>
      <w:r w:rsidR="00236ABD" w:rsidRPr="000745A8">
        <w:rPr>
          <w:rFonts w:ascii="Times New Roman" w:hAnsi="Times New Roman" w:cs="Times New Roman"/>
          <w:sz w:val="24"/>
          <w:szCs w:val="24"/>
        </w:rPr>
        <w:t>raf</w:t>
      </w:r>
      <w:r w:rsidRPr="000745A8">
        <w:rPr>
          <w:rFonts w:ascii="Times New Roman" w:hAnsi="Times New Roman" w:cs="Times New Roman"/>
          <w:sz w:val="24"/>
          <w:szCs w:val="24"/>
        </w:rPr>
        <w:t xml:space="preserve"> </w:t>
      </w:r>
      <w:r w:rsidR="00BB33A1">
        <w:rPr>
          <w:rFonts w:ascii="Times New Roman" w:hAnsi="Times New Roman" w:cs="Times New Roman"/>
          <w:sz w:val="24"/>
          <w:szCs w:val="24"/>
        </w:rPr>
        <w:t>č. 1</w:t>
      </w:r>
      <w:r w:rsidR="00AE42A2">
        <w:rPr>
          <w:rFonts w:ascii="Times New Roman" w:hAnsi="Times New Roman" w:cs="Times New Roman"/>
          <w:sz w:val="24"/>
          <w:szCs w:val="24"/>
        </w:rPr>
        <w:t>6</w:t>
      </w:r>
      <w:r w:rsidRPr="000745A8">
        <w:rPr>
          <w:rFonts w:ascii="Times New Roman" w:hAnsi="Times New Roman" w:cs="Times New Roman"/>
          <w:sz w:val="24"/>
          <w:szCs w:val="24"/>
        </w:rPr>
        <w:t>)</w:t>
      </w:r>
      <w:r w:rsidR="00F8616B" w:rsidRPr="000745A8">
        <w:rPr>
          <w:rFonts w:ascii="Times New Roman" w:hAnsi="Times New Roman" w:cs="Times New Roman"/>
          <w:sz w:val="24"/>
          <w:szCs w:val="24"/>
        </w:rPr>
        <w:t>. Podrobnosti o jednotlivých navrhovaných opatreniach energetickej efektívnosti na roky 2017 – 2019 s výhľadom do roku 2020 sú uvedené v prílohe č. 2.</w:t>
      </w:r>
    </w:p>
    <w:p w14:paraId="2889E628" w14:textId="17A14993" w:rsidR="00902157" w:rsidRPr="000745A8" w:rsidRDefault="00902157" w:rsidP="000745A8">
      <w:pPr>
        <w:jc w:val="both"/>
        <w:rPr>
          <w:rFonts w:ascii="Times New Roman" w:hAnsi="Times New Roman" w:cs="Times New Roman"/>
          <w:sz w:val="24"/>
          <w:szCs w:val="24"/>
        </w:rPr>
      </w:pPr>
      <w:r w:rsidRPr="000745A8">
        <w:rPr>
          <w:rFonts w:ascii="Times New Roman" w:hAnsi="Times New Roman" w:cs="Times New Roman"/>
          <w:sz w:val="24"/>
          <w:szCs w:val="24"/>
        </w:rPr>
        <w:t>Uvedené úspory je možné dosiahnuť len spolu s aplikáciou horizontálnych a podporných opatrení, ktorých priamy dopad na plánovanú úsporu energie nie je možné určiť s primeranou presnosťou tak, aby sa predišlo dvojitému započítavaniu</w:t>
      </w:r>
      <w:r w:rsidR="00F8616B" w:rsidRPr="000745A8">
        <w:rPr>
          <w:rFonts w:ascii="Times New Roman" w:hAnsi="Times New Roman" w:cs="Times New Roman"/>
          <w:sz w:val="24"/>
          <w:szCs w:val="24"/>
        </w:rPr>
        <w:t>,</w:t>
      </w:r>
      <w:r w:rsidRPr="000745A8">
        <w:rPr>
          <w:rFonts w:ascii="Times New Roman" w:hAnsi="Times New Roman" w:cs="Times New Roman"/>
          <w:sz w:val="24"/>
          <w:szCs w:val="24"/>
        </w:rPr>
        <w:t xml:space="preserve"> a preto sa úspory energie pre horizontálne a podporné opatrenia neuvádzajú.</w:t>
      </w:r>
    </w:p>
    <w:p w14:paraId="61214A59" w14:textId="77777777" w:rsidR="000B168C" w:rsidRDefault="00086BB0" w:rsidP="000745A8">
      <w:pPr>
        <w:spacing w:after="0" w:line="240" w:lineRule="auto"/>
        <w:jc w:val="both"/>
        <w:rPr>
          <w:rFonts w:ascii="Times New Roman" w:hAnsi="Times New Roman" w:cs="Times New Roman"/>
          <w:sz w:val="24"/>
          <w:szCs w:val="24"/>
        </w:rPr>
      </w:pPr>
      <w:r w:rsidRPr="000745A8">
        <w:rPr>
          <w:rFonts w:ascii="Times New Roman" w:hAnsi="Times New Roman" w:cs="Times New Roman"/>
          <w:sz w:val="24"/>
          <w:szCs w:val="24"/>
        </w:rPr>
        <w:t xml:space="preserve">V časovom horizonte do roku 2020 sa pomer niektorých segmentov výrazne </w:t>
      </w:r>
      <w:r w:rsidR="006B2030" w:rsidRPr="000745A8">
        <w:rPr>
          <w:rFonts w:ascii="Times New Roman" w:hAnsi="Times New Roman" w:cs="Times New Roman"/>
          <w:sz w:val="24"/>
          <w:szCs w:val="24"/>
        </w:rPr>
        <w:t>nez</w:t>
      </w:r>
      <w:r w:rsidRPr="000745A8">
        <w:rPr>
          <w:rFonts w:ascii="Times New Roman" w:hAnsi="Times New Roman" w:cs="Times New Roman"/>
          <w:sz w:val="24"/>
          <w:szCs w:val="24"/>
        </w:rPr>
        <w:t>mení</w:t>
      </w:r>
      <w:r w:rsidR="006005BE" w:rsidRPr="000745A8">
        <w:rPr>
          <w:rFonts w:ascii="Times New Roman" w:hAnsi="Times New Roman" w:cs="Times New Roman"/>
          <w:sz w:val="24"/>
          <w:szCs w:val="24"/>
        </w:rPr>
        <w:t xml:space="preserve">, napríklad v segmente priemyslu sa predpokladá pre rok 2020 už vyčerpaný balík operačných programov EŠIF a teda aj menšia dosiahnutá úspora v poslednom roku.  </w:t>
      </w:r>
      <w:r w:rsidR="00964DC1" w:rsidRPr="000745A8">
        <w:rPr>
          <w:rFonts w:ascii="Times New Roman" w:hAnsi="Times New Roman" w:cs="Times New Roman"/>
          <w:sz w:val="24"/>
          <w:szCs w:val="24"/>
        </w:rPr>
        <w:t xml:space="preserve">  </w:t>
      </w:r>
    </w:p>
    <w:p w14:paraId="4359F7BC" w14:textId="77777777" w:rsidR="00BB33A1" w:rsidRDefault="00BB33A1" w:rsidP="000745A8">
      <w:pPr>
        <w:spacing w:after="0" w:line="240" w:lineRule="auto"/>
        <w:jc w:val="both"/>
        <w:rPr>
          <w:rFonts w:ascii="Times New Roman" w:hAnsi="Times New Roman" w:cs="Times New Roman"/>
          <w:sz w:val="24"/>
          <w:szCs w:val="24"/>
        </w:rPr>
      </w:pPr>
    </w:p>
    <w:p w14:paraId="6D81BC90" w14:textId="3763B86B" w:rsidR="00BB33A1" w:rsidRPr="00BB33A1" w:rsidRDefault="00BB33A1" w:rsidP="000578FE">
      <w:pPr>
        <w:keepNext/>
        <w:jc w:val="both"/>
        <w:rPr>
          <w:rFonts w:ascii="Times New Roman" w:hAnsi="Times New Roman" w:cs="Times New Roman"/>
          <w:sz w:val="24"/>
          <w:szCs w:val="24"/>
        </w:rPr>
      </w:pPr>
      <w:r w:rsidRPr="00BB33A1">
        <w:rPr>
          <w:rFonts w:ascii="Times New Roman" w:hAnsi="Times New Roman" w:cs="Times New Roman"/>
          <w:sz w:val="24"/>
          <w:szCs w:val="24"/>
        </w:rPr>
        <w:t>Graf č. 1</w:t>
      </w:r>
      <w:r w:rsidR="00AE42A2">
        <w:rPr>
          <w:rFonts w:ascii="Times New Roman" w:hAnsi="Times New Roman" w:cs="Times New Roman"/>
          <w:sz w:val="24"/>
          <w:szCs w:val="24"/>
        </w:rPr>
        <w:t>6</w:t>
      </w:r>
      <w:r w:rsidRPr="00BB33A1">
        <w:rPr>
          <w:rFonts w:ascii="Times New Roman" w:hAnsi="Times New Roman" w:cs="Times New Roman"/>
          <w:sz w:val="24"/>
          <w:szCs w:val="24"/>
        </w:rPr>
        <w:t xml:space="preserve">: </w:t>
      </w:r>
      <w:r w:rsidRPr="000578FE">
        <w:rPr>
          <w:rFonts w:ascii="Times New Roman" w:hAnsi="Times New Roman" w:cs="Times New Roman"/>
          <w:sz w:val="24"/>
          <w:szCs w:val="24"/>
        </w:rPr>
        <w:t>Podiel sektorov na plánovaných úsporách energie v rokoch 2017 - 2020</w:t>
      </w:r>
    </w:p>
    <w:p w14:paraId="46AFBFDE" w14:textId="552E1192" w:rsidR="00086BB0" w:rsidRPr="000745A8" w:rsidRDefault="00964DC1" w:rsidP="000745A8">
      <w:pPr>
        <w:spacing w:after="0" w:line="240" w:lineRule="auto"/>
        <w:jc w:val="both"/>
        <w:rPr>
          <w:rFonts w:ascii="Times New Roman" w:hAnsi="Times New Roman" w:cs="Times New Roman"/>
          <w:sz w:val="24"/>
          <w:szCs w:val="24"/>
        </w:rPr>
      </w:pPr>
      <w:r w:rsidRPr="000745A8">
        <w:rPr>
          <w:rFonts w:ascii="Times New Roman" w:hAnsi="Times New Roman" w:cs="Times New Roman"/>
          <w:sz w:val="24"/>
          <w:szCs w:val="24"/>
        </w:rPr>
        <w:t xml:space="preserve"> </w:t>
      </w:r>
    </w:p>
    <w:p w14:paraId="15D9622B" w14:textId="1E7DF4B3" w:rsidR="009955EB" w:rsidRDefault="000B168C" w:rsidP="00AE0013">
      <w:pPr>
        <w:spacing w:after="0" w:line="240" w:lineRule="auto"/>
        <w:ind w:firstLine="708"/>
        <w:rPr>
          <w:rFonts w:ascii="Times New Roman" w:hAnsi="Times New Roman" w:cs="Times New Roman"/>
        </w:rPr>
      </w:pPr>
      <w:r>
        <w:rPr>
          <w:noProof/>
          <w:lang w:eastAsia="sk-SK"/>
        </w:rPr>
        <w:drawing>
          <wp:inline distT="0" distB="0" distL="0" distR="0" wp14:anchorId="2EB4E007" wp14:editId="360CE391">
            <wp:extent cx="4648200" cy="2487930"/>
            <wp:effectExtent l="0" t="0" r="0" b="762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6FB6D10C" w14:textId="380FF365" w:rsidR="00902157" w:rsidRDefault="00902157" w:rsidP="00902157">
      <w:pPr>
        <w:jc w:val="both"/>
        <w:rPr>
          <w:rFonts w:ascii="Times New Roman" w:hAnsi="Times New Roman" w:cs="Times New Roman"/>
          <w:sz w:val="24"/>
          <w:szCs w:val="24"/>
        </w:rPr>
      </w:pPr>
      <w:r w:rsidRPr="000745A8">
        <w:rPr>
          <w:rFonts w:ascii="Times New Roman" w:hAnsi="Times New Roman" w:cs="Times New Roman"/>
          <w:sz w:val="24"/>
          <w:szCs w:val="24"/>
        </w:rPr>
        <w:t xml:space="preserve">Podiel vybraných národných a medzinárodných finančných mechanizmov na  plánovanom financovaní opatrení energetickej </w:t>
      </w:r>
      <w:r w:rsidR="00751440" w:rsidRPr="000745A8">
        <w:rPr>
          <w:rFonts w:ascii="Times New Roman" w:hAnsi="Times New Roman" w:cs="Times New Roman"/>
          <w:sz w:val="24"/>
          <w:szCs w:val="24"/>
        </w:rPr>
        <w:t>efektívnosti je uvedený v</w:t>
      </w:r>
      <w:r w:rsidR="00BB33A1">
        <w:rPr>
          <w:rFonts w:ascii="Times New Roman" w:hAnsi="Times New Roman" w:cs="Times New Roman"/>
          <w:sz w:val="24"/>
          <w:szCs w:val="24"/>
        </w:rPr>
        <w:t> </w:t>
      </w:r>
      <w:r w:rsidR="00751440" w:rsidRPr="000745A8">
        <w:rPr>
          <w:rFonts w:ascii="Times New Roman" w:hAnsi="Times New Roman" w:cs="Times New Roman"/>
          <w:sz w:val="24"/>
          <w:szCs w:val="24"/>
        </w:rPr>
        <w:t>graf</w:t>
      </w:r>
      <w:r w:rsidR="00BB33A1">
        <w:rPr>
          <w:rFonts w:ascii="Times New Roman" w:hAnsi="Times New Roman" w:cs="Times New Roman"/>
          <w:sz w:val="24"/>
          <w:szCs w:val="24"/>
        </w:rPr>
        <w:t>e č. 1</w:t>
      </w:r>
      <w:r w:rsidR="00AE42A2">
        <w:rPr>
          <w:rFonts w:ascii="Times New Roman" w:hAnsi="Times New Roman" w:cs="Times New Roman"/>
          <w:sz w:val="24"/>
          <w:szCs w:val="24"/>
        </w:rPr>
        <w:t>7</w:t>
      </w:r>
      <w:r w:rsidR="00BB33A1">
        <w:rPr>
          <w:rFonts w:ascii="Times New Roman" w:hAnsi="Times New Roman" w:cs="Times New Roman"/>
          <w:sz w:val="24"/>
          <w:szCs w:val="24"/>
        </w:rPr>
        <w:t>.</w:t>
      </w:r>
    </w:p>
    <w:p w14:paraId="66EF0D31" w14:textId="77777777" w:rsidR="0051358B" w:rsidRDefault="0051358B" w:rsidP="0034698B">
      <w:pPr>
        <w:jc w:val="both"/>
        <w:rPr>
          <w:rFonts w:ascii="Times New Roman" w:hAnsi="Times New Roman" w:cs="Times New Roman"/>
          <w:sz w:val="24"/>
          <w:szCs w:val="24"/>
        </w:rPr>
      </w:pPr>
    </w:p>
    <w:p w14:paraId="351F7BB5" w14:textId="71B0C7AE" w:rsidR="0034698B" w:rsidRPr="000745A8" w:rsidRDefault="0034698B" w:rsidP="0034698B">
      <w:pPr>
        <w:jc w:val="both"/>
        <w:rPr>
          <w:rFonts w:ascii="Times New Roman" w:hAnsi="Times New Roman" w:cs="Times New Roman"/>
          <w:sz w:val="24"/>
          <w:szCs w:val="24"/>
        </w:rPr>
      </w:pPr>
      <w:r w:rsidRPr="000745A8">
        <w:rPr>
          <w:rFonts w:ascii="Times New Roman" w:hAnsi="Times New Roman" w:cs="Times New Roman"/>
          <w:sz w:val="24"/>
          <w:szCs w:val="24"/>
        </w:rPr>
        <w:t xml:space="preserve">Plánované opatrenia si </w:t>
      </w:r>
      <w:r w:rsidR="0051358B">
        <w:rPr>
          <w:rFonts w:ascii="Times New Roman" w:hAnsi="Times New Roman" w:cs="Times New Roman"/>
          <w:sz w:val="24"/>
          <w:szCs w:val="24"/>
        </w:rPr>
        <w:t>na</w:t>
      </w:r>
      <w:r w:rsidRPr="000745A8">
        <w:rPr>
          <w:rFonts w:ascii="Times New Roman" w:hAnsi="Times New Roman" w:cs="Times New Roman"/>
          <w:sz w:val="24"/>
          <w:szCs w:val="24"/>
        </w:rPr>
        <w:t xml:space="preserve"> účel plnenia stanoveného cieľa vyžiadajú finančné zdroje vo výške  zhruba </w:t>
      </w:r>
      <w:r w:rsidR="00976C57">
        <w:rPr>
          <w:rFonts w:ascii="Times New Roman" w:hAnsi="Times New Roman" w:cs="Times New Roman"/>
          <w:sz w:val="24"/>
          <w:szCs w:val="24"/>
        </w:rPr>
        <w:t>6,</w:t>
      </w:r>
      <w:r w:rsidR="006145C9">
        <w:rPr>
          <w:rFonts w:ascii="Times New Roman" w:hAnsi="Times New Roman" w:cs="Times New Roman"/>
          <w:sz w:val="24"/>
          <w:szCs w:val="24"/>
        </w:rPr>
        <w:t>2</w:t>
      </w:r>
      <w:r w:rsidRPr="000745A8">
        <w:rPr>
          <w:rFonts w:ascii="Times New Roman" w:hAnsi="Times New Roman" w:cs="Times New Roman"/>
          <w:sz w:val="24"/>
          <w:szCs w:val="24"/>
        </w:rPr>
        <w:t xml:space="preserve"> mld. </w:t>
      </w:r>
      <w:r w:rsidR="000C2919">
        <w:rPr>
          <w:rFonts w:ascii="Times New Roman" w:hAnsi="Times New Roman" w:cs="Times New Roman"/>
          <w:sz w:val="24"/>
          <w:szCs w:val="24"/>
        </w:rPr>
        <w:t>Eur</w:t>
      </w:r>
      <w:r w:rsidR="006145C9">
        <w:rPr>
          <w:rFonts w:ascii="Times New Roman" w:hAnsi="Times New Roman" w:cs="Times New Roman"/>
          <w:sz w:val="24"/>
          <w:szCs w:val="24"/>
        </w:rPr>
        <w:t xml:space="preserve"> </w:t>
      </w:r>
      <w:r w:rsidRPr="000745A8">
        <w:rPr>
          <w:rFonts w:ascii="Times New Roman" w:hAnsi="Times New Roman" w:cs="Times New Roman"/>
          <w:sz w:val="24"/>
          <w:szCs w:val="24"/>
        </w:rPr>
        <w:t xml:space="preserve">(pozri </w:t>
      </w:r>
      <w:r w:rsidR="0051358B">
        <w:rPr>
          <w:rFonts w:ascii="Times New Roman" w:hAnsi="Times New Roman" w:cs="Times New Roman"/>
          <w:sz w:val="24"/>
          <w:szCs w:val="24"/>
        </w:rPr>
        <w:t>tabuľku č. 8</w:t>
      </w:r>
      <w:r w:rsidRPr="000745A8">
        <w:rPr>
          <w:rFonts w:ascii="Times New Roman" w:hAnsi="Times New Roman" w:cs="Times New Roman"/>
          <w:sz w:val="24"/>
          <w:szCs w:val="24"/>
        </w:rPr>
        <w:t xml:space="preserve">). </w:t>
      </w:r>
    </w:p>
    <w:p w14:paraId="3C800BCB" w14:textId="77777777" w:rsidR="0034698B" w:rsidRDefault="0034698B" w:rsidP="00902157">
      <w:pPr>
        <w:jc w:val="both"/>
        <w:rPr>
          <w:rFonts w:ascii="Times New Roman" w:hAnsi="Times New Roman" w:cs="Times New Roman"/>
          <w:sz w:val="24"/>
          <w:szCs w:val="24"/>
        </w:rPr>
      </w:pPr>
    </w:p>
    <w:p w14:paraId="77E819E9" w14:textId="77777777" w:rsidR="0051358B" w:rsidRDefault="0051358B" w:rsidP="00902157">
      <w:pPr>
        <w:jc w:val="both"/>
        <w:rPr>
          <w:rFonts w:ascii="Times New Roman" w:hAnsi="Times New Roman" w:cs="Times New Roman"/>
          <w:sz w:val="24"/>
          <w:szCs w:val="24"/>
        </w:rPr>
      </w:pPr>
    </w:p>
    <w:p w14:paraId="17512DA9" w14:textId="2BA9549B" w:rsidR="0034698B" w:rsidRPr="0034698B" w:rsidRDefault="0034698B" w:rsidP="000578FE">
      <w:pPr>
        <w:keepNext/>
        <w:jc w:val="both"/>
        <w:rPr>
          <w:rFonts w:ascii="Times New Roman" w:hAnsi="Times New Roman" w:cs="Times New Roman"/>
          <w:sz w:val="24"/>
          <w:szCs w:val="24"/>
        </w:rPr>
      </w:pPr>
      <w:r w:rsidRPr="0034698B">
        <w:rPr>
          <w:rFonts w:ascii="Times New Roman" w:hAnsi="Times New Roman" w:cs="Times New Roman"/>
          <w:sz w:val="24"/>
          <w:szCs w:val="24"/>
        </w:rPr>
        <w:lastRenderedPageBreak/>
        <w:t>Graf č. 1</w:t>
      </w:r>
      <w:r w:rsidR="00AE42A2">
        <w:rPr>
          <w:rFonts w:ascii="Times New Roman" w:hAnsi="Times New Roman" w:cs="Times New Roman"/>
          <w:sz w:val="24"/>
          <w:szCs w:val="24"/>
        </w:rPr>
        <w:t>7</w:t>
      </w:r>
      <w:r w:rsidRPr="0034698B">
        <w:rPr>
          <w:rFonts w:ascii="Times New Roman" w:hAnsi="Times New Roman" w:cs="Times New Roman"/>
          <w:sz w:val="24"/>
          <w:szCs w:val="24"/>
        </w:rPr>
        <w:t xml:space="preserve">: </w:t>
      </w:r>
      <w:r w:rsidRPr="000578FE">
        <w:rPr>
          <w:rFonts w:ascii="Times New Roman" w:hAnsi="Times New Roman" w:cs="Times New Roman"/>
          <w:sz w:val="24"/>
          <w:szCs w:val="24"/>
        </w:rPr>
        <w:t>Podiel vybraných národných a medzinárodných finančných mechanizmov na plánovanom financovaní opatrení energetickej efektívnosti v rokoch 2017 - 2020</w:t>
      </w:r>
    </w:p>
    <w:p w14:paraId="537BFFC5" w14:textId="6675CE6E" w:rsidR="00902157" w:rsidRPr="009F2998" w:rsidRDefault="00FC22B8" w:rsidP="0093098D">
      <w:pPr>
        <w:spacing w:after="0" w:line="240" w:lineRule="auto"/>
        <w:jc w:val="center"/>
        <w:rPr>
          <w:rFonts w:ascii="Times New Roman" w:hAnsi="Times New Roman" w:cs="Times New Roman"/>
        </w:rPr>
      </w:pPr>
      <w:r>
        <w:rPr>
          <w:noProof/>
          <w:lang w:eastAsia="sk-SK"/>
        </w:rPr>
        <w:drawing>
          <wp:inline distT="0" distB="0" distL="0" distR="0" wp14:anchorId="526EFFC9" wp14:editId="0E7CCC66">
            <wp:extent cx="5019676" cy="2417725"/>
            <wp:effectExtent l="0" t="0" r="9525" b="1905"/>
            <wp:docPr id="12"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1B0E2EE8" w14:textId="610BE226" w:rsidR="000745A8" w:rsidRPr="000578FE" w:rsidRDefault="0051358B" w:rsidP="004E746F">
      <w:pPr>
        <w:keepNext/>
        <w:rPr>
          <w:rFonts w:ascii="Times New Roman" w:hAnsi="Times New Roman" w:cs="Times New Roman"/>
          <w:sz w:val="24"/>
          <w:szCs w:val="24"/>
        </w:rPr>
      </w:pPr>
      <w:r w:rsidRPr="000578FE">
        <w:rPr>
          <w:rFonts w:ascii="Times New Roman" w:hAnsi="Times New Roman" w:cs="Times New Roman"/>
          <w:sz w:val="24"/>
          <w:szCs w:val="24"/>
        </w:rPr>
        <w:t xml:space="preserve">Tabuľka č. 8: </w:t>
      </w:r>
      <w:r w:rsidR="008A64AA">
        <w:rPr>
          <w:rFonts w:ascii="Times New Roman" w:hAnsi="Times New Roman" w:cs="Times New Roman"/>
          <w:sz w:val="24"/>
          <w:szCs w:val="24"/>
        </w:rPr>
        <w:t>Predpokladané potrebné finan</w:t>
      </w:r>
      <w:r w:rsidR="00E670AA">
        <w:rPr>
          <w:rFonts w:ascii="Times New Roman" w:hAnsi="Times New Roman" w:cs="Times New Roman"/>
          <w:sz w:val="24"/>
          <w:szCs w:val="24"/>
        </w:rPr>
        <w:t>čn</w:t>
      </w:r>
      <w:r w:rsidR="0072665B">
        <w:rPr>
          <w:rFonts w:ascii="Times New Roman" w:hAnsi="Times New Roman" w:cs="Times New Roman"/>
          <w:sz w:val="24"/>
          <w:szCs w:val="24"/>
        </w:rPr>
        <w:t>é</w:t>
      </w:r>
      <w:r w:rsidR="00E670AA">
        <w:rPr>
          <w:rFonts w:ascii="Times New Roman" w:hAnsi="Times New Roman" w:cs="Times New Roman"/>
          <w:sz w:val="24"/>
          <w:szCs w:val="24"/>
        </w:rPr>
        <w:t xml:space="preserve"> zdroj</w:t>
      </w:r>
      <w:r w:rsidR="0072665B">
        <w:rPr>
          <w:rFonts w:ascii="Times New Roman" w:hAnsi="Times New Roman" w:cs="Times New Roman"/>
          <w:sz w:val="24"/>
          <w:szCs w:val="24"/>
        </w:rPr>
        <w:t>e</w:t>
      </w:r>
      <w:r w:rsidR="00E670AA">
        <w:rPr>
          <w:rFonts w:ascii="Times New Roman" w:hAnsi="Times New Roman" w:cs="Times New Roman"/>
          <w:sz w:val="24"/>
          <w:szCs w:val="24"/>
        </w:rPr>
        <w:t xml:space="preserve"> </w:t>
      </w:r>
      <w:r w:rsidRPr="000578FE">
        <w:rPr>
          <w:rFonts w:ascii="Times New Roman" w:hAnsi="Times New Roman" w:cs="Times New Roman"/>
          <w:sz w:val="24"/>
          <w:szCs w:val="24"/>
        </w:rPr>
        <w:t xml:space="preserve">na dosiahnutie </w:t>
      </w:r>
      <w:r w:rsidR="008A64AA">
        <w:rPr>
          <w:rFonts w:ascii="Times New Roman" w:hAnsi="Times New Roman" w:cs="Times New Roman"/>
          <w:sz w:val="24"/>
          <w:szCs w:val="24"/>
        </w:rPr>
        <w:t xml:space="preserve">plánovaných </w:t>
      </w:r>
      <w:r w:rsidRPr="000578FE">
        <w:rPr>
          <w:rFonts w:ascii="Times New Roman" w:hAnsi="Times New Roman" w:cs="Times New Roman"/>
          <w:sz w:val="24"/>
          <w:szCs w:val="24"/>
        </w:rPr>
        <w:t>úspor energie v jednotlivých sektoroch na roky 2017 – 2019 s výhľadom do roku 2020</w:t>
      </w:r>
    </w:p>
    <w:tbl>
      <w:tblPr>
        <w:tblW w:w="5000" w:type="pct"/>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45"/>
        <w:gridCol w:w="1246"/>
        <w:gridCol w:w="1247"/>
        <w:gridCol w:w="1246"/>
        <w:gridCol w:w="1247"/>
        <w:gridCol w:w="1246"/>
        <w:gridCol w:w="1249"/>
      </w:tblGrid>
      <w:tr w:rsidR="004215C0" w:rsidRPr="00BD7EC2" w14:paraId="6747C431" w14:textId="77777777" w:rsidTr="000578FE">
        <w:trPr>
          <w:trHeight w:val="836"/>
        </w:trPr>
        <w:tc>
          <w:tcPr>
            <w:tcW w:w="856" w:type="pct"/>
            <w:vMerge w:val="restart"/>
            <w:tcBorders>
              <w:top w:val="single" w:sz="18" w:space="0" w:color="auto"/>
              <w:bottom w:val="single" w:sz="6" w:space="0" w:color="auto"/>
            </w:tcBorders>
            <w:shd w:val="clear" w:color="auto" w:fill="F2F2F2" w:themeFill="background1" w:themeFillShade="F2"/>
            <w:noWrap/>
            <w:vAlign w:val="center"/>
            <w:hideMark/>
          </w:tcPr>
          <w:p w14:paraId="4DF5A21E" w14:textId="6C92B4FF" w:rsidR="004215C0" w:rsidRPr="00BD7EC2" w:rsidRDefault="004215C0" w:rsidP="00283209">
            <w:pPr>
              <w:spacing w:after="0" w:line="240" w:lineRule="auto"/>
              <w:jc w:val="center"/>
              <w:rPr>
                <w:rFonts w:ascii="Times New Roman" w:eastAsia="Times New Roman" w:hAnsi="Times New Roman" w:cs="Times New Roman"/>
                <w:b/>
                <w:bCs/>
                <w:color w:val="000000"/>
                <w:lang w:eastAsia="sk-SK"/>
              </w:rPr>
            </w:pPr>
            <w:r w:rsidRPr="00BD7EC2">
              <w:rPr>
                <w:rFonts w:ascii="Times New Roman" w:eastAsia="Times New Roman" w:hAnsi="Times New Roman" w:cs="Times New Roman"/>
                <w:b/>
                <w:bCs/>
                <w:color w:val="000000"/>
                <w:lang w:eastAsia="sk-SK"/>
              </w:rPr>
              <w:t>Sektor:</w:t>
            </w:r>
          </w:p>
        </w:tc>
        <w:tc>
          <w:tcPr>
            <w:tcW w:w="4144" w:type="pct"/>
            <w:gridSpan w:val="6"/>
            <w:tcBorders>
              <w:top w:val="single" w:sz="18" w:space="0" w:color="auto"/>
              <w:bottom w:val="single" w:sz="6" w:space="0" w:color="auto"/>
            </w:tcBorders>
            <w:shd w:val="clear" w:color="auto" w:fill="F2F2F2" w:themeFill="background1" w:themeFillShade="F2"/>
            <w:noWrap/>
            <w:vAlign w:val="center"/>
          </w:tcPr>
          <w:p w14:paraId="453FBC22" w14:textId="3BD645D0" w:rsidR="004215C0" w:rsidRPr="00BD7EC2" w:rsidRDefault="004215C0" w:rsidP="000578FE">
            <w:pPr>
              <w:spacing w:after="0" w:line="240" w:lineRule="auto"/>
              <w:rPr>
                <w:rFonts w:ascii="Times New Roman" w:eastAsia="Times New Roman" w:hAnsi="Times New Roman" w:cs="Times New Roman"/>
                <w:b/>
                <w:bCs/>
                <w:color w:val="000000"/>
                <w:lang w:eastAsia="sk-SK"/>
              </w:rPr>
            </w:pPr>
          </w:p>
          <w:p w14:paraId="14012242" w14:textId="612110EA" w:rsidR="00E670AA" w:rsidRDefault="004215C0" w:rsidP="00283209">
            <w:pPr>
              <w:spacing w:after="0" w:line="240" w:lineRule="auto"/>
              <w:jc w:val="center"/>
              <w:rPr>
                <w:rFonts w:ascii="Times New Roman" w:eastAsia="Times New Roman" w:hAnsi="Times New Roman" w:cs="Times New Roman"/>
                <w:b/>
                <w:bCs/>
                <w:color w:val="000000"/>
                <w:lang w:eastAsia="sk-SK"/>
              </w:rPr>
            </w:pPr>
            <w:r w:rsidRPr="00BD7EC2">
              <w:rPr>
                <w:rFonts w:ascii="Times New Roman" w:eastAsia="Times New Roman" w:hAnsi="Times New Roman" w:cs="Times New Roman"/>
                <w:b/>
                <w:bCs/>
                <w:color w:val="000000"/>
                <w:lang w:eastAsia="sk-SK"/>
              </w:rPr>
              <w:t>Celkové</w:t>
            </w:r>
            <w:r w:rsidR="002706C2">
              <w:rPr>
                <w:rFonts w:ascii="Times New Roman" w:eastAsia="Times New Roman" w:hAnsi="Times New Roman" w:cs="Times New Roman"/>
                <w:b/>
                <w:bCs/>
                <w:color w:val="000000"/>
                <w:lang w:eastAsia="sk-SK"/>
              </w:rPr>
              <w:t xml:space="preserve"> predpokladané</w:t>
            </w:r>
            <w:r w:rsidRPr="00BD7EC2">
              <w:rPr>
                <w:rFonts w:ascii="Times New Roman" w:eastAsia="Times New Roman" w:hAnsi="Times New Roman" w:cs="Times New Roman"/>
                <w:b/>
                <w:bCs/>
                <w:color w:val="000000"/>
                <w:lang w:eastAsia="sk-SK"/>
              </w:rPr>
              <w:t xml:space="preserve"> finan</w:t>
            </w:r>
            <w:r w:rsidR="00E670AA">
              <w:rPr>
                <w:rFonts w:ascii="Times New Roman" w:eastAsia="Times New Roman" w:hAnsi="Times New Roman" w:cs="Times New Roman"/>
                <w:b/>
                <w:bCs/>
                <w:color w:val="000000"/>
                <w:lang w:eastAsia="sk-SK"/>
              </w:rPr>
              <w:t xml:space="preserve">čné zdroje </w:t>
            </w:r>
          </w:p>
          <w:p w14:paraId="000552D7" w14:textId="5CCBDD99" w:rsidR="004215C0" w:rsidRPr="00BD7EC2" w:rsidRDefault="00E670AA" w:rsidP="00283209">
            <w:pPr>
              <w:spacing w:after="0" w:line="240" w:lineRule="auto"/>
              <w:jc w:val="center"/>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(tis. Eur)</w:t>
            </w:r>
          </w:p>
        </w:tc>
      </w:tr>
      <w:tr w:rsidR="00E670AA" w:rsidRPr="00BD7EC2" w14:paraId="786A727D" w14:textId="77777777" w:rsidTr="004E746F">
        <w:trPr>
          <w:trHeight w:val="381"/>
        </w:trPr>
        <w:tc>
          <w:tcPr>
            <w:tcW w:w="856" w:type="pct"/>
            <w:vMerge/>
            <w:tcBorders>
              <w:top w:val="single" w:sz="18" w:space="0" w:color="auto"/>
              <w:bottom w:val="single" w:sz="6" w:space="0" w:color="auto"/>
            </w:tcBorders>
            <w:shd w:val="clear" w:color="auto" w:fill="F2F2F2" w:themeFill="background1" w:themeFillShade="F2"/>
            <w:noWrap/>
            <w:vAlign w:val="center"/>
          </w:tcPr>
          <w:p w14:paraId="6B3D6E2D" w14:textId="77777777" w:rsidR="00E670AA" w:rsidRPr="00BD7EC2" w:rsidRDefault="00E670AA" w:rsidP="004215C0">
            <w:pPr>
              <w:spacing w:after="0" w:line="240" w:lineRule="auto"/>
              <w:jc w:val="center"/>
              <w:rPr>
                <w:rFonts w:ascii="Times New Roman" w:eastAsia="Times New Roman" w:hAnsi="Times New Roman" w:cs="Times New Roman"/>
                <w:b/>
                <w:bCs/>
                <w:color w:val="000000"/>
                <w:lang w:eastAsia="sk-SK"/>
              </w:rPr>
            </w:pPr>
          </w:p>
        </w:tc>
        <w:tc>
          <w:tcPr>
            <w:tcW w:w="690" w:type="pct"/>
            <w:tcBorders>
              <w:top w:val="single" w:sz="18" w:space="0" w:color="auto"/>
            </w:tcBorders>
            <w:shd w:val="clear" w:color="auto" w:fill="F2F2F2" w:themeFill="background1" w:themeFillShade="F2"/>
            <w:noWrap/>
            <w:vAlign w:val="center"/>
          </w:tcPr>
          <w:p w14:paraId="2EB8A125" w14:textId="39440CE3" w:rsidR="00E670AA" w:rsidRPr="00BD7EC2" w:rsidRDefault="00E670AA" w:rsidP="00D555FE">
            <w:pPr>
              <w:spacing w:after="0" w:line="240" w:lineRule="auto"/>
              <w:jc w:val="center"/>
              <w:rPr>
                <w:rFonts w:ascii="Times New Roman" w:eastAsia="Times New Roman" w:hAnsi="Times New Roman" w:cs="Times New Roman"/>
                <w:b/>
                <w:bCs/>
                <w:color w:val="000000"/>
                <w:lang w:eastAsia="sk-SK"/>
              </w:rPr>
            </w:pPr>
            <w:r w:rsidRPr="00BD7EC2">
              <w:rPr>
                <w:rFonts w:ascii="Times New Roman" w:eastAsia="Times New Roman" w:hAnsi="Times New Roman" w:cs="Times New Roman"/>
                <w:b/>
                <w:bCs/>
                <w:color w:val="000000"/>
                <w:lang w:eastAsia="sk-SK"/>
              </w:rPr>
              <w:t>2017</w:t>
            </w:r>
          </w:p>
        </w:tc>
        <w:tc>
          <w:tcPr>
            <w:tcW w:w="691" w:type="pct"/>
            <w:tcBorders>
              <w:top w:val="single" w:sz="18" w:space="0" w:color="auto"/>
            </w:tcBorders>
            <w:shd w:val="clear" w:color="auto" w:fill="F2F2F2" w:themeFill="background1" w:themeFillShade="F2"/>
            <w:noWrap/>
            <w:vAlign w:val="center"/>
          </w:tcPr>
          <w:p w14:paraId="7C0AD863" w14:textId="144BD751" w:rsidR="00E670AA" w:rsidRPr="00BD7EC2" w:rsidRDefault="00E670AA" w:rsidP="00D555FE">
            <w:pPr>
              <w:spacing w:after="0" w:line="240" w:lineRule="auto"/>
              <w:jc w:val="center"/>
              <w:rPr>
                <w:rFonts w:ascii="Times New Roman" w:eastAsia="Times New Roman" w:hAnsi="Times New Roman" w:cs="Times New Roman"/>
                <w:b/>
                <w:bCs/>
                <w:color w:val="000000"/>
                <w:lang w:eastAsia="sk-SK"/>
              </w:rPr>
            </w:pPr>
            <w:r w:rsidRPr="00BD7EC2">
              <w:rPr>
                <w:rFonts w:ascii="Times New Roman" w:eastAsia="Times New Roman" w:hAnsi="Times New Roman" w:cs="Times New Roman"/>
                <w:b/>
                <w:bCs/>
                <w:color w:val="000000"/>
                <w:lang w:eastAsia="sk-SK"/>
              </w:rPr>
              <w:t>2018</w:t>
            </w:r>
          </w:p>
        </w:tc>
        <w:tc>
          <w:tcPr>
            <w:tcW w:w="690" w:type="pct"/>
            <w:tcBorders>
              <w:top w:val="single" w:sz="18" w:space="0" w:color="auto"/>
            </w:tcBorders>
            <w:shd w:val="clear" w:color="auto" w:fill="F2F2F2" w:themeFill="background1" w:themeFillShade="F2"/>
            <w:noWrap/>
            <w:vAlign w:val="center"/>
          </w:tcPr>
          <w:p w14:paraId="471C46E6" w14:textId="7B0EDEC5" w:rsidR="00E670AA" w:rsidRPr="00BD7EC2" w:rsidRDefault="00E670AA" w:rsidP="00D555FE">
            <w:pPr>
              <w:spacing w:after="0" w:line="240" w:lineRule="auto"/>
              <w:jc w:val="center"/>
              <w:rPr>
                <w:rFonts w:ascii="Times New Roman" w:eastAsia="Times New Roman" w:hAnsi="Times New Roman" w:cs="Times New Roman"/>
                <w:b/>
                <w:bCs/>
                <w:color w:val="000000"/>
                <w:lang w:eastAsia="sk-SK"/>
              </w:rPr>
            </w:pPr>
            <w:r w:rsidRPr="00BD7EC2">
              <w:rPr>
                <w:rFonts w:ascii="Times New Roman" w:eastAsia="Times New Roman" w:hAnsi="Times New Roman" w:cs="Times New Roman"/>
                <w:b/>
                <w:bCs/>
                <w:color w:val="000000"/>
                <w:lang w:eastAsia="sk-SK"/>
              </w:rPr>
              <w:t>2019</w:t>
            </w:r>
          </w:p>
        </w:tc>
        <w:tc>
          <w:tcPr>
            <w:tcW w:w="691" w:type="pct"/>
            <w:tcBorders>
              <w:top w:val="single" w:sz="18" w:space="0" w:color="auto"/>
            </w:tcBorders>
            <w:shd w:val="clear" w:color="auto" w:fill="F2F2F2" w:themeFill="background1" w:themeFillShade="F2"/>
            <w:noWrap/>
            <w:vAlign w:val="center"/>
          </w:tcPr>
          <w:p w14:paraId="22D8C5FD" w14:textId="00CDDA45" w:rsidR="00E670AA" w:rsidRPr="00BD7EC2" w:rsidRDefault="00E670AA" w:rsidP="00D555FE">
            <w:pPr>
              <w:spacing w:after="0" w:line="240" w:lineRule="auto"/>
              <w:jc w:val="center"/>
              <w:rPr>
                <w:rFonts w:ascii="Times New Roman" w:eastAsia="Times New Roman" w:hAnsi="Times New Roman" w:cs="Times New Roman"/>
                <w:b/>
                <w:bCs/>
                <w:color w:val="000000"/>
                <w:lang w:eastAsia="sk-SK"/>
              </w:rPr>
            </w:pPr>
            <w:r w:rsidRPr="00BD7EC2">
              <w:rPr>
                <w:rFonts w:ascii="Times New Roman" w:eastAsia="Times New Roman" w:hAnsi="Times New Roman" w:cs="Times New Roman"/>
                <w:b/>
                <w:bCs/>
                <w:color w:val="000000"/>
                <w:lang w:eastAsia="sk-SK"/>
              </w:rPr>
              <w:t>2020</w:t>
            </w:r>
          </w:p>
        </w:tc>
        <w:tc>
          <w:tcPr>
            <w:tcW w:w="690" w:type="pct"/>
            <w:tcBorders>
              <w:top w:val="single" w:sz="18" w:space="0" w:color="auto"/>
            </w:tcBorders>
            <w:shd w:val="clear" w:color="auto" w:fill="F2F2F2" w:themeFill="background1" w:themeFillShade="F2"/>
            <w:noWrap/>
            <w:vAlign w:val="center"/>
          </w:tcPr>
          <w:p w14:paraId="71304BFB" w14:textId="1FBF4FF9" w:rsidR="00E670AA" w:rsidRPr="00BD7EC2" w:rsidRDefault="00E670AA" w:rsidP="00D555FE">
            <w:pPr>
              <w:spacing w:after="0" w:line="240" w:lineRule="auto"/>
              <w:jc w:val="center"/>
              <w:rPr>
                <w:rFonts w:ascii="Times New Roman" w:eastAsia="Times New Roman" w:hAnsi="Times New Roman" w:cs="Times New Roman"/>
                <w:b/>
                <w:bCs/>
                <w:color w:val="000000"/>
                <w:lang w:eastAsia="sk-SK"/>
              </w:rPr>
            </w:pPr>
            <w:r w:rsidRPr="00BD7EC2">
              <w:rPr>
                <w:rFonts w:ascii="Times New Roman" w:eastAsia="Times New Roman" w:hAnsi="Times New Roman" w:cs="Times New Roman"/>
                <w:b/>
                <w:bCs/>
                <w:color w:val="000000"/>
                <w:lang w:eastAsia="sk-SK"/>
              </w:rPr>
              <w:t>2017-2019</w:t>
            </w:r>
          </w:p>
        </w:tc>
        <w:tc>
          <w:tcPr>
            <w:tcW w:w="692" w:type="pct"/>
            <w:tcBorders>
              <w:top w:val="single" w:sz="18" w:space="0" w:color="auto"/>
            </w:tcBorders>
            <w:shd w:val="clear" w:color="auto" w:fill="F2F2F2" w:themeFill="background1" w:themeFillShade="F2"/>
            <w:noWrap/>
            <w:vAlign w:val="center"/>
          </w:tcPr>
          <w:p w14:paraId="64DFCA8D" w14:textId="0701E1B8" w:rsidR="00E670AA" w:rsidRPr="00BD7EC2" w:rsidRDefault="00E670AA" w:rsidP="00D555FE">
            <w:pPr>
              <w:spacing w:after="0" w:line="240" w:lineRule="auto"/>
              <w:jc w:val="center"/>
              <w:rPr>
                <w:rFonts w:ascii="Times New Roman" w:eastAsia="Times New Roman" w:hAnsi="Times New Roman" w:cs="Times New Roman"/>
                <w:b/>
                <w:bCs/>
                <w:color w:val="000000"/>
                <w:lang w:eastAsia="sk-SK"/>
              </w:rPr>
            </w:pPr>
            <w:r w:rsidRPr="00BD7EC2">
              <w:rPr>
                <w:rFonts w:ascii="Times New Roman" w:eastAsia="Times New Roman" w:hAnsi="Times New Roman" w:cs="Times New Roman"/>
                <w:b/>
                <w:bCs/>
                <w:color w:val="000000"/>
                <w:lang w:eastAsia="sk-SK"/>
              </w:rPr>
              <w:t>2017-2020</w:t>
            </w:r>
          </w:p>
        </w:tc>
      </w:tr>
      <w:tr w:rsidR="00FC22B8" w:rsidRPr="00BD7EC2" w14:paraId="616789B1" w14:textId="77777777" w:rsidTr="005F7B58">
        <w:trPr>
          <w:trHeight w:val="288"/>
        </w:trPr>
        <w:tc>
          <w:tcPr>
            <w:tcW w:w="856" w:type="pct"/>
            <w:tcBorders>
              <w:top w:val="single" w:sz="18" w:space="0" w:color="auto"/>
              <w:bottom w:val="single" w:sz="6" w:space="0" w:color="auto"/>
            </w:tcBorders>
            <w:shd w:val="clear" w:color="auto" w:fill="auto"/>
            <w:noWrap/>
            <w:vAlign w:val="center"/>
            <w:hideMark/>
          </w:tcPr>
          <w:p w14:paraId="79200688" w14:textId="77777777" w:rsidR="00FC22B8" w:rsidRPr="00BD7EC2" w:rsidRDefault="00FC22B8" w:rsidP="00FC22B8">
            <w:pPr>
              <w:spacing w:after="0" w:line="240" w:lineRule="auto"/>
              <w:rPr>
                <w:rFonts w:ascii="Times New Roman" w:eastAsia="Times New Roman" w:hAnsi="Times New Roman" w:cs="Times New Roman"/>
                <w:color w:val="000000"/>
                <w:lang w:eastAsia="sk-SK"/>
              </w:rPr>
            </w:pPr>
            <w:r w:rsidRPr="00BD7EC2">
              <w:rPr>
                <w:rFonts w:ascii="Times New Roman" w:eastAsia="Times New Roman" w:hAnsi="Times New Roman" w:cs="Times New Roman"/>
                <w:color w:val="000000"/>
                <w:lang w:eastAsia="sk-SK"/>
              </w:rPr>
              <w:t>Budovy</w:t>
            </w:r>
          </w:p>
        </w:tc>
        <w:tc>
          <w:tcPr>
            <w:tcW w:w="690" w:type="pct"/>
            <w:tcBorders>
              <w:top w:val="single" w:sz="18" w:space="0" w:color="auto"/>
              <w:bottom w:val="single" w:sz="6" w:space="0" w:color="auto"/>
            </w:tcBorders>
            <w:shd w:val="clear" w:color="auto" w:fill="auto"/>
            <w:noWrap/>
            <w:vAlign w:val="center"/>
            <w:hideMark/>
          </w:tcPr>
          <w:p w14:paraId="5CA78D49" w14:textId="3785B0F8" w:rsidR="00FC22B8" w:rsidRPr="00AF28E9" w:rsidRDefault="00FC22B8" w:rsidP="008A2E6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482 844</w:t>
            </w:r>
          </w:p>
        </w:tc>
        <w:tc>
          <w:tcPr>
            <w:tcW w:w="691" w:type="pct"/>
            <w:tcBorders>
              <w:top w:val="single" w:sz="18" w:space="0" w:color="auto"/>
              <w:bottom w:val="single" w:sz="6" w:space="0" w:color="auto"/>
            </w:tcBorders>
            <w:shd w:val="clear" w:color="auto" w:fill="auto"/>
            <w:noWrap/>
            <w:vAlign w:val="center"/>
            <w:hideMark/>
          </w:tcPr>
          <w:p w14:paraId="22E4095B" w14:textId="1EE2EF37" w:rsidR="00FC22B8" w:rsidRPr="00AF28E9" w:rsidRDefault="00FC22B8" w:rsidP="00AF28E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524 749</w:t>
            </w:r>
          </w:p>
        </w:tc>
        <w:tc>
          <w:tcPr>
            <w:tcW w:w="690" w:type="pct"/>
            <w:tcBorders>
              <w:top w:val="single" w:sz="18" w:space="0" w:color="auto"/>
              <w:bottom w:val="single" w:sz="6" w:space="0" w:color="auto"/>
            </w:tcBorders>
            <w:shd w:val="clear" w:color="auto" w:fill="auto"/>
            <w:noWrap/>
            <w:vAlign w:val="center"/>
            <w:hideMark/>
          </w:tcPr>
          <w:p w14:paraId="2147A7C0" w14:textId="02FFD1A6" w:rsidR="00FC22B8" w:rsidRPr="00AF28E9" w:rsidRDefault="00FC22B8" w:rsidP="00AF28E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498 569</w:t>
            </w:r>
          </w:p>
        </w:tc>
        <w:tc>
          <w:tcPr>
            <w:tcW w:w="691" w:type="pct"/>
            <w:tcBorders>
              <w:top w:val="single" w:sz="18" w:space="0" w:color="auto"/>
              <w:bottom w:val="single" w:sz="6" w:space="0" w:color="auto"/>
            </w:tcBorders>
            <w:shd w:val="clear" w:color="auto" w:fill="auto"/>
            <w:noWrap/>
            <w:vAlign w:val="center"/>
            <w:hideMark/>
          </w:tcPr>
          <w:p w14:paraId="54FB335C" w14:textId="2B1A776A" w:rsidR="00FC22B8" w:rsidRPr="00AF28E9" w:rsidRDefault="00FC22B8">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513 085</w:t>
            </w:r>
          </w:p>
        </w:tc>
        <w:tc>
          <w:tcPr>
            <w:tcW w:w="690" w:type="pct"/>
            <w:tcBorders>
              <w:top w:val="single" w:sz="18" w:space="0" w:color="auto"/>
              <w:bottom w:val="single" w:sz="6" w:space="0" w:color="auto"/>
            </w:tcBorders>
            <w:shd w:val="clear" w:color="auto" w:fill="auto"/>
            <w:noWrap/>
            <w:vAlign w:val="center"/>
            <w:hideMark/>
          </w:tcPr>
          <w:p w14:paraId="43EE3C9E" w14:textId="3163FA7F" w:rsidR="00FC22B8" w:rsidRPr="00AF28E9" w:rsidRDefault="00FC22B8">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1 506 162</w:t>
            </w:r>
          </w:p>
        </w:tc>
        <w:tc>
          <w:tcPr>
            <w:tcW w:w="692" w:type="pct"/>
            <w:tcBorders>
              <w:top w:val="single" w:sz="18" w:space="0" w:color="auto"/>
              <w:bottom w:val="single" w:sz="6" w:space="0" w:color="auto"/>
            </w:tcBorders>
            <w:shd w:val="clear" w:color="auto" w:fill="auto"/>
            <w:noWrap/>
            <w:vAlign w:val="center"/>
            <w:hideMark/>
          </w:tcPr>
          <w:p w14:paraId="25985E54" w14:textId="638DB493" w:rsidR="00FC22B8" w:rsidRPr="00AF28E9" w:rsidRDefault="00FC22B8">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2 019 247</w:t>
            </w:r>
          </w:p>
        </w:tc>
      </w:tr>
      <w:tr w:rsidR="00FC22B8" w:rsidRPr="00BD7EC2" w14:paraId="2F8A12F9" w14:textId="77777777" w:rsidTr="005F7B58">
        <w:trPr>
          <w:trHeight w:val="288"/>
        </w:trPr>
        <w:tc>
          <w:tcPr>
            <w:tcW w:w="856" w:type="pct"/>
            <w:tcBorders>
              <w:top w:val="single" w:sz="6" w:space="0" w:color="auto"/>
              <w:bottom w:val="single" w:sz="6" w:space="0" w:color="auto"/>
            </w:tcBorders>
            <w:shd w:val="clear" w:color="auto" w:fill="auto"/>
            <w:noWrap/>
            <w:vAlign w:val="center"/>
            <w:hideMark/>
          </w:tcPr>
          <w:p w14:paraId="5C1A2896" w14:textId="77777777" w:rsidR="00FC22B8" w:rsidRPr="00BD7EC2" w:rsidRDefault="00FC22B8" w:rsidP="00FC22B8">
            <w:pPr>
              <w:spacing w:after="0" w:line="240" w:lineRule="auto"/>
              <w:rPr>
                <w:rFonts w:ascii="Times New Roman" w:eastAsia="Times New Roman" w:hAnsi="Times New Roman" w:cs="Times New Roman"/>
                <w:color w:val="000000"/>
                <w:lang w:eastAsia="sk-SK"/>
              </w:rPr>
            </w:pPr>
            <w:r w:rsidRPr="00BD7EC2">
              <w:rPr>
                <w:rFonts w:ascii="Times New Roman" w:eastAsia="Times New Roman" w:hAnsi="Times New Roman" w:cs="Times New Roman"/>
                <w:color w:val="000000"/>
                <w:lang w:eastAsia="sk-SK"/>
              </w:rPr>
              <w:t>Priemysel</w:t>
            </w:r>
          </w:p>
        </w:tc>
        <w:tc>
          <w:tcPr>
            <w:tcW w:w="690" w:type="pct"/>
            <w:tcBorders>
              <w:top w:val="single" w:sz="6" w:space="0" w:color="auto"/>
              <w:bottom w:val="single" w:sz="6" w:space="0" w:color="auto"/>
            </w:tcBorders>
            <w:shd w:val="clear" w:color="auto" w:fill="auto"/>
            <w:noWrap/>
            <w:vAlign w:val="center"/>
            <w:hideMark/>
          </w:tcPr>
          <w:p w14:paraId="7293E1CC" w14:textId="4E554E75" w:rsidR="00FC22B8" w:rsidRPr="00AF28E9" w:rsidRDefault="00FC22B8" w:rsidP="008A2E6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170 258</w:t>
            </w:r>
          </w:p>
        </w:tc>
        <w:tc>
          <w:tcPr>
            <w:tcW w:w="691" w:type="pct"/>
            <w:tcBorders>
              <w:top w:val="single" w:sz="6" w:space="0" w:color="auto"/>
              <w:bottom w:val="single" w:sz="6" w:space="0" w:color="auto"/>
            </w:tcBorders>
            <w:shd w:val="clear" w:color="auto" w:fill="auto"/>
            <w:noWrap/>
            <w:vAlign w:val="center"/>
            <w:hideMark/>
          </w:tcPr>
          <w:p w14:paraId="2E4A511D" w14:textId="39AFBD4A" w:rsidR="00FC22B8" w:rsidRPr="00AF28E9" w:rsidRDefault="00FC22B8" w:rsidP="00AF28E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477 559</w:t>
            </w:r>
          </w:p>
        </w:tc>
        <w:tc>
          <w:tcPr>
            <w:tcW w:w="690" w:type="pct"/>
            <w:tcBorders>
              <w:top w:val="single" w:sz="6" w:space="0" w:color="auto"/>
              <w:bottom w:val="single" w:sz="6" w:space="0" w:color="auto"/>
            </w:tcBorders>
            <w:shd w:val="clear" w:color="auto" w:fill="auto"/>
            <w:noWrap/>
            <w:vAlign w:val="center"/>
            <w:hideMark/>
          </w:tcPr>
          <w:p w14:paraId="74167EB4" w14:textId="25FD911B" w:rsidR="00FC22B8" w:rsidRPr="00AF28E9" w:rsidRDefault="00FC22B8" w:rsidP="00AF28E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350 710</w:t>
            </w:r>
          </w:p>
        </w:tc>
        <w:tc>
          <w:tcPr>
            <w:tcW w:w="691" w:type="pct"/>
            <w:tcBorders>
              <w:top w:val="single" w:sz="6" w:space="0" w:color="auto"/>
              <w:bottom w:val="single" w:sz="6" w:space="0" w:color="auto"/>
            </w:tcBorders>
            <w:shd w:val="clear" w:color="auto" w:fill="auto"/>
            <w:noWrap/>
            <w:vAlign w:val="center"/>
            <w:hideMark/>
          </w:tcPr>
          <w:p w14:paraId="1E07AFEF" w14:textId="0BB48EC1" w:rsidR="00FC22B8" w:rsidRPr="00AF28E9" w:rsidRDefault="00FC22B8">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280 288</w:t>
            </w:r>
          </w:p>
        </w:tc>
        <w:tc>
          <w:tcPr>
            <w:tcW w:w="690" w:type="pct"/>
            <w:tcBorders>
              <w:top w:val="single" w:sz="6" w:space="0" w:color="auto"/>
              <w:bottom w:val="single" w:sz="6" w:space="0" w:color="auto"/>
            </w:tcBorders>
            <w:shd w:val="clear" w:color="auto" w:fill="auto"/>
            <w:noWrap/>
            <w:vAlign w:val="center"/>
            <w:hideMark/>
          </w:tcPr>
          <w:p w14:paraId="27F53712" w14:textId="28D542B4" w:rsidR="00FC22B8" w:rsidRPr="00AF28E9" w:rsidRDefault="00FC22B8">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998 527</w:t>
            </w:r>
          </w:p>
        </w:tc>
        <w:tc>
          <w:tcPr>
            <w:tcW w:w="692" w:type="pct"/>
            <w:tcBorders>
              <w:top w:val="single" w:sz="6" w:space="0" w:color="auto"/>
              <w:bottom w:val="single" w:sz="6" w:space="0" w:color="auto"/>
            </w:tcBorders>
            <w:shd w:val="clear" w:color="auto" w:fill="auto"/>
            <w:noWrap/>
            <w:vAlign w:val="center"/>
            <w:hideMark/>
          </w:tcPr>
          <w:p w14:paraId="054E7FD0" w14:textId="186CBCE6" w:rsidR="00FC22B8" w:rsidRPr="00AF28E9" w:rsidRDefault="00FC22B8">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1 278 815</w:t>
            </w:r>
          </w:p>
        </w:tc>
      </w:tr>
      <w:tr w:rsidR="00FC22B8" w:rsidRPr="00BD7EC2" w14:paraId="330B5B06" w14:textId="77777777" w:rsidTr="005F7B58">
        <w:trPr>
          <w:trHeight w:val="288"/>
        </w:trPr>
        <w:tc>
          <w:tcPr>
            <w:tcW w:w="856" w:type="pct"/>
            <w:tcBorders>
              <w:top w:val="single" w:sz="6" w:space="0" w:color="auto"/>
              <w:bottom w:val="single" w:sz="6" w:space="0" w:color="auto"/>
            </w:tcBorders>
            <w:shd w:val="clear" w:color="auto" w:fill="auto"/>
            <w:noWrap/>
            <w:vAlign w:val="center"/>
            <w:hideMark/>
          </w:tcPr>
          <w:p w14:paraId="5F06AE13" w14:textId="77777777" w:rsidR="00FC22B8" w:rsidRPr="00BD7EC2" w:rsidRDefault="00FC22B8" w:rsidP="00FC22B8">
            <w:pPr>
              <w:spacing w:after="0" w:line="240" w:lineRule="auto"/>
              <w:rPr>
                <w:rFonts w:ascii="Times New Roman" w:eastAsia="Times New Roman" w:hAnsi="Times New Roman" w:cs="Times New Roman"/>
                <w:color w:val="000000"/>
                <w:lang w:eastAsia="sk-SK"/>
              </w:rPr>
            </w:pPr>
            <w:r w:rsidRPr="00BD7EC2">
              <w:rPr>
                <w:rFonts w:ascii="Times New Roman" w:eastAsia="Times New Roman" w:hAnsi="Times New Roman" w:cs="Times New Roman"/>
                <w:color w:val="000000"/>
                <w:lang w:eastAsia="sk-SK"/>
              </w:rPr>
              <w:t>Verejný sektor</w:t>
            </w:r>
          </w:p>
        </w:tc>
        <w:tc>
          <w:tcPr>
            <w:tcW w:w="690" w:type="pct"/>
            <w:tcBorders>
              <w:top w:val="single" w:sz="6" w:space="0" w:color="auto"/>
              <w:bottom w:val="single" w:sz="6" w:space="0" w:color="auto"/>
            </w:tcBorders>
            <w:shd w:val="clear" w:color="auto" w:fill="auto"/>
            <w:noWrap/>
            <w:vAlign w:val="center"/>
            <w:hideMark/>
          </w:tcPr>
          <w:p w14:paraId="1E510405" w14:textId="1E977E4D" w:rsidR="00FC22B8" w:rsidRPr="00AF28E9" w:rsidRDefault="00FC22B8" w:rsidP="008A2E6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179 654</w:t>
            </w:r>
          </w:p>
        </w:tc>
        <w:tc>
          <w:tcPr>
            <w:tcW w:w="691" w:type="pct"/>
            <w:tcBorders>
              <w:top w:val="single" w:sz="6" w:space="0" w:color="auto"/>
              <w:bottom w:val="single" w:sz="6" w:space="0" w:color="auto"/>
            </w:tcBorders>
            <w:shd w:val="clear" w:color="auto" w:fill="auto"/>
            <w:noWrap/>
            <w:vAlign w:val="center"/>
            <w:hideMark/>
          </w:tcPr>
          <w:p w14:paraId="2513E39F" w14:textId="34D51309" w:rsidR="00FC22B8" w:rsidRPr="00AF28E9" w:rsidRDefault="00FC22B8" w:rsidP="00AF28E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231 834</w:t>
            </w:r>
          </w:p>
        </w:tc>
        <w:tc>
          <w:tcPr>
            <w:tcW w:w="690" w:type="pct"/>
            <w:tcBorders>
              <w:top w:val="single" w:sz="6" w:space="0" w:color="auto"/>
              <w:bottom w:val="single" w:sz="6" w:space="0" w:color="auto"/>
            </w:tcBorders>
            <w:shd w:val="clear" w:color="auto" w:fill="auto"/>
            <w:noWrap/>
            <w:vAlign w:val="center"/>
            <w:hideMark/>
          </w:tcPr>
          <w:p w14:paraId="07102042" w14:textId="6D48098C" w:rsidR="00FC22B8" w:rsidRPr="00AF28E9" w:rsidRDefault="00FC22B8" w:rsidP="00AF28E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224 624</w:t>
            </w:r>
          </w:p>
        </w:tc>
        <w:tc>
          <w:tcPr>
            <w:tcW w:w="691" w:type="pct"/>
            <w:tcBorders>
              <w:top w:val="single" w:sz="6" w:space="0" w:color="auto"/>
              <w:bottom w:val="single" w:sz="6" w:space="0" w:color="auto"/>
            </w:tcBorders>
            <w:shd w:val="clear" w:color="auto" w:fill="auto"/>
            <w:noWrap/>
            <w:vAlign w:val="center"/>
            <w:hideMark/>
          </w:tcPr>
          <w:p w14:paraId="10B2411F" w14:textId="7FA3326C" w:rsidR="00FC22B8" w:rsidRPr="00AF28E9" w:rsidRDefault="00FC22B8">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164 375</w:t>
            </w:r>
          </w:p>
        </w:tc>
        <w:tc>
          <w:tcPr>
            <w:tcW w:w="690" w:type="pct"/>
            <w:tcBorders>
              <w:top w:val="single" w:sz="6" w:space="0" w:color="auto"/>
              <w:bottom w:val="single" w:sz="6" w:space="0" w:color="auto"/>
            </w:tcBorders>
            <w:shd w:val="clear" w:color="auto" w:fill="auto"/>
            <w:noWrap/>
            <w:vAlign w:val="center"/>
            <w:hideMark/>
          </w:tcPr>
          <w:p w14:paraId="2178FE22" w14:textId="32D24F19" w:rsidR="00FC22B8" w:rsidRPr="00AF28E9" w:rsidRDefault="00FC22B8">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636 111</w:t>
            </w:r>
          </w:p>
        </w:tc>
        <w:tc>
          <w:tcPr>
            <w:tcW w:w="692" w:type="pct"/>
            <w:tcBorders>
              <w:top w:val="single" w:sz="6" w:space="0" w:color="auto"/>
              <w:bottom w:val="single" w:sz="6" w:space="0" w:color="auto"/>
            </w:tcBorders>
            <w:shd w:val="clear" w:color="auto" w:fill="auto"/>
            <w:noWrap/>
            <w:vAlign w:val="center"/>
            <w:hideMark/>
          </w:tcPr>
          <w:p w14:paraId="39BA16D9" w14:textId="49314148" w:rsidR="00FC22B8" w:rsidRPr="00AF28E9" w:rsidRDefault="00FC22B8">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800 486</w:t>
            </w:r>
          </w:p>
        </w:tc>
      </w:tr>
      <w:tr w:rsidR="00FC22B8" w:rsidRPr="00BD7EC2" w14:paraId="12316D0C" w14:textId="77777777" w:rsidTr="005F7B58">
        <w:trPr>
          <w:trHeight w:val="288"/>
        </w:trPr>
        <w:tc>
          <w:tcPr>
            <w:tcW w:w="856" w:type="pct"/>
            <w:tcBorders>
              <w:top w:val="single" w:sz="6" w:space="0" w:color="auto"/>
              <w:bottom w:val="single" w:sz="6" w:space="0" w:color="auto"/>
            </w:tcBorders>
            <w:shd w:val="clear" w:color="auto" w:fill="auto"/>
            <w:noWrap/>
            <w:vAlign w:val="center"/>
            <w:hideMark/>
          </w:tcPr>
          <w:p w14:paraId="55AFC700" w14:textId="77777777" w:rsidR="00FC22B8" w:rsidRPr="00BD7EC2" w:rsidRDefault="00FC22B8" w:rsidP="00FC22B8">
            <w:pPr>
              <w:spacing w:after="0" w:line="240" w:lineRule="auto"/>
              <w:rPr>
                <w:rFonts w:ascii="Times New Roman" w:eastAsia="Times New Roman" w:hAnsi="Times New Roman" w:cs="Times New Roman"/>
                <w:color w:val="000000"/>
                <w:lang w:eastAsia="sk-SK"/>
              </w:rPr>
            </w:pPr>
            <w:r w:rsidRPr="00BD7EC2">
              <w:rPr>
                <w:rFonts w:ascii="Times New Roman" w:eastAsia="Times New Roman" w:hAnsi="Times New Roman" w:cs="Times New Roman"/>
                <w:color w:val="000000"/>
                <w:lang w:eastAsia="sk-SK"/>
              </w:rPr>
              <w:t xml:space="preserve">Doprava </w:t>
            </w:r>
          </w:p>
        </w:tc>
        <w:tc>
          <w:tcPr>
            <w:tcW w:w="690" w:type="pct"/>
            <w:tcBorders>
              <w:top w:val="single" w:sz="6" w:space="0" w:color="auto"/>
              <w:bottom w:val="single" w:sz="6" w:space="0" w:color="auto"/>
            </w:tcBorders>
            <w:shd w:val="clear" w:color="auto" w:fill="auto"/>
            <w:noWrap/>
            <w:vAlign w:val="center"/>
            <w:hideMark/>
          </w:tcPr>
          <w:p w14:paraId="53723253" w14:textId="01A240C6" w:rsidR="00FC22B8" w:rsidRPr="00AF28E9" w:rsidRDefault="00FC22B8" w:rsidP="008A2E6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195 780</w:t>
            </w:r>
          </w:p>
        </w:tc>
        <w:tc>
          <w:tcPr>
            <w:tcW w:w="691" w:type="pct"/>
            <w:tcBorders>
              <w:top w:val="single" w:sz="6" w:space="0" w:color="auto"/>
              <w:bottom w:val="single" w:sz="6" w:space="0" w:color="auto"/>
            </w:tcBorders>
            <w:shd w:val="clear" w:color="auto" w:fill="auto"/>
            <w:noWrap/>
            <w:vAlign w:val="center"/>
            <w:hideMark/>
          </w:tcPr>
          <w:p w14:paraId="5F01867F" w14:textId="489BA8B2" w:rsidR="00FC22B8" w:rsidRPr="00AF28E9" w:rsidRDefault="00FC22B8" w:rsidP="00AF28E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298 898</w:t>
            </w:r>
          </w:p>
        </w:tc>
        <w:tc>
          <w:tcPr>
            <w:tcW w:w="690" w:type="pct"/>
            <w:tcBorders>
              <w:top w:val="single" w:sz="6" w:space="0" w:color="auto"/>
              <w:bottom w:val="single" w:sz="6" w:space="0" w:color="auto"/>
            </w:tcBorders>
            <w:shd w:val="clear" w:color="auto" w:fill="auto"/>
            <w:noWrap/>
            <w:vAlign w:val="center"/>
            <w:hideMark/>
          </w:tcPr>
          <w:p w14:paraId="5891A900" w14:textId="16A39A6C" w:rsidR="00FC22B8" w:rsidRPr="00AF28E9" w:rsidRDefault="00FC22B8" w:rsidP="00AF28E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667 792</w:t>
            </w:r>
          </w:p>
        </w:tc>
        <w:tc>
          <w:tcPr>
            <w:tcW w:w="691" w:type="pct"/>
            <w:tcBorders>
              <w:top w:val="single" w:sz="6" w:space="0" w:color="auto"/>
              <w:bottom w:val="single" w:sz="6" w:space="0" w:color="auto"/>
            </w:tcBorders>
            <w:shd w:val="clear" w:color="auto" w:fill="auto"/>
            <w:noWrap/>
            <w:vAlign w:val="center"/>
            <w:hideMark/>
          </w:tcPr>
          <w:p w14:paraId="670D504C" w14:textId="1D67D370" w:rsidR="00FC22B8" w:rsidRPr="00AF28E9" w:rsidRDefault="00FC22B8">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521 435</w:t>
            </w:r>
          </w:p>
        </w:tc>
        <w:tc>
          <w:tcPr>
            <w:tcW w:w="690" w:type="pct"/>
            <w:tcBorders>
              <w:top w:val="single" w:sz="6" w:space="0" w:color="auto"/>
              <w:bottom w:val="single" w:sz="6" w:space="0" w:color="auto"/>
            </w:tcBorders>
            <w:shd w:val="clear" w:color="auto" w:fill="auto"/>
            <w:noWrap/>
            <w:vAlign w:val="center"/>
            <w:hideMark/>
          </w:tcPr>
          <w:p w14:paraId="04CE51A6" w14:textId="33273DFD" w:rsidR="00FC22B8" w:rsidRPr="00AF28E9" w:rsidRDefault="00FC22B8">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1 162 470</w:t>
            </w:r>
          </w:p>
        </w:tc>
        <w:tc>
          <w:tcPr>
            <w:tcW w:w="692" w:type="pct"/>
            <w:tcBorders>
              <w:top w:val="single" w:sz="6" w:space="0" w:color="auto"/>
              <w:bottom w:val="single" w:sz="6" w:space="0" w:color="auto"/>
            </w:tcBorders>
            <w:shd w:val="clear" w:color="auto" w:fill="auto"/>
            <w:noWrap/>
            <w:vAlign w:val="center"/>
            <w:hideMark/>
          </w:tcPr>
          <w:p w14:paraId="7A1EFF34" w14:textId="0381E5A3" w:rsidR="00FC22B8" w:rsidRPr="00AF28E9" w:rsidRDefault="00FC22B8">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1 683 905</w:t>
            </w:r>
          </w:p>
        </w:tc>
      </w:tr>
      <w:tr w:rsidR="00FC22B8" w:rsidRPr="00BD7EC2" w14:paraId="3EF6BD7E" w14:textId="77777777" w:rsidTr="005F7B58">
        <w:trPr>
          <w:trHeight w:val="288"/>
        </w:trPr>
        <w:tc>
          <w:tcPr>
            <w:tcW w:w="856" w:type="pct"/>
            <w:tcBorders>
              <w:top w:val="single" w:sz="6" w:space="0" w:color="auto"/>
              <w:bottom w:val="single" w:sz="6" w:space="0" w:color="auto"/>
            </w:tcBorders>
            <w:shd w:val="clear" w:color="auto" w:fill="auto"/>
            <w:noWrap/>
            <w:vAlign w:val="center"/>
            <w:hideMark/>
          </w:tcPr>
          <w:p w14:paraId="0D312248" w14:textId="77777777" w:rsidR="00FC22B8" w:rsidRPr="00BD7EC2" w:rsidRDefault="00FC22B8" w:rsidP="00FC22B8">
            <w:pPr>
              <w:spacing w:after="0" w:line="240" w:lineRule="auto"/>
              <w:rPr>
                <w:rFonts w:ascii="Times New Roman" w:eastAsia="Times New Roman" w:hAnsi="Times New Roman" w:cs="Times New Roman"/>
                <w:color w:val="000000"/>
                <w:lang w:eastAsia="sk-SK"/>
              </w:rPr>
            </w:pPr>
            <w:r w:rsidRPr="00BD7EC2">
              <w:rPr>
                <w:rFonts w:ascii="Times New Roman" w:eastAsia="Times New Roman" w:hAnsi="Times New Roman" w:cs="Times New Roman"/>
                <w:color w:val="000000"/>
                <w:lang w:eastAsia="sk-SK"/>
              </w:rPr>
              <w:t>Spotrebiče</w:t>
            </w:r>
          </w:p>
        </w:tc>
        <w:tc>
          <w:tcPr>
            <w:tcW w:w="690" w:type="pct"/>
            <w:tcBorders>
              <w:top w:val="single" w:sz="6" w:space="0" w:color="auto"/>
              <w:bottom w:val="single" w:sz="6" w:space="0" w:color="auto"/>
            </w:tcBorders>
            <w:shd w:val="clear" w:color="auto" w:fill="auto"/>
            <w:noWrap/>
            <w:vAlign w:val="center"/>
            <w:hideMark/>
          </w:tcPr>
          <w:p w14:paraId="30FCCB1F" w14:textId="29533FB6" w:rsidR="00FC22B8" w:rsidRPr="00AF28E9" w:rsidRDefault="00FC22B8" w:rsidP="008A2E6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39 555</w:t>
            </w:r>
          </w:p>
        </w:tc>
        <w:tc>
          <w:tcPr>
            <w:tcW w:w="691" w:type="pct"/>
            <w:tcBorders>
              <w:top w:val="single" w:sz="6" w:space="0" w:color="auto"/>
              <w:bottom w:val="single" w:sz="6" w:space="0" w:color="auto"/>
            </w:tcBorders>
            <w:shd w:val="clear" w:color="auto" w:fill="auto"/>
            <w:noWrap/>
            <w:vAlign w:val="center"/>
            <w:hideMark/>
          </w:tcPr>
          <w:p w14:paraId="6D09291E" w14:textId="79BFE402" w:rsidR="00FC22B8" w:rsidRPr="00AF28E9" w:rsidRDefault="00FC22B8" w:rsidP="00AF28E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39 555</w:t>
            </w:r>
          </w:p>
        </w:tc>
        <w:tc>
          <w:tcPr>
            <w:tcW w:w="690" w:type="pct"/>
            <w:tcBorders>
              <w:top w:val="single" w:sz="6" w:space="0" w:color="auto"/>
              <w:bottom w:val="single" w:sz="6" w:space="0" w:color="auto"/>
            </w:tcBorders>
            <w:shd w:val="clear" w:color="auto" w:fill="auto"/>
            <w:noWrap/>
            <w:vAlign w:val="center"/>
            <w:hideMark/>
          </w:tcPr>
          <w:p w14:paraId="137B6155" w14:textId="519B1816" w:rsidR="00FC22B8" w:rsidRPr="00AF28E9" w:rsidRDefault="00FC22B8" w:rsidP="00AF28E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39 555</w:t>
            </w:r>
          </w:p>
        </w:tc>
        <w:tc>
          <w:tcPr>
            <w:tcW w:w="691" w:type="pct"/>
            <w:tcBorders>
              <w:top w:val="single" w:sz="6" w:space="0" w:color="auto"/>
              <w:bottom w:val="single" w:sz="6" w:space="0" w:color="auto"/>
            </w:tcBorders>
            <w:shd w:val="clear" w:color="auto" w:fill="auto"/>
            <w:noWrap/>
            <w:vAlign w:val="center"/>
            <w:hideMark/>
          </w:tcPr>
          <w:p w14:paraId="7F51B00C" w14:textId="45F7EB78" w:rsidR="00FC22B8" w:rsidRPr="00AF28E9" w:rsidRDefault="00FC22B8">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39 555</w:t>
            </w:r>
          </w:p>
        </w:tc>
        <w:tc>
          <w:tcPr>
            <w:tcW w:w="690" w:type="pct"/>
            <w:tcBorders>
              <w:top w:val="single" w:sz="6" w:space="0" w:color="auto"/>
              <w:bottom w:val="single" w:sz="6" w:space="0" w:color="auto"/>
            </w:tcBorders>
            <w:shd w:val="clear" w:color="auto" w:fill="auto"/>
            <w:noWrap/>
            <w:vAlign w:val="center"/>
            <w:hideMark/>
          </w:tcPr>
          <w:p w14:paraId="7BDBC912" w14:textId="53112E83" w:rsidR="00FC22B8" w:rsidRPr="00AF28E9" w:rsidRDefault="00FC22B8">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118 665</w:t>
            </w:r>
          </w:p>
        </w:tc>
        <w:tc>
          <w:tcPr>
            <w:tcW w:w="692" w:type="pct"/>
            <w:tcBorders>
              <w:top w:val="single" w:sz="6" w:space="0" w:color="auto"/>
              <w:bottom w:val="single" w:sz="6" w:space="0" w:color="auto"/>
            </w:tcBorders>
            <w:shd w:val="clear" w:color="auto" w:fill="auto"/>
            <w:noWrap/>
            <w:vAlign w:val="center"/>
            <w:hideMark/>
          </w:tcPr>
          <w:p w14:paraId="39BDBC8A" w14:textId="55324236" w:rsidR="00FC22B8" w:rsidRPr="00AF28E9" w:rsidRDefault="00FC22B8">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158 220</w:t>
            </w:r>
          </w:p>
        </w:tc>
      </w:tr>
      <w:tr w:rsidR="00E87392" w:rsidRPr="00BD7EC2" w14:paraId="192030E1" w14:textId="77777777" w:rsidTr="005F7B58">
        <w:trPr>
          <w:trHeight w:val="564"/>
        </w:trPr>
        <w:tc>
          <w:tcPr>
            <w:tcW w:w="856" w:type="pct"/>
            <w:tcBorders>
              <w:top w:val="single" w:sz="6" w:space="0" w:color="auto"/>
              <w:bottom w:val="single" w:sz="18" w:space="0" w:color="auto"/>
            </w:tcBorders>
            <w:shd w:val="clear" w:color="auto" w:fill="auto"/>
            <w:vAlign w:val="center"/>
            <w:hideMark/>
          </w:tcPr>
          <w:p w14:paraId="1AD06FEE" w14:textId="77777777" w:rsidR="00E87392" w:rsidRPr="00BD7EC2" w:rsidRDefault="00E87392" w:rsidP="00E87392">
            <w:pPr>
              <w:spacing w:after="0" w:line="240" w:lineRule="auto"/>
              <w:rPr>
                <w:rFonts w:ascii="Times New Roman" w:eastAsia="Times New Roman" w:hAnsi="Times New Roman" w:cs="Times New Roman"/>
                <w:color w:val="000000"/>
                <w:lang w:eastAsia="sk-SK"/>
              </w:rPr>
            </w:pPr>
            <w:r w:rsidRPr="00BD7EC2">
              <w:rPr>
                <w:rFonts w:ascii="Times New Roman" w:eastAsia="Times New Roman" w:hAnsi="Times New Roman" w:cs="Times New Roman"/>
                <w:color w:val="000000"/>
                <w:lang w:eastAsia="sk-SK"/>
              </w:rPr>
              <w:t xml:space="preserve">Premena, prenos a distribúcia energie </w:t>
            </w:r>
          </w:p>
        </w:tc>
        <w:tc>
          <w:tcPr>
            <w:tcW w:w="690" w:type="pct"/>
            <w:tcBorders>
              <w:top w:val="single" w:sz="6" w:space="0" w:color="auto"/>
              <w:bottom w:val="single" w:sz="18" w:space="0" w:color="auto"/>
            </w:tcBorders>
            <w:shd w:val="clear" w:color="auto" w:fill="auto"/>
            <w:noWrap/>
            <w:vAlign w:val="center"/>
            <w:hideMark/>
          </w:tcPr>
          <w:p w14:paraId="4962B92E" w14:textId="4D6A39C0" w:rsidR="00E87392" w:rsidRPr="005F7B58" w:rsidRDefault="00E87392" w:rsidP="00297B22">
            <w:pPr>
              <w:spacing w:after="0" w:line="240" w:lineRule="auto"/>
              <w:jc w:val="right"/>
              <w:rPr>
                <w:rFonts w:ascii="Times New Roman" w:hAnsi="Times New Roman" w:cs="Times New Roman"/>
              </w:rPr>
            </w:pPr>
            <w:r w:rsidRPr="005F7B58">
              <w:rPr>
                <w:rFonts w:ascii="Times New Roman" w:hAnsi="Times New Roman" w:cs="Times New Roman"/>
              </w:rPr>
              <w:t>36 546</w:t>
            </w:r>
          </w:p>
        </w:tc>
        <w:tc>
          <w:tcPr>
            <w:tcW w:w="691" w:type="pct"/>
            <w:tcBorders>
              <w:top w:val="single" w:sz="6" w:space="0" w:color="auto"/>
              <w:bottom w:val="single" w:sz="18" w:space="0" w:color="auto"/>
            </w:tcBorders>
            <w:shd w:val="clear" w:color="auto" w:fill="auto"/>
            <w:noWrap/>
            <w:vAlign w:val="center"/>
            <w:hideMark/>
          </w:tcPr>
          <w:p w14:paraId="6B66EAA2" w14:textId="7F36502A" w:rsidR="00E87392" w:rsidRPr="00AF28E9" w:rsidRDefault="00E87392" w:rsidP="00297B22">
            <w:pPr>
              <w:spacing w:after="0" w:line="240" w:lineRule="auto"/>
              <w:jc w:val="right"/>
              <w:rPr>
                <w:rFonts w:ascii="Times New Roman" w:hAnsi="Times New Roman" w:cs="Times New Roman"/>
                <w:color w:val="000000"/>
              </w:rPr>
            </w:pPr>
            <w:r w:rsidRPr="005F7B58">
              <w:rPr>
                <w:rFonts w:ascii="Times New Roman" w:hAnsi="Times New Roman" w:cs="Times New Roman"/>
              </w:rPr>
              <w:t>90 779</w:t>
            </w:r>
          </w:p>
        </w:tc>
        <w:tc>
          <w:tcPr>
            <w:tcW w:w="690" w:type="pct"/>
            <w:tcBorders>
              <w:top w:val="single" w:sz="6" w:space="0" w:color="auto"/>
              <w:bottom w:val="single" w:sz="18" w:space="0" w:color="auto"/>
            </w:tcBorders>
            <w:shd w:val="clear" w:color="auto" w:fill="auto"/>
            <w:noWrap/>
            <w:vAlign w:val="center"/>
            <w:hideMark/>
          </w:tcPr>
          <w:p w14:paraId="66442948" w14:textId="61AE5E28" w:rsidR="00E87392" w:rsidRPr="00AF28E9" w:rsidRDefault="00E87392" w:rsidP="00297B22">
            <w:pPr>
              <w:spacing w:after="0" w:line="240" w:lineRule="auto"/>
              <w:jc w:val="right"/>
              <w:rPr>
                <w:rFonts w:ascii="Times New Roman" w:hAnsi="Times New Roman" w:cs="Times New Roman"/>
                <w:color w:val="000000"/>
              </w:rPr>
            </w:pPr>
            <w:r w:rsidRPr="005F7B58">
              <w:rPr>
                <w:rFonts w:ascii="Times New Roman" w:hAnsi="Times New Roman" w:cs="Times New Roman"/>
              </w:rPr>
              <w:t>91 072</w:t>
            </w:r>
          </w:p>
        </w:tc>
        <w:tc>
          <w:tcPr>
            <w:tcW w:w="691" w:type="pct"/>
            <w:tcBorders>
              <w:top w:val="single" w:sz="6" w:space="0" w:color="auto"/>
              <w:bottom w:val="single" w:sz="18" w:space="0" w:color="auto"/>
            </w:tcBorders>
            <w:shd w:val="clear" w:color="auto" w:fill="auto"/>
            <w:noWrap/>
            <w:vAlign w:val="center"/>
            <w:hideMark/>
          </w:tcPr>
          <w:p w14:paraId="5FF0A6AA" w14:textId="795F0AF4" w:rsidR="00E87392" w:rsidRPr="00AF28E9" w:rsidRDefault="00E87392" w:rsidP="00297B22">
            <w:pPr>
              <w:spacing w:after="0" w:line="240" w:lineRule="auto"/>
              <w:jc w:val="right"/>
              <w:rPr>
                <w:rFonts w:ascii="Times New Roman" w:hAnsi="Times New Roman" w:cs="Times New Roman"/>
                <w:color w:val="000000"/>
              </w:rPr>
            </w:pPr>
            <w:r w:rsidRPr="005F7B58">
              <w:rPr>
                <w:rFonts w:ascii="Times New Roman" w:hAnsi="Times New Roman" w:cs="Times New Roman"/>
              </w:rPr>
              <w:t>76 991</w:t>
            </w:r>
          </w:p>
        </w:tc>
        <w:tc>
          <w:tcPr>
            <w:tcW w:w="690" w:type="pct"/>
            <w:tcBorders>
              <w:top w:val="single" w:sz="6" w:space="0" w:color="auto"/>
              <w:bottom w:val="single" w:sz="18" w:space="0" w:color="auto"/>
            </w:tcBorders>
            <w:shd w:val="clear" w:color="auto" w:fill="auto"/>
            <w:noWrap/>
            <w:vAlign w:val="center"/>
            <w:hideMark/>
          </w:tcPr>
          <w:p w14:paraId="2E36BD19" w14:textId="454CE63F" w:rsidR="00E87392" w:rsidRPr="005F7B58" w:rsidRDefault="00E87392" w:rsidP="00297B22">
            <w:pPr>
              <w:spacing w:after="0" w:line="240" w:lineRule="auto"/>
              <w:jc w:val="right"/>
              <w:rPr>
                <w:rFonts w:ascii="Times New Roman" w:hAnsi="Times New Roman" w:cs="Times New Roman"/>
              </w:rPr>
            </w:pPr>
            <w:r w:rsidRPr="005F7B58">
              <w:rPr>
                <w:rFonts w:ascii="Times New Roman" w:hAnsi="Times New Roman" w:cs="Times New Roman"/>
              </w:rPr>
              <w:t>218 397</w:t>
            </w:r>
          </w:p>
        </w:tc>
        <w:tc>
          <w:tcPr>
            <w:tcW w:w="692" w:type="pct"/>
            <w:tcBorders>
              <w:top w:val="single" w:sz="6" w:space="0" w:color="auto"/>
              <w:bottom w:val="single" w:sz="18" w:space="0" w:color="auto"/>
            </w:tcBorders>
            <w:shd w:val="clear" w:color="auto" w:fill="auto"/>
            <w:noWrap/>
            <w:vAlign w:val="center"/>
            <w:hideMark/>
          </w:tcPr>
          <w:p w14:paraId="05012CCC" w14:textId="08B45D08" w:rsidR="00E87392" w:rsidRPr="005F7B58" w:rsidRDefault="00E87392" w:rsidP="00297B22">
            <w:pPr>
              <w:spacing w:after="0" w:line="240" w:lineRule="auto"/>
              <w:jc w:val="right"/>
              <w:rPr>
                <w:rFonts w:ascii="Times New Roman" w:hAnsi="Times New Roman" w:cs="Times New Roman"/>
              </w:rPr>
            </w:pPr>
            <w:r w:rsidRPr="005F7B58">
              <w:rPr>
                <w:rFonts w:ascii="Times New Roman" w:hAnsi="Times New Roman" w:cs="Times New Roman"/>
              </w:rPr>
              <w:t>295 388</w:t>
            </w:r>
          </w:p>
        </w:tc>
      </w:tr>
      <w:tr w:rsidR="00E87392" w:rsidRPr="00BD7EC2" w14:paraId="23C98D13" w14:textId="77777777" w:rsidTr="005F7B58">
        <w:trPr>
          <w:trHeight w:val="300"/>
        </w:trPr>
        <w:tc>
          <w:tcPr>
            <w:tcW w:w="856" w:type="pct"/>
            <w:tcBorders>
              <w:top w:val="single" w:sz="18" w:space="0" w:color="auto"/>
              <w:left w:val="single" w:sz="18" w:space="0" w:color="auto"/>
              <w:bottom w:val="single" w:sz="18" w:space="0" w:color="auto"/>
            </w:tcBorders>
            <w:shd w:val="clear" w:color="auto" w:fill="auto"/>
            <w:noWrap/>
            <w:vAlign w:val="center"/>
            <w:hideMark/>
          </w:tcPr>
          <w:p w14:paraId="02FFE602" w14:textId="77777777" w:rsidR="00E87392" w:rsidRPr="00BD7EC2" w:rsidRDefault="00E87392" w:rsidP="00E87392">
            <w:pPr>
              <w:spacing w:after="0" w:line="240" w:lineRule="auto"/>
              <w:rPr>
                <w:rFonts w:ascii="Times New Roman" w:eastAsia="Times New Roman" w:hAnsi="Times New Roman" w:cs="Times New Roman"/>
                <w:b/>
                <w:bCs/>
                <w:color w:val="000000"/>
                <w:lang w:eastAsia="sk-SK"/>
              </w:rPr>
            </w:pPr>
            <w:r w:rsidRPr="00BD7EC2">
              <w:rPr>
                <w:rFonts w:ascii="Times New Roman" w:eastAsia="Times New Roman" w:hAnsi="Times New Roman" w:cs="Times New Roman"/>
                <w:b/>
                <w:bCs/>
                <w:color w:val="000000"/>
                <w:lang w:eastAsia="sk-SK"/>
              </w:rPr>
              <w:t>Spolu</w:t>
            </w:r>
          </w:p>
        </w:tc>
        <w:tc>
          <w:tcPr>
            <w:tcW w:w="690" w:type="pct"/>
            <w:tcBorders>
              <w:top w:val="single" w:sz="18" w:space="0" w:color="auto"/>
              <w:bottom w:val="single" w:sz="18" w:space="0" w:color="auto"/>
            </w:tcBorders>
            <w:shd w:val="clear" w:color="auto" w:fill="auto"/>
            <w:noWrap/>
            <w:vAlign w:val="center"/>
            <w:hideMark/>
          </w:tcPr>
          <w:p w14:paraId="2E278C08" w14:textId="6301D835" w:rsidR="00E87392" w:rsidRPr="005F7B58" w:rsidRDefault="00E87392" w:rsidP="00297B22">
            <w:pPr>
              <w:spacing w:after="0" w:line="240" w:lineRule="auto"/>
              <w:jc w:val="right"/>
              <w:rPr>
                <w:rFonts w:ascii="Times New Roman" w:hAnsi="Times New Roman" w:cs="Times New Roman"/>
                <w:b/>
              </w:rPr>
            </w:pPr>
            <w:r w:rsidRPr="005F7B58">
              <w:rPr>
                <w:rFonts w:ascii="Times New Roman" w:hAnsi="Times New Roman" w:cs="Times New Roman"/>
                <w:b/>
              </w:rPr>
              <w:t>1 104 637</w:t>
            </w:r>
          </w:p>
        </w:tc>
        <w:tc>
          <w:tcPr>
            <w:tcW w:w="691" w:type="pct"/>
            <w:tcBorders>
              <w:top w:val="single" w:sz="18" w:space="0" w:color="auto"/>
              <w:bottom w:val="single" w:sz="18" w:space="0" w:color="auto"/>
            </w:tcBorders>
            <w:shd w:val="clear" w:color="auto" w:fill="auto"/>
            <w:noWrap/>
            <w:vAlign w:val="center"/>
            <w:hideMark/>
          </w:tcPr>
          <w:p w14:paraId="3E33D651" w14:textId="58D05D18" w:rsidR="00E87392" w:rsidRPr="00AF28E9" w:rsidRDefault="00E87392" w:rsidP="00297B22">
            <w:pPr>
              <w:spacing w:after="0" w:line="240" w:lineRule="auto"/>
              <w:jc w:val="right"/>
              <w:rPr>
                <w:rFonts w:ascii="Times New Roman" w:hAnsi="Times New Roman" w:cs="Times New Roman"/>
                <w:b/>
                <w:color w:val="000000"/>
              </w:rPr>
            </w:pPr>
            <w:r w:rsidRPr="005F7B58">
              <w:rPr>
                <w:rFonts w:ascii="Times New Roman" w:hAnsi="Times New Roman" w:cs="Times New Roman"/>
                <w:b/>
              </w:rPr>
              <w:t>1 663 374</w:t>
            </w:r>
          </w:p>
        </w:tc>
        <w:tc>
          <w:tcPr>
            <w:tcW w:w="690" w:type="pct"/>
            <w:tcBorders>
              <w:top w:val="single" w:sz="18" w:space="0" w:color="auto"/>
              <w:bottom w:val="single" w:sz="18" w:space="0" w:color="auto"/>
            </w:tcBorders>
            <w:shd w:val="clear" w:color="auto" w:fill="auto"/>
            <w:noWrap/>
            <w:vAlign w:val="center"/>
            <w:hideMark/>
          </w:tcPr>
          <w:p w14:paraId="65B1AFE0" w14:textId="4C903484" w:rsidR="00E87392" w:rsidRPr="00AF28E9" w:rsidRDefault="00E87392" w:rsidP="00297B22">
            <w:pPr>
              <w:spacing w:after="0" w:line="240" w:lineRule="auto"/>
              <w:jc w:val="right"/>
              <w:rPr>
                <w:rFonts w:ascii="Times New Roman" w:hAnsi="Times New Roman" w:cs="Times New Roman"/>
                <w:b/>
                <w:color w:val="000000"/>
              </w:rPr>
            </w:pPr>
            <w:r w:rsidRPr="005F7B58">
              <w:rPr>
                <w:rFonts w:ascii="Times New Roman" w:hAnsi="Times New Roman" w:cs="Times New Roman"/>
                <w:b/>
              </w:rPr>
              <w:t>1 872 321</w:t>
            </w:r>
          </w:p>
        </w:tc>
        <w:tc>
          <w:tcPr>
            <w:tcW w:w="691" w:type="pct"/>
            <w:tcBorders>
              <w:top w:val="single" w:sz="18" w:space="0" w:color="auto"/>
              <w:bottom w:val="single" w:sz="18" w:space="0" w:color="auto"/>
            </w:tcBorders>
            <w:shd w:val="clear" w:color="auto" w:fill="auto"/>
            <w:noWrap/>
            <w:vAlign w:val="center"/>
            <w:hideMark/>
          </w:tcPr>
          <w:p w14:paraId="6CB50508" w14:textId="533B7AC7" w:rsidR="00E87392" w:rsidRPr="00AF28E9" w:rsidRDefault="00E87392" w:rsidP="00297B22">
            <w:pPr>
              <w:spacing w:after="0" w:line="240" w:lineRule="auto"/>
              <w:jc w:val="right"/>
              <w:rPr>
                <w:rFonts w:ascii="Times New Roman" w:hAnsi="Times New Roman" w:cs="Times New Roman"/>
                <w:b/>
                <w:color w:val="000000"/>
              </w:rPr>
            </w:pPr>
            <w:r w:rsidRPr="005F7B58">
              <w:rPr>
                <w:rFonts w:ascii="Times New Roman" w:hAnsi="Times New Roman" w:cs="Times New Roman"/>
                <w:b/>
              </w:rPr>
              <w:t>1 595 730</w:t>
            </w:r>
          </w:p>
        </w:tc>
        <w:tc>
          <w:tcPr>
            <w:tcW w:w="690" w:type="pct"/>
            <w:tcBorders>
              <w:top w:val="single" w:sz="18" w:space="0" w:color="auto"/>
              <w:bottom w:val="single" w:sz="18" w:space="0" w:color="auto"/>
            </w:tcBorders>
            <w:shd w:val="clear" w:color="auto" w:fill="auto"/>
            <w:noWrap/>
            <w:vAlign w:val="center"/>
            <w:hideMark/>
          </w:tcPr>
          <w:p w14:paraId="778EE9E1" w14:textId="5C5C62C2" w:rsidR="00E87392" w:rsidRPr="005F7B58" w:rsidRDefault="00E87392" w:rsidP="00297B22">
            <w:pPr>
              <w:spacing w:after="0" w:line="240" w:lineRule="auto"/>
              <w:jc w:val="right"/>
              <w:rPr>
                <w:rFonts w:ascii="Times New Roman" w:hAnsi="Times New Roman" w:cs="Times New Roman"/>
                <w:b/>
              </w:rPr>
            </w:pPr>
            <w:r w:rsidRPr="005F7B58">
              <w:rPr>
                <w:rFonts w:ascii="Times New Roman" w:hAnsi="Times New Roman" w:cs="Times New Roman"/>
                <w:b/>
              </w:rPr>
              <w:t>4 640 331</w:t>
            </w:r>
          </w:p>
        </w:tc>
        <w:tc>
          <w:tcPr>
            <w:tcW w:w="692" w:type="pct"/>
            <w:tcBorders>
              <w:top w:val="single" w:sz="18" w:space="0" w:color="auto"/>
              <w:bottom w:val="single" w:sz="18" w:space="0" w:color="auto"/>
              <w:right w:val="single" w:sz="18" w:space="0" w:color="auto"/>
            </w:tcBorders>
            <w:shd w:val="clear" w:color="auto" w:fill="auto"/>
            <w:noWrap/>
            <w:vAlign w:val="center"/>
            <w:hideMark/>
          </w:tcPr>
          <w:p w14:paraId="40AF652F" w14:textId="09F97AB2" w:rsidR="00E87392" w:rsidRPr="005F7B58" w:rsidRDefault="00E87392" w:rsidP="00297B22">
            <w:pPr>
              <w:spacing w:after="0" w:line="240" w:lineRule="auto"/>
              <w:jc w:val="right"/>
              <w:rPr>
                <w:rFonts w:ascii="Times New Roman" w:hAnsi="Times New Roman" w:cs="Times New Roman"/>
                <w:b/>
              </w:rPr>
            </w:pPr>
            <w:r w:rsidRPr="005F7B58">
              <w:rPr>
                <w:rFonts w:ascii="Times New Roman" w:hAnsi="Times New Roman" w:cs="Times New Roman"/>
                <w:b/>
              </w:rPr>
              <w:t>6 236 061</w:t>
            </w:r>
          </w:p>
        </w:tc>
      </w:tr>
    </w:tbl>
    <w:p w14:paraId="3CC9C6B7" w14:textId="70B6CBEE" w:rsidR="00294E6D" w:rsidRPr="009F2998" w:rsidRDefault="00294E6D" w:rsidP="00902157">
      <w:pPr>
        <w:jc w:val="both"/>
        <w:rPr>
          <w:rFonts w:ascii="Times New Roman" w:hAnsi="Times New Roman" w:cs="Times New Roman"/>
        </w:rPr>
      </w:pPr>
    </w:p>
    <w:p w14:paraId="00A7539B" w14:textId="3B329C23" w:rsidR="002B1C61" w:rsidRDefault="00E57BAD" w:rsidP="00902157">
      <w:pPr>
        <w:jc w:val="both"/>
        <w:rPr>
          <w:rFonts w:ascii="Times New Roman" w:hAnsi="Times New Roman" w:cs="Times New Roman"/>
          <w:sz w:val="24"/>
          <w:szCs w:val="24"/>
        </w:rPr>
      </w:pPr>
      <w:r>
        <w:rPr>
          <w:rFonts w:ascii="Times New Roman" w:hAnsi="Times New Roman" w:cs="Times New Roman"/>
          <w:sz w:val="24"/>
          <w:szCs w:val="24"/>
        </w:rPr>
        <w:t>Pri plánovaní opatrení, kde neboli známe predpokladané úspory energie, sa použili priemerné investičné náročnosti za obdobné opatrenia v období rokov 2014-2016</w:t>
      </w:r>
      <w:r w:rsidR="00294E6D" w:rsidRPr="000745A8">
        <w:rPr>
          <w:rFonts w:ascii="Times New Roman" w:hAnsi="Times New Roman" w:cs="Times New Roman"/>
          <w:sz w:val="24"/>
          <w:szCs w:val="24"/>
        </w:rPr>
        <w:t xml:space="preserve"> (</w:t>
      </w:r>
      <w:r w:rsidR="001653AA" w:rsidRPr="000745A8">
        <w:rPr>
          <w:rFonts w:ascii="Times New Roman" w:hAnsi="Times New Roman" w:cs="Times New Roman"/>
          <w:sz w:val="24"/>
          <w:szCs w:val="24"/>
        </w:rPr>
        <w:t>pozri</w:t>
      </w:r>
      <w:r w:rsidR="00294E6D" w:rsidRPr="000745A8">
        <w:rPr>
          <w:rFonts w:ascii="Times New Roman" w:hAnsi="Times New Roman" w:cs="Times New Roman"/>
          <w:sz w:val="24"/>
          <w:szCs w:val="24"/>
        </w:rPr>
        <w:t xml:space="preserve"> </w:t>
      </w:r>
      <w:r w:rsidR="00C97A78" w:rsidRPr="000745A8">
        <w:rPr>
          <w:rFonts w:ascii="Times New Roman" w:hAnsi="Times New Roman" w:cs="Times New Roman"/>
          <w:sz w:val="24"/>
          <w:szCs w:val="24"/>
        </w:rPr>
        <w:t>tab</w:t>
      </w:r>
      <w:r w:rsidR="0051358B">
        <w:rPr>
          <w:rFonts w:ascii="Times New Roman" w:hAnsi="Times New Roman" w:cs="Times New Roman"/>
          <w:sz w:val="24"/>
          <w:szCs w:val="24"/>
        </w:rPr>
        <w:t>uľku č. 9</w:t>
      </w:r>
      <w:r w:rsidR="00294E6D" w:rsidRPr="000745A8">
        <w:rPr>
          <w:rFonts w:ascii="Times New Roman" w:hAnsi="Times New Roman" w:cs="Times New Roman"/>
          <w:sz w:val="24"/>
          <w:szCs w:val="24"/>
        </w:rPr>
        <w:t>). Najnižšiu priemernú investičnú náročnosť vykazuje sektor spotrebičov, najvyššiu priemernú investičnú náročnosť vykazuje sektor dopravy. V</w:t>
      </w:r>
      <w:r w:rsidR="00D31B2D" w:rsidRPr="000745A8">
        <w:rPr>
          <w:rFonts w:ascii="Times New Roman" w:hAnsi="Times New Roman" w:cs="Times New Roman"/>
          <w:sz w:val="24"/>
          <w:szCs w:val="24"/>
        </w:rPr>
        <w:t>ysoká investičná náročnosť</w:t>
      </w:r>
      <w:r w:rsidR="00294E6D" w:rsidRPr="000745A8">
        <w:rPr>
          <w:rFonts w:ascii="Times New Roman" w:hAnsi="Times New Roman" w:cs="Times New Roman"/>
          <w:sz w:val="24"/>
          <w:szCs w:val="24"/>
        </w:rPr>
        <w:t> </w:t>
      </w:r>
      <w:r w:rsidR="00D31B2D" w:rsidRPr="000745A8">
        <w:rPr>
          <w:rFonts w:ascii="Times New Roman" w:hAnsi="Times New Roman" w:cs="Times New Roman"/>
          <w:sz w:val="24"/>
          <w:szCs w:val="24"/>
        </w:rPr>
        <w:t xml:space="preserve">v </w:t>
      </w:r>
      <w:r w:rsidR="00294E6D" w:rsidRPr="000745A8">
        <w:rPr>
          <w:rFonts w:ascii="Times New Roman" w:hAnsi="Times New Roman" w:cs="Times New Roman"/>
          <w:sz w:val="24"/>
          <w:szCs w:val="24"/>
        </w:rPr>
        <w:t xml:space="preserve">sektore dopravy </w:t>
      </w:r>
      <w:r w:rsidR="00D31B2D" w:rsidRPr="000745A8">
        <w:rPr>
          <w:rFonts w:ascii="Times New Roman" w:hAnsi="Times New Roman" w:cs="Times New Roman"/>
          <w:sz w:val="24"/>
          <w:szCs w:val="24"/>
        </w:rPr>
        <w:t xml:space="preserve">je spôsobená vysokými investičnými nákladmi na jednotku ušetrenej energie v opatrení č. 4.2 Budovanie a modernizácia dopravnej infraštruktúry. Uvedené investičné náročnosti predstavujú priemer za všetky opatrenia v danom sektore, medzi ktorými môže existovať značný rozptyl. </w:t>
      </w:r>
    </w:p>
    <w:p w14:paraId="52223E6E" w14:textId="77777777" w:rsidR="00A87D61" w:rsidRDefault="00A87D61" w:rsidP="00902157">
      <w:pPr>
        <w:jc w:val="both"/>
        <w:rPr>
          <w:rFonts w:ascii="Times New Roman" w:hAnsi="Times New Roman" w:cs="Times New Roman"/>
          <w:sz w:val="24"/>
          <w:szCs w:val="24"/>
        </w:rPr>
      </w:pPr>
    </w:p>
    <w:p w14:paraId="06C1E04D" w14:textId="77777777" w:rsidR="00A87D61" w:rsidRDefault="00A87D61" w:rsidP="00902157">
      <w:pPr>
        <w:jc w:val="both"/>
        <w:rPr>
          <w:rFonts w:ascii="Times New Roman" w:hAnsi="Times New Roman" w:cs="Times New Roman"/>
          <w:sz w:val="24"/>
          <w:szCs w:val="24"/>
        </w:rPr>
      </w:pPr>
    </w:p>
    <w:p w14:paraId="11454EE5" w14:textId="6D202AFB" w:rsidR="0051358B" w:rsidRPr="0051358B" w:rsidRDefault="0051358B" w:rsidP="00902157">
      <w:pPr>
        <w:jc w:val="both"/>
        <w:rPr>
          <w:rFonts w:ascii="Times New Roman" w:hAnsi="Times New Roman" w:cs="Times New Roman"/>
          <w:sz w:val="24"/>
          <w:szCs w:val="24"/>
        </w:rPr>
      </w:pPr>
      <w:r w:rsidRPr="0051358B">
        <w:rPr>
          <w:rFonts w:ascii="Times New Roman" w:hAnsi="Times New Roman" w:cs="Times New Roman"/>
          <w:sz w:val="24"/>
          <w:szCs w:val="24"/>
        </w:rPr>
        <w:lastRenderedPageBreak/>
        <w:t xml:space="preserve">Tabuľka č. 9: </w:t>
      </w:r>
      <w:r w:rsidRPr="000578FE">
        <w:rPr>
          <w:rFonts w:ascii="Times New Roman" w:hAnsi="Times New Roman" w:cs="Times New Roman"/>
          <w:sz w:val="24"/>
          <w:szCs w:val="24"/>
        </w:rPr>
        <w:t>Prehľad priemern</w:t>
      </w:r>
      <w:r w:rsidR="00260158">
        <w:rPr>
          <w:rFonts w:ascii="Times New Roman" w:hAnsi="Times New Roman" w:cs="Times New Roman"/>
          <w:sz w:val="24"/>
          <w:szCs w:val="24"/>
        </w:rPr>
        <w:t>ej investičnej náročnosti</w:t>
      </w:r>
      <w:r w:rsidRPr="000578FE">
        <w:rPr>
          <w:rFonts w:ascii="Times New Roman" w:hAnsi="Times New Roman" w:cs="Times New Roman"/>
          <w:sz w:val="24"/>
          <w:szCs w:val="24"/>
        </w:rPr>
        <w:t xml:space="preserve"> v jednotlivých sektoroch </w:t>
      </w:r>
      <w:r w:rsidR="008D57E9">
        <w:rPr>
          <w:rFonts w:ascii="Times New Roman" w:hAnsi="Times New Roman" w:cs="Times New Roman"/>
          <w:sz w:val="24"/>
          <w:szCs w:val="24"/>
        </w:rPr>
        <w:t xml:space="preserve">v </w:t>
      </w:r>
      <w:r w:rsidRPr="000578FE">
        <w:rPr>
          <w:rFonts w:ascii="Times New Roman" w:hAnsi="Times New Roman" w:cs="Times New Roman"/>
          <w:sz w:val="24"/>
          <w:szCs w:val="24"/>
        </w:rPr>
        <w:t xml:space="preserve"> rok</w:t>
      </w:r>
      <w:r w:rsidR="008D57E9">
        <w:rPr>
          <w:rFonts w:ascii="Times New Roman" w:hAnsi="Times New Roman" w:cs="Times New Roman"/>
          <w:sz w:val="24"/>
          <w:szCs w:val="24"/>
        </w:rPr>
        <w:t>och</w:t>
      </w:r>
      <w:r w:rsidRPr="000578FE">
        <w:rPr>
          <w:rFonts w:ascii="Times New Roman" w:hAnsi="Times New Roman" w:cs="Times New Roman"/>
          <w:sz w:val="24"/>
          <w:szCs w:val="24"/>
        </w:rPr>
        <w:t xml:space="preserve"> 201</w:t>
      </w:r>
      <w:r w:rsidR="008D57E9">
        <w:rPr>
          <w:rFonts w:ascii="Times New Roman" w:hAnsi="Times New Roman" w:cs="Times New Roman"/>
          <w:sz w:val="24"/>
          <w:szCs w:val="24"/>
        </w:rPr>
        <w:t>4</w:t>
      </w:r>
      <w:r w:rsidRPr="000578FE">
        <w:rPr>
          <w:rFonts w:ascii="Times New Roman" w:hAnsi="Times New Roman" w:cs="Times New Roman"/>
          <w:sz w:val="24"/>
          <w:szCs w:val="24"/>
        </w:rPr>
        <w:t> –  20</w:t>
      </w:r>
      <w:r w:rsidR="008D57E9">
        <w:rPr>
          <w:rFonts w:ascii="Times New Roman" w:hAnsi="Times New Roman" w:cs="Times New Roman"/>
          <w:sz w:val="24"/>
          <w:szCs w:val="24"/>
        </w:rPr>
        <w:t>16</w:t>
      </w:r>
    </w:p>
    <w:tbl>
      <w:tblPr>
        <w:tblW w:w="4379" w:type="pct"/>
        <w:jc w:val="center"/>
        <w:tblLayout w:type="fixed"/>
        <w:tblCellMar>
          <w:left w:w="70" w:type="dxa"/>
          <w:right w:w="70" w:type="dxa"/>
        </w:tblCellMar>
        <w:tblLook w:val="04A0" w:firstRow="1" w:lastRow="0" w:firstColumn="1" w:lastColumn="0" w:noHBand="0" w:noVBand="1"/>
      </w:tblPr>
      <w:tblGrid>
        <w:gridCol w:w="5238"/>
        <w:gridCol w:w="2693"/>
      </w:tblGrid>
      <w:tr w:rsidR="00FE1572" w:rsidRPr="009F2998" w14:paraId="3D297B10" w14:textId="2DC8E4C8" w:rsidTr="004E746F">
        <w:trPr>
          <w:trHeight w:val="288"/>
          <w:jc w:val="center"/>
        </w:trPr>
        <w:tc>
          <w:tcPr>
            <w:tcW w:w="3302" w:type="pct"/>
            <w:vMerge w:val="restart"/>
            <w:tcBorders>
              <w:top w:val="single" w:sz="6" w:space="0" w:color="auto"/>
              <w:left w:val="single" w:sz="6" w:space="0" w:color="auto"/>
              <w:bottom w:val="single" w:sz="6" w:space="0" w:color="auto"/>
              <w:right w:val="single" w:sz="6" w:space="0" w:color="auto"/>
            </w:tcBorders>
            <w:shd w:val="clear" w:color="000000" w:fill="F2F2F2"/>
            <w:noWrap/>
            <w:vAlign w:val="center"/>
            <w:hideMark/>
          </w:tcPr>
          <w:p w14:paraId="3818008C" w14:textId="1CDEF73B" w:rsidR="00FE1572" w:rsidRPr="009F2998" w:rsidRDefault="00FE1572" w:rsidP="00283209">
            <w:pPr>
              <w:spacing w:after="0" w:line="240" w:lineRule="auto"/>
              <w:jc w:val="center"/>
              <w:rPr>
                <w:rFonts w:ascii="Times New Roman" w:eastAsia="Times New Roman" w:hAnsi="Times New Roman" w:cs="Times New Roman"/>
                <w:b/>
                <w:bCs/>
                <w:color w:val="000000"/>
                <w:lang w:eastAsia="sk-SK"/>
              </w:rPr>
            </w:pPr>
            <w:r w:rsidRPr="009F2998">
              <w:rPr>
                <w:rFonts w:ascii="Times New Roman" w:eastAsia="Times New Roman" w:hAnsi="Times New Roman" w:cs="Times New Roman"/>
                <w:b/>
                <w:bCs/>
                <w:color w:val="000000"/>
                <w:lang w:eastAsia="sk-SK"/>
              </w:rPr>
              <w:t>Sektor</w:t>
            </w:r>
          </w:p>
        </w:tc>
        <w:tc>
          <w:tcPr>
            <w:tcW w:w="1698" w:type="pct"/>
            <w:tcBorders>
              <w:top w:val="single" w:sz="6" w:space="0" w:color="auto"/>
              <w:left w:val="single" w:sz="6" w:space="0" w:color="auto"/>
              <w:bottom w:val="single" w:sz="6" w:space="0" w:color="auto"/>
              <w:right w:val="single" w:sz="6" w:space="0" w:color="auto"/>
            </w:tcBorders>
            <w:shd w:val="clear" w:color="000000" w:fill="F2F2F2"/>
            <w:noWrap/>
            <w:vAlign w:val="center"/>
            <w:hideMark/>
          </w:tcPr>
          <w:p w14:paraId="0BD9CA10" w14:textId="48E7134C" w:rsidR="00FE1572" w:rsidRPr="009F2998" w:rsidRDefault="00FE1572" w:rsidP="00283209">
            <w:pPr>
              <w:spacing w:after="0" w:line="240" w:lineRule="auto"/>
              <w:jc w:val="center"/>
              <w:rPr>
                <w:rFonts w:ascii="Times New Roman" w:eastAsia="Times New Roman" w:hAnsi="Times New Roman" w:cs="Times New Roman"/>
                <w:b/>
                <w:bCs/>
                <w:color w:val="000000"/>
                <w:lang w:eastAsia="sk-SK"/>
              </w:rPr>
            </w:pPr>
            <w:r w:rsidRPr="009F2998">
              <w:rPr>
                <w:rFonts w:ascii="Times New Roman" w:eastAsia="Times New Roman" w:hAnsi="Times New Roman" w:cs="Times New Roman"/>
                <w:b/>
                <w:bCs/>
                <w:color w:val="000000"/>
                <w:lang w:eastAsia="sk-SK"/>
              </w:rPr>
              <w:t>201</w:t>
            </w:r>
            <w:r>
              <w:rPr>
                <w:rFonts w:ascii="Times New Roman" w:eastAsia="Times New Roman" w:hAnsi="Times New Roman" w:cs="Times New Roman"/>
                <w:b/>
                <w:bCs/>
                <w:color w:val="000000"/>
                <w:lang w:eastAsia="sk-SK"/>
              </w:rPr>
              <w:t>4</w:t>
            </w:r>
            <w:r w:rsidRPr="009F2998">
              <w:rPr>
                <w:rFonts w:ascii="Times New Roman" w:eastAsia="Times New Roman" w:hAnsi="Times New Roman" w:cs="Times New Roman"/>
                <w:b/>
                <w:bCs/>
                <w:color w:val="000000"/>
                <w:lang w:eastAsia="sk-SK"/>
              </w:rPr>
              <w:t>-20</w:t>
            </w:r>
            <w:r>
              <w:rPr>
                <w:rFonts w:ascii="Times New Roman" w:eastAsia="Times New Roman" w:hAnsi="Times New Roman" w:cs="Times New Roman"/>
                <w:b/>
                <w:bCs/>
                <w:color w:val="000000"/>
                <w:lang w:eastAsia="sk-SK"/>
              </w:rPr>
              <w:t>16</w:t>
            </w:r>
          </w:p>
        </w:tc>
      </w:tr>
      <w:tr w:rsidR="00FE1572" w:rsidRPr="009F2998" w14:paraId="7C678395" w14:textId="32C6D4DF" w:rsidTr="004E746F">
        <w:trPr>
          <w:trHeight w:val="732"/>
          <w:jc w:val="center"/>
        </w:trPr>
        <w:tc>
          <w:tcPr>
            <w:tcW w:w="3302" w:type="pct"/>
            <w:vMerge/>
            <w:tcBorders>
              <w:top w:val="single" w:sz="6" w:space="0" w:color="auto"/>
              <w:left w:val="single" w:sz="6" w:space="0" w:color="auto"/>
              <w:bottom w:val="single" w:sz="6" w:space="0" w:color="auto"/>
              <w:right w:val="single" w:sz="6" w:space="0" w:color="auto"/>
            </w:tcBorders>
            <w:vAlign w:val="center"/>
            <w:hideMark/>
          </w:tcPr>
          <w:p w14:paraId="7B62F7F0" w14:textId="77777777" w:rsidR="00FE1572" w:rsidRPr="009F2998" w:rsidRDefault="00FE1572" w:rsidP="00283209">
            <w:pPr>
              <w:spacing w:after="0" w:line="240" w:lineRule="auto"/>
              <w:jc w:val="center"/>
              <w:rPr>
                <w:rFonts w:ascii="Times New Roman" w:eastAsia="Times New Roman" w:hAnsi="Times New Roman" w:cs="Times New Roman"/>
                <w:b/>
                <w:bCs/>
                <w:color w:val="000000"/>
                <w:lang w:eastAsia="sk-SK"/>
              </w:rPr>
            </w:pPr>
          </w:p>
        </w:tc>
        <w:tc>
          <w:tcPr>
            <w:tcW w:w="1698" w:type="pct"/>
            <w:tcBorders>
              <w:top w:val="single" w:sz="6" w:space="0" w:color="auto"/>
              <w:left w:val="single" w:sz="6" w:space="0" w:color="auto"/>
              <w:bottom w:val="single" w:sz="6" w:space="0" w:color="auto"/>
              <w:right w:val="single" w:sz="6" w:space="0" w:color="auto"/>
            </w:tcBorders>
            <w:shd w:val="clear" w:color="000000" w:fill="F2F2F2"/>
            <w:vAlign w:val="center"/>
            <w:hideMark/>
          </w:tcPr>
          <w:p w14:paraId="1ECEBE4E" w14:textId="731F155D" w:rsidR="00FE1572" w:rsidRPr="009F2998" w:rsidRDefault="00FE1572" w:rsidP="00D555FE">
            <w:pPr>
              <w:spacing w:after="0" w:line="240" w:lineRule="auto"/>
              <w:jc w:val="center"/>
              <w:rPr>
                <w:rFonts w:ascii="Times New Roman" w:eastAsia="Times New Roman" w:hAnsi="Times New Roman" w:cs="Times New Roman"/>
                <w:b/>
                <w:bCs/>
                <w:color w:val="000000"/>
                <w:lang w:eastAsia="sk-SK"/>
              </w:rPr>
            </w:pPr>
            <w:r w:rsidRPr="009F2998">
              <w:rPr>
                <w:rFonts w:ascii="Times New Roman" w:eastAsia="Times New Roman" w:hAnsi="Times New Roman" w:cs="Times New Roman"/>
                <w:b/>
                <w:bCs/>
                <w:color w:val="000000"/>
                <w:lang w:eastAsia="sk-SK"/>
              </w:rPr>
              <w:t>Priemern</w:t>
            </w:r>
            <w:r>
              <w:rPr>
                <w:rFonts w:ascii="Times New Roman" w:eastAsia="Times New Roman" w:hAnsi="Times New Roman" w:cs="Times New Roman"/>
                <w:b/>
                <w:bCs/>
                <w:color w:val="000000"/>
                <w:lang w:eastAsia="sk-SK"/>
              </w:rPr>
              <w:t xml:space="preserve">á </w:t>
            </w:r>
            <w:r w:rsidRPr="009F2998">
              <w:rPr>
                <w:rFonts w:ascii="Times New Roman" w:eastAsia="Times New Roman" w:hAnsi="Times New Roman" w:cs="Times New Roman"/>
                <w:b/>
                <w:bCs/>
                <w:color w:val="000000"/>
                <w:lang w:eastAsia="sk-SK"/>
              </w:rPr>
              <w:t>investičn</w:t>
            </w:r>
            <w:r>
              <w:rPr>
                <w:rFonts w:ascii="Times New Roman" w:eastAsia="Times New Roman" w:hAnsi="Times New Roman" w:cs="Times New Roman"/>
                <w:b/>
                <w:bCs/>
                <w:color w:val="000000"/>
                <w:lang w:eastAsia="sk-SK"/>
              </w:rPr>
              <w:t>á</w:t>
            </w:r>
            <w:r w:rsidRPr="009F2998">
              <w:rPr>
                <w:rFonts w:ascii="Times New Roman" w:eastAsia="Times New Roman" w:hAnsi="Times New Roman" w:cs="Times New Roman"/>
                <w:b/>
                <w:bCs/>
                <w:color w:val="000000"/>
                <w:lang w:eastAsia="sk-SK"/>
              </w:rPr>
              <w:t xml:space="preserve"> </w:t>
            </w:r>
            <w:r>
              <w:rPr>
                <w:rFonts w:ascii="Times New Roman" w:eastAsia="Times New Roman" w:hAnsi="Times New Roman" w:cs="Times New Roman"/>
                <w:b/>
                <w:bCs/>
                <w:color w:val="000000"/>
                <w:lang w:eastAsia="sk-SK"/>
              </w:rPr>
              <w:t>náročnosť</w:t>
            </w:r>
            <w:r w:rsidR="00260158">
              <w:rPr>
                <w:rFonts w:ascii="Times New Roman" w:eastAsia="Times New Roman" w:hAnsi="Times New Roman" w:cs="Times New Roman"/>
                <w:b/>
                <w:bCs/>
                <w:color w:val="000000"/>
                <w:lang w:eastAsia="sk-SK"/>
              </w:rPr>
              <w:t xml:space="preserve"> </w:t>
            </w:r>
          </w:p>
        </w:tc>
      </w:tr>
      <w:tr w:rsidR="00FE1572" w:rsidRPr="009F2998" w14:paraId="021C214E" w14:textId="5D6DF707" w:rsidTr="004E746F">
        <w:trPr>
          <w:trHeight w:val="288"/>
          <w:jc w:val="center"/>
        </w:trPr>
        <w:tc>
          <w:tcPr>
            <w:tcW w:w="3302" w:type="pct"/>
            <w:vMerge/>
            <w:tcBorders>
              <w:top w:val="single" w:sz="6" w:space="0" w:color="auto"/>
              <w:left w:val="single" w:sz="6" w:space="0" w:color="auto"/>
              <w:bottom w:val="single" w:sz="6" w:space="0" w:color="auto"/>
              <w:right w:val="single" w:sz="6" w:space="0" w:color="auto"/>
            </w:tcBorders>
            <w:vAlign w:val="center"/>
            <w:hideMark/>
          </w:tcPr>
          <w:p w14:paraId="33029C3A" w14:textId="77777777" w:rsidR="00FE1572" w:rsidRPr="009F2998" w:rsidRDefault="00FE1572" w:rsidP="00283209">
            <w:pPr>
              <w:spacing w:after="0" w:line="240" w:lineRule="auto"/>
              <w:jc w:val="center"/>
              <w:rPr>
                <w:rFonts w:ascii="Times New Roman" w:eastAsia="Times New Roman" w:hAnsi="Times New Roman" w:cs="Times New Roman"/>
                <w:b/>
                <w:bCs/>
                <w:color w:val="000000"/>
                <w:lang w:eastAsia="sk-SK"/>
              </w:rPr>
            </w:pPr>
          </w:p>
        </w:tc>
        <w:tc>
          <w:tcPr>
            <w:tcW w:w="1698" w:type="pct"/>
            <w:tcBorders>
              <w:top w:val="single" w:sz="6" w:space="0" w:color="auto"/>
              <w:left w:val="single" w:sz="6" w:space="0" w:color="auto"/>
              <w:bottom w:val="single" w:sz="6" w:space="0" w:color="auto"/>
              <w:right w:val="single" w:sz="6" w:space="0" w:color="auto"/>
            </w:tcBorders>
            <w:shd w:val="clear" w:color="000000" w:fill="F2F2F2"/>
            <w:noWrap/>
            <w:vAlign w:val="center"/>
            <w:hideMark/>
          </w:tcPr>
          <w:p w14:paraId="063032DE" w14:textId="0E60ED9C" w:rsidR="00FE1572" w:rsidRPr="009F2998" w:rsidRDefault="00FE1572" w:rsidP="00283209">
            <w:pPr>
              <w:spacing w:after="0" w:line="240" w:lineRule="auto"/>
              <w:jc w:val="center"/>
              <w:rPr>
                <w:rFonts w:ascii="Times New Roman" w:eastAsia="Times New Roman" w:hAnsi="Times New Roman" w:cs="Times New Roman"/>
                <w:b/>
                <w:bCs/>
                <w:color w:val="000000"/>
                <w:lang w:eastAsia="sk-SK"/>
              </w:rPr>
            </w:pPr>
            <w:r w:rsidRPr="009F2998">
              <w:rPr>
                <w:rFonts w:ascii="Times New Roman" w:eastAsia="Times New Roman" w:hAnsi="Times New Roman" w:cs="Times New Roman"/>
                <w:b/>
                <w:bCs/>
                <w:color w:val="000000"/>
                <w:lang w:val="en-GB" w:eastAsia="sk-SK"/>
              </w:rPr>
              <w:t>[</w:t>
            </w:r>
            <w:r>
              <w:rPr>
                <w:rFonts w:ascii="Times New Roman" w:eastAsia="Times New Roman" w:hAnsi="Times New Roman" w:cs="Times New Roman"/>
                <w:b/>
                <w:bCs/>
                <w:color w:val="000000"/>
                <w:lang w:eastAsia="sk-SK"/>
              </w:rPr>
              <w:t>Eur</w:t>
            </w:r>
            <w:r w:rsidRPr="009F2998">
              <w:rPr>
                <w:rFonts w:ascii="Times New Roman" w:eastAsia="Times New Roman" w:hAnsi="Times New Roman" w:cs="Times New Roman"/>
                <w:b/>
                <w:bCs/>
                <w:color w:val="000000"/>
                <w:lang w:eastAsia="sk-SK"/>
              </w:rPr>
              <w:t>/MWh]</w:t>
            </w:r>
          </w:p>
        </w:tc>
      </w:tr>
      <w:tr w:rsidR="00293EB5" w:rsidRPr="009F2998" w14:paraId="577B8AFD" w14:textId="5470CD97" w:rsidTr="00AF5415">
        <w:trPr>
          <w:trHeight w:val="288"/>
          <w:jc w:val="center"/>
        </w:trPr>
        <w:tc>
          <w:tcPr>
            <w:tcW w:w="330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3658B9" w14:textId="77777777" w:rsidR="00293EB5" w:rsidRPr="009F2998" w:rsidRDefault="00293EB5" w:rsidP="00293EB5">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Budovy</w:t>
            </w:r>
          </w:p>
        </w:tc>
        <w:tc>
          <w:tcPr>
            <w:tcW w:w="1698" w:type="pct"/>
            <w:tcBorders>
              <w:top w:val="nil"/>
              <w:left w:val="nil"/>
              <w:bottom w:val="single" w:sz="4" w:space="0" w:color="auto"/>
              <w:right w:val="single" w:sz="4" w:space="0" w:color="auto"/>
            </w:tcBorders>
            <w:shd w:val="clear" w:color="auto" w:fill="auto"/>
            <w:noWrap/>
            <w:vAlign w:val="center"/>
            <w:hideMark/>
          </w:tcPr>
          <w:p w14:paraId="1BF66B35" w14:textId="2E1291F5" w:rsidR="00293EB5" w:rsidRPr="00293EB5" w:rsidRDefault="00293EB5" w:rsidP="00AF5415">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2 620</w:t>
            </w:r>
          </w:p>
        </w:tc>
      </w:tr>
      <w:tr w:rsidR="00293EB5" w:rsidRPr="009F2998" w14:paraId="5EEA1D32" w14:textId="42D15CAC" w:rsidTr="00AF5415">
        <w:trPr>
          <w:trHeight w:val="288"/>
          <w:jc w:val="center"/>
        </w:trPr>
        <w:tc>
          <w:tcPr>
            <w:tcW w:w="330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8FE616" w14:textId="77777777" w:rsidR="00293EB5" w:rsidRPr="009F2998" w:rsidRDefault="00293EB5" w:rsidP="00293EB5">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Priemysel</w:t>
            </w:r>
          </w:p>
        </w:tc>
        <w:tc>
          <w:tcPr>
            <w:tcW w:w="1698" w:type="pct"/>
            <w:tcBorders>
              <w:top w:val="nil"/>
              <w:left w:val="nil"/>
              <w:bottom w:val="single" w:sz="4" w:space="0" w:color="auto"/>
              <w:right w:val="single" w:sz="4" w:space="0" w:color="auto"/>
            </w:tcBorders>
            <w:shd w:val="clear" w:color="auto" w:fill="auto"/>
            <w:noWrap/>
            <w:vAlign w:val="center"/>
            <w:hideMark/>
          </w:tcPr>
          <w:p w14:paraId="607AB7CD" w14:textId="19762EA3" w:rsidR="00293EB5" w:rsidRPr="00293EB5" w:rsidRDefault="00293EB5" w:rsidP="00AF5415">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213</w:t>
            </w:r>
          </w:p>
        </w:tc>
      </w:tr>
      <w:tr w:rsidR="00293EB5" w:rsidRPr="009F2998" w14:paraId="7F486925" w14:textId="5DFB0BA9" w:rsidTr="00AF5415">
        <w:trPr>
          <w:trHeight w:val="288"/>
          <w:jc w:val="center"/>
        </w:trPr>
        <w:tc>
          <w:tcPr>
            <w:tcW w:w="330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6EEC51" w14:textId="77777777" w:rsidR="00293EB5" w:rsidRPr="009F2998" w:rsidRDefault="00293EB5" w:rsidP="00293EB5">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Verejný sektor</w:t>
            </w:r>
          </w:p>
        </w:tc>
        <w:tc>
          <w:tcPr>
            <w:tcW w:w="1698" w:type="pct"/>
            <w:tcBorders>
              <w:top w:val="nil"/>
              <w:left w:val="nil"/>
              <w:bottom w:val="single" w:sz="4" w:space="0" w:color="auto"/>
              <w:right w:val="single" w:sz="4" w:space="0" w:color="auto"/>
            </w:tcBorders>
            <w:shd w:val="clear" w:color="auto" w:fill="auto"/>
            <w:noWrap/>
            <w:vAlign w:val="center"/>
            <w:hideMark/>
          </w:tcPr>
          <w:p w14:paraId="786CC181" w14:textId="42E4B25D" w:rsidR="00293EB5" w:rsidRPr="00293EB5" w:rsidRDefault="00293EB5" w:rsidP="008A2E69">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 xml:space="preserve">1 </w:t>
            </w:r>
            <w:r w:rsidR="00A87D61">
              <w:rPr>
                <w:rFonts w:ascii="Times New Roman" w:hAnsi="Times New Roman" w:cs="Times New Roman"/>
              </w:rPr>
              <w:t>176</w:t>
            </w:r>
          </w:p>
        </w:tc>
      </w:tr>
      <w:tr w:rsidR="00293EB5" w:rsidRPr="009F2998" w14:paraId="334155AD" w14:textId="7BA5AB65" w:rsidTr="00AF5415">
        <w:trPr>
          <w:trHeight w:val="300"/>
          <w:jc w:val="center"/>
        </w:trPr>
        <w:tc>
          <w:tcPr>
            <w:tcW w:w="330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F6B73D" w14:textId="77777777" w:rsidR="00293EB5" w:rsidRPr="009F2998" w:rsidRDefault="00293EB5" w:rsidP="00293EB5">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xml:space="preserve">Doprava </w:t>
            </w:r>
          </w:p>
        </w:tc>
        <w:tc>
          <w:tcPr>
            <w:tcW w:w="1698" w:type="pct"/>
            <w:tcBorders>
              <w:top w:val="nil"/>
              <w:left w:val="nil"/>
              <w:bottom w:val="single" w:sz="4" w:space="0" w:color="auto"/>
              <w:right w:val="single" w:sz="4" w:space="0" w:color="auto"/>
            </w:tcBorders>
            <w:shd w:val="clear" w:color="auto" w:fill="auto"/>
            <w:noWrap/>
            <w:vAlign w:val="center"/>
            <w:hideMark/>
          </w:tcPr>
          <w:p w14:paraId="6EE0704E" w14:textId="09A59BAB" w:rsidR="00293EB5" w:rsidRPr="00293EB5" w:rsidRDefault="00293EB5" w:rsidP="00AF5415">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10 593</w:t>
            </w:r>
          </w:p>
        </w:tc>
      </w:tr>
      <w:tr w:rsidR="00293EB5" w:rsidRPr="009F2998" w14:paraId="71F154D3" w14:textId="1705C210" w:rsidTr="00AF5415">
        <w:trPr>
          <w:trHeight w:val="288"/>
          <w:jc w:val="center"/>
        </w:trPr>
        <w:tc>
          <w:tcPr>
            <w:tcW w:w="330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8092B4" w14:textId="77777777" w:rsidR="00293EB5" w:rsidRPr="009F2998" w:rsidRDefault="00293EB5" w:rsidP="00293EB5">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Spotrebiče</w:t>
            </w:r>
          </w:p>
        </w:tc>
        <w:tc>
          <w:tcPr>
            <w:tcW w:w="1698" w:type="pct"/>
            <w:tcBorders>
              <w:top w:val="nil"/>
              <w:left w:val="nil"/>
              <w:bottom w:val="single" w:sz="4" w:space="0" w:color="auto"/>
              <w:right w:val="single" w:sz="4" w:space="0" w:color="auto"/>
            </w:tcBorders>
            <w:shd w:val="clear" w:color="auto" w:fill="auto"/>
            <w:noWrap/>
            <w:vAlign w:val="center"/>
            <w:hideMark/>
          </w:tcPr>
          <w:p w14:paraId="1B8900D3" w14:textId="315197A9" w:rsidR="00293EB5" w:rsidRPr="00293EB5" w:rsidRDefault="00293EB5" w:rsidP="00AF5415">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670</w:t>
            </w:r>
          </w:p>
        </w:tc>
      </w:tr>
      <w:tr w:rsidR="00293EB5" w:rsidRPr="009F2998" w14:paraId="4C01A549" w14:textId="42A9C5C8" w:rsidTr="00AF5415">
        <w:trPr>
          <w:trHeight w:val="552"/>
          <w:jc w:val="center"/>
        </w:trPr>
        <w:tc>
          <w:tcPr>
            <w:tcW w:w="330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2500901" w14:textId="01818E86" w:rsidR="00293EB5" w:rsidRPr="009F2998" w:rsidRDefault="00293EB5" w:rsidP="00293EB5">
            <w:pPr>
              <w:spacing w:after="0" w:line="240" w:lineRule="auto"/>
              <w:rPr>
                <w:rFonts w:ascii="Times New Roman" w:eastAsia="Times New Roman" w:hAnsi="Times New Roman" w:cs="Times New Roman"/>
                <w:color w:val="000000"/>
                <w:highlight w:val="yellow"/>
                <w:lang w:eastAsia="sk-SK"/>
              </w:rPr>
            </w:pPr>
            <w:r w:rsidRPr="009F2998">
              <w:rPr>
                <w:rFonts w:ascii="Times New Roman" w:eastAsia="Times New Roman" w:hAnsi="Times New Roman" w:cs="Times New Roman"/>
                <w:color w:val="000000"/>
                <w:lang w:eastAsia="sk-SK"/>
              </w:rPr>
              <w:t>Premena, prenos a distribúcia energie (</w:t>
            </w:r>
            <w:r>
              <w:rPr>
                <w:rFonts w:ascii="Times New Roman" w:eastAsia="Times New Roman" w:hAnsi="Times New Roman" w:cs="Times New Roman"/>
                <w:color w:val="000000"/>
                <w:lang w:eastAsia="sk-SK"/>
              </w:rPr>
              <w:t xml:space="preserve">na úrovni </w:t>
            </w:r>
            <w:r w:rsidRPr="009F2998">
              <w:rPr>
                <w:rFonts w:ascii="Times New Roman" w:eastAsia="Times New Roman" w:hAnsi="Times New Roman" w:cs="Times New Roman"/>
                <w:color w:val="000000"/>
                <w:lang w:eastAsia="sk-SK"/>
              </w:rPr>
              <w:t>PES)</w:t>
            </w:r>
          </w:p>
        </w:tc>
        <w:tc>
          <w:tcPr>
            <w:tcW w:w="1698" w:type="pct"/>
            <w:tcBorders>
              <w:top w:val="nil"/>
              <w:left w:val="single" w:sz="4" w:space="0" w:color="auto"/>
              <w:bottom w:val="single" w:sz="4" w:space="0" w:color="auto"/>
              <w:right w:val="single" w:sz="4" w:space="0" w:color="auto"/>
            </w:tcBorders>
            <w:shd w:val="clear" w:color="auto" w:fill="auto"/>
            <w:noWrap/>
            <w:vAlign w:val="center"/>
            <w:hideMark/>
          </w:tcPr>
          <w:p w14:paraId="637649FF" w14:textId="2233EC23" w:rsidR="00293EB5" w:rsidRPr="00293EB5" w:rsidRDefault="00293EB5" w:rsidP="00AF5415">
            <w:pPr>
              <w:spacing w:after="0" w:line="240" w:lineRule="auto"/>
              <w:jc w:val="right"/>
              <w:rPr>
                <w:rFonts w:ascii="Times New Roman" w:eastAsia="Times New Roman" w:hAnsi="Times New Roman" w:cs="Times New Roman"/>
                <w:color w:val="000000"/>
                <w:highlight w:val="yellow"/>
                <w:lang w:eastAsia="sk-SK"/>
              </w:rPr>
            </w:pPr>
            <w:r w:rsidRPr="00AF5415">
              <w:rPr>
                <w:rFonts w:ascii="Times New Roman" w:hAnsi="Times New Roman" w:cs="Times New Roman"/>
              </w:rPr>
              <w:t>1 011</w:t>
            </w:r>
          </w:p>
        </w:tc>
      </w:tr>
    </w:tbl>
    <w:p w14:paraId="654DBB12" w14:textId="77777777" w:rsidR="000D333E" w:rsidRDefault="000D333E">
      <w:pPr>
        <w:rPr>
          <w:rFonts w:ascii="Times New Roman" w:eastAsiaTheme="majorEastAsia" w:hAnsi="Times New Roman" w:cs="Times New Roman"/>
          <w:b/>
          <w:sz w:val="32"/>
          <w:szCs w:val="32"/>
        </w:rPr>
      </w:pPr>
      <w:r>
        <w:rPr>
          <w:rFonts w:ascii="Times New Roman" w:hAnsi="Times New Roman" w:cs="Times New Roman"/>
          <w:b/>
        </w:rPr>
        <w:br w:type="page"/>
      </w:r>
    </w:p>
    <w:p w14:paraId="7A7D4297" w14:textId="5F4BC99A" w:rsidR="00B82096" w:rsidRDefault="000D333E" w:rsidP="004E746F">
      <w:pPr>
        <w:pStyle w:val="Nadpis1"/>
        <w:rPr>
          <w:rFonts w:ascii="Times New Roman" w:hAnsi="Times New Roman" w:cs="Times New Roman"/>
          <w:b/>
        </w:rPr>
      </w:pPr>
      <w:bookmarkStart w:id="67" w:name="_Toc480547247"/>
      <w:r w:rsidRPr="004E746F">
        <w:rPr>
          <w:rFonts w:ascii="Times New Roman" w:hAnsi="Times New Roman" w:cs="Times New Roman"/>
          <w:b/>
          <w:color w:val="auto"/>
        </w:rPr>
        <w:lastRenderedPageBreak/>
        <w:t>Politické opatrenia na vykonávanie smernice o energetickej efektívnosti</w:t>
      </w:r>
      <w:bookmarkEnd w:id="67"/>
    </w:p>
    <w:p w14:paraId="798210D4" w14:textId="38E89FBA" w:rsidR="000D333E" w:rsidRDefault="000D333E" w:rsidP="004E746F"/>
    <w:p w14:paraId="35069F3B" w14:textId="78DDA410" w:rsidR="00902157" w:rsidRPr="000578FE" w:rsidRDefault="00902157" w:rsidP="007157D7">
      <w:pPr>
        <w:pStyle w:val="Nadpis2"/>
        <w:numPr>
          <w:ilvl w:val="1"/>
          <w:numId w:val="17"/>
        </w:numPr>
        <w:rPr>
          <w:rFonts w:ascii="Times New Roman" w:hAnsi="Times New Roman" w:cs="Times New Roman"/>
          <w:color w:val="auto"/>
        </w:rPr>
      </w:pPr>
      <w:bookmarkStart w:id="68" w:name="_Toc477166631"/>
      <w:bookmarkStart w:id="69" w:name="_Toc475963832"/>
      <w:bookmarkStart w:id="70" w:name="_Toc477166437"/>
      <w:bookmarkStart w:id="71" w:name="_Toc477166519"/>
      <w:bookmarkStart w:id="72" w:name="_Toc477166632"/>
      <w:bookmarkStart w:id="73" w:name="_Toc480547248"/>
      <w:bookmarkEnd w:id="68"/>
      <w:bookmarkEnd w:id="69"/>
      <w:bookmarkEnd w:id="70"/>
      <w:bookmarkEnd w:id="71"/>
      <w:bookmarkEnd w:id="72"/>
      <w:r w:rsidRPr="000578FE">
        <w:rPr>
          <w:rFonts w:ascii="Times New Roman" w:hAnsi="Times New Roman" w:cs="Times New Roman"/>
          <w:color w:val="auto"/>
        </w:rPr>
        <w:t>Horizontálne opatrenia</w:t>
      </w:r>
      <w:bookmarkEnd w:id="73"/>
    </w:p>
    <w:p w14:paraId="46E900A5" w14:textId="77777777" w:rsidR="00486646" w:rsidRPr="007345A8" w:rsidRDefault="00486646" w:rsidP="009B60E0">
      <w:pPr>
        <w:rPr>
          <w:rFonts w:ascii="Times New Roman" w:hAnsi="Times New Roman" w:cs="Times New Roman"/>
        </w:rPr>
      </w:pPr>
    </w:p>
    <w:p w14:paraId="7AD3B9E9" w14:textId="0D2707D3" w:rsidR="00293169" w:rsidRPr="000745A8" w:rsidRDefault="00293169" w:rsidP="009B60E0">
      <w:pPr>
        <w:rPr>
          <w:rFonts w:ascii="Times New Roman" w:hAnsi="Times New Roman" w:cs="Times New Roman"/>
          <w:sz w:val="24"/>
          <w:szCs w:val="24"/>
        </w:rPr>
      </w:pPr>
      <w:r w:rsidRPr="000745A8">
        <w:rPr>
          <w:rFonts w:ascii="Times New Roman" w:hAnsi="Times New Roman" w:cs="Times New Roman"/>
          <w:sz w:val="24"/>
          <w:szCs w:val="24"/>
        </w:rPr>
        <w:t xml:space="preserve">Horizontálne opatrenia sú </w:t>
      </w:r>
      <w:r w:rsidR="00571A49" w:rsidRPr="000745A8">
        <w:rPr>
          <w:rFonts w:ascii="Times New Roman" w:hAnsi="Times New Roman" w:cs="Times New Roman"/>
          <w:sz w:val="24"/>
          <w:szCs w:val="24"/>
        </w:rPr>
        <w:t xml:space="preserve">uvedené </w:t>
      </w:r>
      <w:r w:rsidRPr="000745A8">
        <w:rPr>
          <w:rFonts w:ascii="Times New Roman" w:hAnsi="Times New Roman" w:cs="Times New Roman"/>
          <w:sz w:val="24"/>
          <w:szCs w:val="24"/>
        </w:rPr>
        <w:t xml:space="preserve">v Prílohe č. </w:t>
      </w:r>
      <w:r w:rsidR="00044366">
        <w:rPr>
          <w:rFonts w:ascii="Times New Roman" w:hAnsi="Times New Roman" w:cs="Times New Roman"/>
          <w:sz w:val="24"/>
          <w:szCs w:val="24"/>
        </w:rPr>
        <w:t>3</w:t>
      </w:r>
      <w:r w:rsidR="00486646" w:rsidRPr="000745A8">
        <w:rPr>
          <w:rFonts w:ascii="Times New Roman" w:hAnsi="Times New Roman" w:cs="Times New Roman"/>
          <w:sz w:val="24"/>
          <w:szCs w:val="24"/>
        </w:rPr>
        <w:t xml:space="preserve">. </w:t>
      </w:r>
    </w:p>
    <w:p w14:paraId="57120633" w14:textId="1D7DF41B" w:rsidR="00902157" w:rsidRPr="000578FE" w:rsidRDefault="00902157" w:rsidP="007157D7">
      <w:pPr>
        <w:pStyle w:val="Nadpis3"/>
        <w:keepNext w:val="0"/>
        <w:keepLines w:val="0"/>
        <w:numPr>
          <w:ilvl w:val="2"/>
          <w:numId w:val="16"/>
        </w:numPr>
        <w:rPr>
          <w:rFonts w:ascii="Times New Roman" w:hAnsi="Times New Roman" w:cs="Times New Roman"/>
          <w:color w:val="auto"/>
        </w:rPr>
      </w:pPr>
      <w:bookmarkStart w:id="74" w:name="_Toc480547249"/>
      <w:r w:rsidRPr="000578FE">
        <w:rPr>
          <w:rFonts w:ascii="Times New Roman" w:hAnsi="Times New Roman" w:cs="Times New Roman"/>
          <w:color w:val="auto"/>
        </w:rPr>
        <w:t>Povinné schémy energetickej efektívnosti a alternatívne politické opatrenia (článok 7 SEE)</w:t>
      </w:r>
      <w:bookmarkEnd w:id="74"/>
    </w:p>
    <w:p w14:paraId="6984AD30" w14:textId="77777777" w:rsidR="00902157" w:rsidRPr="009F2998" w:rsidRDefault="00902157" w:rsidP="00902157">
      <w:pPr>
        <w:jc w:val="both"/>
        <w:rPr>
          <w:rFonts w:ascii="Times New Roman" w:hAnsi="Times New Roman" w:cs="Times New Roman"/>
        </w:rPr>
      </w:pPr>
    </w:p>
    <w:p w14:paraId="21F50266" w14:textId="77777777" w:rsidR="00902157" w:rsidRPr="000745A8" w:rsidRDefault="00902157" w:rsidP="00902157">
      <w:pPr>
        <w:jc w:val="both"/>
        <w:rPr>
          <w:rFonts w:ascii="Times New Roman" w:hAnsi="Times New Roman" w:cs="Times New Roman"/>
          <w:color w:val="2E74B5" w:themeColor="accent1" w:themeShade="BF"/>
          <w:sz w:val="24"/>
          <w:szCs w:val="24"/>
        </w:rPr>
      </w:pPr>
      <w:r w:rsidRPr="000745A8">
        <w:rPr>
          <w:rFonts w:ascii="Times New Roman" w:hAnsi="Times New Roman" w:cs="Times New Roman"/>
          <w:sz w:val="24"/>
          <w:szCs w:val="24"/>
        </w:rPr>
        <w:t xml:space="preserve">Na základe článku 7 odsek 1 smernice 2012/27/EÚ každý členský štát musí zriadiť povinnú schému energetickej efektívnosti, prostredníctvom ktorej majú dodávatelia alebo distribútori energie dosiahnuť do 31. decembra 2020 kumulatívny cieľ úspor energie na úrovni KES. Tento kumulatívny cieľ predstavuje kumuláciu ročných úspor energie stanovených vo výške 1,5 % priemerného ročného množstva energie predanej koncovým odberateľom všetkými dodávateľmi energie. Množstvo predanej energie, ktorá sa použila v doprave, možno z tohto výpočtu vylúčiť. Pri výpočte možno použiť výnimky stanovené v odseku 2 článku 7 smernice. Členské štáty sa môžu rozhodnúť aj pre alternatívny prístup (odsek 9 článku 7 smernice) a naplniť kumulatívny cieľ úspor energie (stanovený podľa odseku 1 článku 7) realizáciou politických opatrení. </w:t>
      </w:r>
    </w:p>
    <w:p w14:paraId="4F69D57A" w14:textId="77777777" w:rsidR="00902157" w:rsidRPr="009F2998" w:rsidRDefault="00902157" w:rsidP="00902157">
      <w:pPr>
        <w:rPr>
          <w:rFonts w:ascii="Times New Roman" w:hAnsi="Times New Roman" w:cs="Times New Roman"/>
        </w:rPr>
      </w:pPr>
    </w:p>
    <w:p w14:paraId="2A2F7BAB" w14:textId="29B4AF27" w:rsidR="00902157" w:rsidRPr="000578FE" w:rsidRDefault="007170F1" w:rsidP="007157D7">
      <w:pPr>
        <w:pStyle w:val="Nadpis4"/>
        <w:numPr>
          <w:ilvl w:val="3"/>
          <w:numId w:val="16"/>
        </w:numPr>
        <w:rPr>
          <w:rFonts w:ascii="Times New Roman" w:eastAsia="Times New Roman" w:hAnsi="Times New Roman" w:cs="Times New Roman"/>
          <w:i w:val="0"/>
          <w:color w:val="auto"/>
          <w:lang w:eastAsia="sk-SK"/>
        </w:rPr>
      </w:pPr>
      <w:bookmarkStart w:id="75" w:name="_Toc480547250"/>
      <w:r w:rsidRPr="000578FE">
        <w:rPr>
          <w:rFonts w:ascii="Times New Roman" w:eastAsia="Times New Roman" w:hAnsi="Times New Roman" w:cs="Times New Roman"/>
          <w:i w:val="0"/>
          <w:color w:val="auto"/>
          <w:lang w:eastAsia="sk-SK"/>
        </w:rPr>
        <w:t>C</w:t>
      </w:r>
      <w:r w:rsidR="00902157" w:rsidRPr="000578FE">
        <w:rPr>
          <w:rFonts w:ascii="Times New Roman" w:eastAsia="Times New Roman" w:hAnsi="Times New Roman" w:cs="Times New Roman"/>
          <w:i w:val="0"/>
          <w:color w:val="auto"/>
          <w:lang w:eastAsia="sk-SK"/>
        </w:rPr>
        <w:t>elkov</w:t>
      </w:r>
      <w:r w:rsidRPr="000578FE">
        <w:rPr>
          <w:rFonts w:ascii="Times New Roman" w:eastAsia="Times New Roman" w:hAnsi="Times New Roman" w:cs="Times New Roman"/>
          <w:i w:val="0"/>
          <w:color w:val="auto"/>
          <w:lang w:eastAsia="sk-SK"/>
        </w:rPr>
        <w:t>é</w:t>
      </w:r>
      <w:r w:rsidR="00902157" w:rsidRPr="000578FE">
        <w:rPr>
          <w:rFonts w:ascii="Times New Roman" w:eastAsia="Times New Roman" w:hAnsi="Times New Roman" w:cs="Times New Roman"/>
          <w:i w:val="0"/>
          <w:color w:val="auto"/>
          <w:lang w:eastAsia="sk-SK"/>
        </w:rPr>
        <w:t xml:space="preserve"> úspor</w:t>
      </w:r>
      <w:r w:rsidRPr="000578FE">
        <w:rPr>
          <w:rFonts w:ascii="Times New Roman" w:eastAsia="Times New Roman" w:hAnsi="Times New Roman" w:cs="Times New Roman"/>
          <w:i w:val="0"/>
          <w:color w:val="auto"/>
          <w:lang w:eastAsia="sk-SK"/>
        </w:rPr>
        <w:t>y</w:t>
      </w:r>
      <w:r w:rsidR="00902157" w:rsidRPr="000578FE">
        <w:rPr>
          <w:rFonts w:ascii="Times New Roman" w:eastAsia="Times New Roman" w:hAnsi="Times New Roman" w:cs="Times New Roman"/>
          <w:i w:val="0"/>
          <w:color w:val="auto"/>
          <w:lang w:eastAsia="sk-SK"/>
        </w:rPr>
        <w:t xml:space="preserve"> energie počas obdobia povinnosti</w:t>
      </w:r>
      <w:bookmarkEnd w:id="75"/>
    </w:p>
    <w:p w14:paraId="7AA81A7F" w14:textId="77777777" w:rsidR="00902157" w:rsidRPr="009F2998" w:rsidRDefault="00902157" w:rsidP="00902157">
      <w:pPr>
        <w:rPr>
          <w:rFonts w:ascii="Times New Roman" w:hAnsi="Times New Roman" w:cs="Times New Roman"/>
          <w:lang w:eastAsia="sk-SK"/>
        </w:rPr>
      </w:pPr>
    </w:p>
    <w:p w14:paraId="2EA6D149" w14:textId="77777777" w:rsidR="007170F1" w:rsidRPr="000745A8" w:rsidRDefault="007170F1" w:rsidP="007170F1">
      <w:pPr>
        <w:jc w:val="both"/>
        <w:rPr>
          <w:rFonts w:ascii="Times New Roman" w:hAnsi="Times New Roman" w:cs="Times New Roman"/>
          <w:sz w:val="24"/>
          <w:szCs w:val="24"/>
        </w:rPr>
      </w:pPr>
      <w:r w:rsidRPr="000745A8">
        <w:rPr>
          <w:rFonts w:ascii="Times New Roman" w:hAnsi="Times New Roman" w:cs="Times New Roman"/>
          <w:sz w:val="24"/>
          <w:szCs w:val="24"/>
        </w:rPr>
        <w:t>Uplatnenie článku 7 smernice 2012/27/EÚ o energetickej efektívnosti v podmienkach SR znamenalo zaviesť povinnú schému energetickej efektívnosti (ďalej len „povinná schéma“), resp. uplatniť politické opatrenia, ktorých cieľom bude dosiahnutie úspor energie minimálne vo výške, ktorá by sa mala dosiahnuť povinnou schémou. Výška úspor energie sa stanovila z priemeru konečnej energetickej spotreby v rokoch 2010 – 2012, pričom do tejto spotreby energie sa nezapočítala konečná energetická spotreba v doprave. Pre účely článku 7 smernice sa ročná výška cieľa úspor energie stanovila ako 1,5 % z takto vypočítanej hodnoty. Kumulovaný súčet plánovaných úspor energie, vypočítaný v zmysle metodiky EK, bol korigovaný uplatnením odseku 2, pričom táto korekcia nesmela presiahnuť 25 % pôvodnej hodnoty kumulovaného súčtu plánovaných úspor energie.</w:t>
      </w:r>
      <w:r w:rsidRPr="000745A8">
        <w:rPr>
          <w:rStyle w:val="Odkaznapoznmkupodiarou"/>
          <w:rFonts w:ascii="Times New Roman" w:hAnsi="Times New Roman" w:cs="Times New Roman"/>
          <w:sz w:val="24"/>
          <w:szCs w:val="24"/>
        </w:rPr>
        <w:footnoteReference w:id="28"/>
      </w:r>
    </w:p>
    <w:p w14:paraId="5EF26A5C" w14:textId="18411B02" w:rsidR="00AA4C5B" w:rsidRDefault="007170F1" w:rsidP="00AA4C5B">
      <w:pPr>
        <w:jc w:val="both"/>
        <w:rPr>
          <w:rFonts w:ascii="Times New Roman" w:hAnsi="Times New Roman" w:cs="Times New Roman"/>
          <w:sz w:val="24"/>
          <w:szCs w:val="24"/>
        </w:rPr>
      </w:pPr>
      <w:r w:rsidRPr="000745A8">
        <w:rPr>
          <w:rFonts w:ascii="Times New Roman" w:hAnsi="Times New Roman" w:cs="Times New Roman"/>
          <w:sz w:val="24"/>
          <w:szCs w:val="24"/>
        </w:rPr>
        <w:t>Výsledná hodnota kumulovaného cieľa úspor energie pre roky 2014 – 2020 tak bola stanovená vo výške 26 565 GWh. Z toho predstavuje hodnota ročnej úspory energie 948,75 GWh/rok.</w:t>
      </w:r>
      <w:r w:rsidR="00672612" w:rsidRPr="000745A8">
        <w:rPr>
          <w:rFonts w:ascii="Times New Roman" w:hAnsi="Times New Roman" w:cs="Times New Roman"/>
          <w:sz w:val="24"/>
          <w:szCs w:val="24"/>
        </w:rPr>
        <w:t xml:space="preserve"> </w:t>
      </w:r>
    </w:p>
    <w:p w14:paraId="45A20F21" w14:textId="77777777" w:rsidR="00167FF2" w:rsidRDefault="00167FF2" w:rsidP="00AA4C5B">
      <w:pPr>
        <w:jc w:val="both"/>
        <w:rPr>
          <w:rFonts w:ascii="Times New Roman" w:hAnsi="Times New Roman" w:cs="Times New Roman"/>
          <w:sz w:val="24"/>
          <w:szCs w:val="24"/>
        </w:rPr>
      </w:pPr>
    </w:p>
    <w:p w14:paraId="002E0F83" w14:textId="1A983CD0" w:rsidR="00167FF2" w:rsidRPr="000745A8" w:rsidRDefault="00167FF2" w:rsidP="00167FF2">
      <w:pPr>
        <w:jc w:val="both"/>
        <w:rPr>
          <w:rFonts w:ascii="Times New Roman" w:hAnsi="Times New Roman" w:cs="Times New Roman"/>
          <w:sz w:val="24"/>
          <w:szCs w:val="24"/>
        </w:rPr>
      </w:pPr>
      <w:r w:rsidRPr="000745A8">
        <w:rPr>
          <w:rFonts w:ascii="Times New Roman" w:hAnsi="Times New Roman" w:cs="Times New Roman"/>
          <w:sz w:val="24"/>
          <w:szCs w:val="24"/>
        </w:rPr>
        <w:t xml:space="preserve">Ročný cieľ bol v roku 2016 v dôsledku deficitu plnenia ročného cieľa za rok 2014 za účelom dosiahnutia stanoveného kumulatívneho cieľa do roku 2020 zvýšený na hodnotu 959,84 GWh/rok a v roku 2017 na hodnotu </w:t>
      </w:r>
      <w:r w:rsidR="00293EB5" w:rsidRPr="00AF5415">
        <w:rPr>
          <w:rFonts w:ascii="Times New Roman" w:hAnsi="Times New Roman" w:cs="Times New Roman"/>
          <w:b/>
          <w:sz w:val="24"/>
          <w:szCs w:val="24"/>
        </w:rPr>
        <w:t xml:space="preserve">1 </w:t>
      </w:r>
      <w:r w:rsidR="00D9171B">
        <w:rPr>
          <w:rFonts w:ascii="Times New Roman" w:hAnsi="Times New Roman" w:cs="Times New Roman"/>
          <w:b/>
          <w:sz w:val="24"/>
          <w:szCs w:val="24"/>
        </w:rPr>
        <w:t> </w:t>
      </w:r>
      <w:r w:rsidR="007D59F2" w:rsidRPr="00AF5415">
        <w:rPr>
          <w:rFonts w:ascii="Times New Roman" w:hAnsi="Times New Roman" w:cs="Times New Roman"/>
          <w:b/>
          <w:sz w:val="24"/>
          <w:szCs w:val="24"/>
        </w:rPr>
        <w:t>0</w:t>
      </w:r>
      <w:r w:rsidR="007D59F2">
        <w:rPr>
          <w:rFonts w:ascii="Times New Roman" w:hAnsi="Times New Roman" w:cs="Times New Roman"/>
          <w:b/>
          <w:sz w:val="24"/>
          <w:szCs w:val="24"/>
        </w:rPr>
        <w:t>19</w:t>
      </w:r>
      <w:r w:rsidR="00D9171B">
        <w:rPr>
          <w:rFonts w:ascii="Times New Roman" w:hAnsi="Times New Roman" w:cs="Times New Roman"/>
          <w:b/>
          <w:sz w:val="24"/>
          <w:szCs w:val="24"/>
        </w:rPr>
        <w:t>,49</w:t>
      </w:r>
      <w:r w:rsidR="007D59F2" w:rsidRPr="00AF5415">
        <w:rPr>
          <w:rFonts w:ascii="Times New Roman" w:hAnsi="Times New Roman" w:cs="Times New Roman"/>
          <w:b/>
          <w:sz w:val="24"/>
          <w:szCs w:val="24"/>
        </w:rPr>
        <w:t xml:space="preserve"> </w:t>
      </w:r>
      <w:r w:rsidRPr="00AF5415">
        <w:rPr>
          <w:rFonts w:ascii="Times New Roman" w:hAnsi="Times New Roman" w:cs="Times New Roman"/>
          <w:b/>
          <w:sz w:val="24"/>
          <w:szCs w:val="24"/>
        </w:rPr>
        <w:t>GWh/rok</w:t>
      </w:r>
      <w:r w:rsidRPr="000745A8">
        <w:rPr>
          <w:rFonts w:ascii="Times New Roman" w:hAnsi="Times New Roman" w:cs="Times New Roman"/>
          <w:sz w:val="24"/>
          <w:szCs w:val="24"/>
        </w:rPr>
        <w:t xml:space="preserve">. </w:t>
      </w:r>
    </w:p>
    <w:p w14:paraId="64EC96D5" w14:textId="07BFCF1F" w:rsidR="00AA4C5B" w:rsidRPr="000745A8" w:rsidRDefault="00167FF2" w:rsidP="000578FE">
      <w:pPr>
        <w:jc w:val="both"/>
        <w:rPr>
          <w:rFonts w:ascii="Times New Roman" w:hAnsi="Times New Roman" w:cs="Times New Roman"/>
          <w:sz w:val="24"/>
          <w:szCs w:val="24"/>
        </w:rPr>
      </w:pPr>
      <w:r w:rsidRPr="00167FF2">
        <w:rPr>
          <w:rFonts w:ascii="Times New Roman" w:hAnsi="Times New Roman" w:cs="Times New Roman"/>
          <w:sz w:val="24"/>
          <w:szCs w:val="24"/>
        </w:rPr>
        <w:lastRenderedPageBreak/>
        <w:t xml:space="preserve">Tabuľka č. 10: </w:t>
      </w:r>
      <w:r w:rsidRPr="000578FE">
        <w:rPr>
          <w:rFonts w:ascii="Times New Roman" w:hAnsi="Times New Roman" w:cs="Times New Roman"/>
          <w:sz w:val="24"/>
          <w:szCs w:val="24"/>
        </w:rPr>
        <w:t>Stanovenie kumulatívneho cieľa pre účely článku 7 smernice 2012/27/EÚ</w:t>
      </w:r>
    </w:p>
    <w:tbl>
      <w:tblPr>
        <w:tblW w:w="5000" w:type="pct"/>
        <w:tblCellMar>
          <w:left w:w="70" w:type="dxa"/>
          <w:right w:w="70" w:type="dxa"/>
        </w:tblCellMar>
        <w:tblLook w:val="04A0" w:firstRow="1" w:lastRow="0" w:firstColumn="1" w:lastColumn="0" w:noHBand="0" w:noVBand="1"/>
      </w:tblPr>
      <w:tblGrid>
        <w:gridCol w:w="983"/>
        <w:gridCol w:w="989"/>
        <w:gridCol w:w="982"/>
        <w:gridCol w:w="982"/>
        <w:gridCol w:w="982"/>
        <w:gridCol w:w="982"/>
        <w:gridCol w:w="982"/>
        <w:gridCol w:w="982"/>
        <w:gridCol w:w="1198"/>
      </w:tblGrid>
      <w:tr w:rsidR="00631731" w:rsidRPr="009F2998" w14:paraId="10A142AB" w14:textId="77777777" w:rsidTr="000578FE">
        <w:trPr>
          <w:trHeight w:val="610"/>
          <w:tblHeader/>
        </w:trPr>
        <w:tc>
          <w:tcPr>
            <w:tcW w:w="542" w:type="pct"/>
            <w:vMerge w:val="restart"/>
            <w:tcBorders>
              <w:top w:val="single" w:sz="4" w:space="0" w:color="auto"/>
              <w:left w:val="single" w:sz="4" w:space="0" w:color="auto"/>
              <w:right w:val="single" w:sz="4" w:space="0" w:color="auto"/>
            </w:tcBorders>
            <w:shd w:val="pct10" w:color="auto" w:fill="auto"/>
            <w:noWrap/>
            <w:vAlign w:val="center"/>
          </w:tcPr>
          <w:p w14:paraId="14E74495" w14:textId="37730467" w:rsidR="00631731" w:rsidRPr="009F2998" w:rsidRDefault="00631731" w:rsidP="00631731">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Rok</w:t>
            </w:r>
          </w:p>
        </w:tc>
        <w:tc>
          <w:tcPr>
            <w:tcW w:w="3796" w:type="pct"/>
            <w:gridSpan w:val="7"/>
            <w:tcBorders>
              <w:top w:val="single" w:sz="4" w:space="0" w:color="auto"/>
              <w:left w:val="single" w:sz="4" w:space="0" w:color="auto"/>
              <w:right w:val="single" w:sz="4" w:space="0" w:color="auto"/>
            </w:tcBorders>
            <w:shd w:val="pct10" w:color="auto" w:fill="auto"/>
            <w:noWrap/>
            <w:vAlign w:val="center"/>
          </w:tcPr>
          <w:p w14:paraId="073ED6F5" w14:textId="77777777" w:rsidR="00631731" w:rsidRPr="009F2998" w:rsidRDefault="00631731" w:rsidP="00631731">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Kumulácia úspor energie v rokoch 2014-2020 (GWh)</w:t>
            </w:r>
          </w:p>
        </w:tc>
        <w:tc>
          <w:tcPr>
            <w:tcW w:w="662" w:type="pct"/>
            <w:vMerge w:val="restart"/>
            <w:tcBorders>
              <w:top w:val="single" w:sz="4" w:space="0" w:color="auto"/>
              <w:left w:val="single" w:sz="4" w:space="0" w:color="auto"/>
              <w:right w:val="single" w:sz="4" w:space="0" w:color="auto"/>
            </w:tcBorders>
            <w:shd w:val="pct10" w:color="auto" w:fill="auto"/>
            <w:noWrap/>
            <w:vAlign w:val="center"/>
          </w:tcPr>
          <w:p w14:paraId="10C92BC8" w14:textId="084BB6C8" w:rsidR="00631731" w:rsidRPr="009F2998" w:rsidRDefault="00631731" w:rsidP="00631731">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Spolu</w:t>
            </w:r>
          </w:p>
        </w:tc>
      </w:tr>
      <w:tr w:rsidR="00631731" w:rsidRPr="009F2998" w14:paraId="65A21829" w14:textId="77777777" w:rsidTr="000578FE">
        <w:trPr>
          <w:trHeight w:val="300"/>
          <w:tblHeader/>
        </w:trPr>
        <w:tc>
          <w:tcPr>
            <w:tcW w:w="542" w:type="pct"/>
            <w:vMerge/>
            <w:tcBorders>
              <w:left w:val="single" w:sz="4" w:space="0" w:color="auto"/>
              <w:bottom w:val="single" w:sz="4" w:space="0" w:color="auto"/>
              <w:right w:val="single" w:sz="4" w:space="0" w:color="auto"/>
            </w:tcBorders>
            <w:shd w:val="pct10" w:color="auto" w:fill="auto"/>
            <w:vAlign w:val="center"/>
          </w:tcPr>
          <w:p w14:paraId="158757A4" w14:textId="751B6808" w:rsidR="00631731" w:rsidRPr="009F2998" w:rsidRDefault="00631731" w:rsidP="00631731">
            <w:pPr>
              <w:spacing w:after="0" w:line="240" w:lineRule="auto"/>
              <w:jc w:val="center"/>
              <w:rPr>
                <w:rFonts w:ascii="Times New Roman" w:eastAsia="Times New Roman" w:hAnsi="Times New Roman" w:cs="Times New Roman"/>
                <w:color w:val="000000"/>
                <w:lang w:eastAsia="sk-SK"/>
              </w:rPr>
            </w:pPr>
          </w:p>
        </w:tc>
        <w:tc>
          <w:tcPr>
            <w:tcW w:w="545" w:type="pct"/>
            <w:tcBorders>
              <w:top w:val="single" w:sz="4" w:space="0" w:color="auto"/>
              <w:left w:val="single" w:sz="4" w:space="0" w:color="auto"/>
              <w:bottom w:val="single" w:sz="4" w:space="0" w:color="000000"/>
              <w:right w:val="single" w:sz="4" w:space="0" w:color="auto"/>
            </w:tcBorders>
            <w:shd w:val="pct10" w:color="auto" w:fill="auto"/>
            <w:vAlign w:val="center"/>
          </w:tcPr>
          <w:p w14:paraId="0439E6EE" w14:textId="77777777" w:rsidR="00631731" w:rsidRPr="009F2998" w:rsidRDefault="00631731" w:rsidP="00631731">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2014</w:t>
            </w:r>
          </w:p>
        </w:tc>
        <w:tc>
          <w:tcPr>
            <w:tcW w:w="542" w:type="pct"/>
            <w:tcBorders>
              <w:top w:val="single" w:sz="4" w:space="0" w:color="auto"/>
              <w:left w:val="single" w:sz="4" w:space="0" w:color="auto"/>
              <w:bottom w:val="single" w:sz="4" w:space="0" w:color="000000"/>
              <w:right w:val="single" w:sz="4" w:space="0" w:color="auto"/>
            </w:tcBorders>
            <w:shd w:val="pct10" w:color="auto" w:fill="auto"/>
            <w:vAlign w:val="center"/>
          </w:tcPr>
          <w:p w14:paraId="3C5CDC5A" w14:textId="77777777" w:rsidR="00631731" w:rsidRPr="009F2998" w:rsidRDefault="00631731" w:rsidP="00631731">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2015</w:t>
            </w:r>
          </w:p>
        </w:tc>
        <w:tc>
          <w:tcPr>
            <w:tcW w:w="542" w:type="pct"/>
            <w:tcBorders>
              <w:top w:val="single" w:sz="4" w:space="0" w:color="auto"/>
              <w:left w:val="single" w:sz="4" w:space="0" w:color="auto"/>
              <w:bottom w:val="single" w:sz="4" w:space="0" w:color="000000"/>
              <w:right w:val="single" w:sz="4" w:space="0" w:color="auto"/>
            </w:tcBorders>
            <w:shd w:val="pct10" w:color="auto" w:fill="auto"/>
            <w:vAlign w:val="center"/>
          </w:tcPr>
          <w:p w14:paraId="517E42C2" w14:textId="77777777" w:rsidR="00631731" w:rsidRPr="009F2998" w:rsidRDefault="00631731" w:rsidP="00631731">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2016</w:t>
            </w:r>
          </w:p>
        </w:tc>
        <w:tc>
          <w:tcPr>
            <w:tcW w:w="542" w:type="pct"/>
            <w:tcBorders>
              <w:top w:val="single" w:sz="4" w:space="0" w:color="auto"/>
              <w:left w:val="single" w:sz="4" w:space="0" w:color="auto"/>
              <w:bottom w:val="single" w:sz="4" w:space="0" w:color="000000"/>
              <w:right w:val="single" w:sz="4" w:space="0" w:color="auto"/>
            </w:tcBorders>
            <w:shd w:val="pct10" w:color="auto" w:fill="auto"/>
            <w:vAlign w:val="center"/>
          </w:tcPr>
          <w:p w14:paraId="73D3F30D" w14:textId="77777777" w:rsidR="00631731" w:rsidRPr="009F2998" w:rsidRDefault="00631731" w:rsidP="00631731">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2017</w:t>
            </w:r>
          </w:p>
        </w:tc>
        <w:tc>
          <w:tcPr>
            <w:tcW w:w="542" w:type="pct"/>
            <w:tcBorders>
              <w:top w:val="single" w:sz="4" w:space="0" w:color="auto"/>
              <w:left w:val="single" w:sz="4" w:space="0" w:color="auto"/>
              <w:bottom w:val="single" w:sz="4" w:space="0" w:color="000000"/>
              <w:right w:val="single" w:sz="4" w:space="0" w:color="auto"/>
            </w:tcBorders>
            <w:shd w:val="pct10" w:color="auto" w:fill="auto"/>
            <w:vAlign w:val="center"/>
          </w:tcPr>
          <w:p w14:paraId="25202D1D" w14:textId="77777777" w:rsidR="00631731" w:rsidRPr="009F2998" w:rsidRDefault="00631731" w:rsidP="00631731">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2018</w:t>
            </w:r>
          </w:p>
        </w:tc>
        <w:tc>
          <w:tcPr>
            <w:tcW w:w="542" w:type="pct"/>
            <w:tcBorders>
              <w:top w:val="single" w:sz="4" w:space="0" w:color="auto"/>
              <w:left w:val="single" w:sz="4" w:space="0" w:color="auto"/>
              <w:bottom w:val="single" w:sz="4" w:space="0" w:color="000000"/>
              <w:right w:val="single" w:sz="4" w:space="0" w:color="auto"/>
            </w:tcBorders>
            <w:shd w:val="pct10" w:color="auto" w:fill="auto"/>
            <w:vAlign w:val="center"/>
          </w:tcPr>
          <w:p w14:paraId="5E6F80E2" w14:textId="77777777" w:rsidR="00631731" w:rsidRPr="009F2998" w:rsidRDefault="00631731" w:rsidP="00631731">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2019</w:t>
            </w:r>
          </w:p>
        </w:tc>
        <w:tc>
          <w:tcPr>
            <w:tcW w:w="542" w:type="pct"/>
            <w:tcBorders>
              <w:top w:val="single" w:sz="4" w:space="0" w:color="auto"/>
              <w:left w:val="single" w:sz="4" w:space="0" w:color="auto"/>
              <w:bottom w:val="single" w:sz="4" w:space="0" w:color="000000"/>
              <w:right w:val="single" w:sz="4" w:space="0" w:color="auto"/>
            </w:tcBorders>
            <w:shd w:val="pct10" w:color="auto" w:fill="auto"/>
            <w:vAlign w:val="center"/>
          </w:tcPr>
          <w:p w14:paraId="76B045A6" w14:textId="77777777" w:rsidR="00631731" w:rsidRPr="009F2998" w:rsidRDefault="00631731" w:rsidP="00631731">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2020</w:t>
            </w:r>
          </w:p>
        </w:tc>
        <w:tc>
          <w:tcPr>
            <w:tcW w:w="662" w:type="pct"/>
            <w:vMerge/>
            <w:tcBorders>
              <w:left w:val="single" w:sz="4" w:space="0" w:color="auto"/>
              <w:bottom w:val="single" w:sz="4" w:space="0" w:color="000000"/>
              <w:right w:val="single" w:sz="4" w:space="0" w:color="auto"/>
            </w:tcBorders>
            <w:shd w:val="pct10" w:color="auto" w:fill="auto"/>
            <w:vAlign w:val="center"/>
          </w:tcPr>
          <w:p w14:paraId="636CF28E" w14:textId="428BCD31" w:rsidR="00631731" w:rsidRPr="009F2998" w:rsidRDefault="00631731" w:rsidP="00631731">
            <w:pPr>
              <w:spacing w:after="0" w:line="240" w:lineRule="auto"/>
              <w:jc w:val="center"/>
              <w:rPr>
                <w:rFonts w:ascii="Times New Roman" w:eastAsia="Times New Roman" w:hAnsi="Times New Roman" w:cs="Times New Roman"/>
                <w:color w:val="000000"/>
                <w:lang w:eastAsia="sk-SK"/>
              </w:rPr>
            </w:pPr>
          </w:p>
        </w:tc>
      </w:tr>
      <w:tr w:rsidR="007170F1" w:rsidRPr="009F2998" w14:paraId="1C0FDCDE" w14:textId="77777777" w:rsidTr="000578FE">
        <w:trPr>
          <w:trHeight w:val="300"/>
        </w:trPr>
        <w:tc>
          <w:tcPr>
            <w:tcW w:w="542" w:type="pct"/>
            <w:tcBorders>
              <w:top w:val="nil"/>
              <w:left w:val="single" w:sz="4" w:space="0" w:color="auto"/>
              <w:bottom w:val="single" w:sz="4" w:space="0" w:color="auto"/>
              <w:right w:val="single" w:sz="4" w:space="0" w:color="auto"/>
            </w:tcBorders>
            <w:shd w:val="clear" w:color="auto" w:fill="auto"/>
            <w:noWrap/>
            <w:vAlign w:val="center"/>
            <w:hideMark/>
          </w:tcPr>
          <w:p w14:paraId="1685D049" w14:textId="77777777" w:rsidR="007170F1" w:rsidRPr="009F2998" w:rsidRDefault="007170F1" w:rsidP="00631731">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2014</w:t>
            </w:r>
          </w:p>
        </w:tc>
        <w:tc>
          <w:tcPr>
            <w:tcW w:w="545" w:type="pct"/>
            <w:tcBorders>
              <w:top w:val="nil"/>
              <w:left w:val="nil"/>
              <w:bottom w:val="single" w:sz="4" w:space="0" w:color="auto"/>
              <w:right w:val="single" w:sz="4" w:space="0" w:color="auto"/>
            </w:tcBorders>
            <w:shd w:val="clear" w:color="auto" w:fill="auto"/>
            <w:noWrap/>
            <w:vAlign w:val="center"/>
            <w:hideMark/>
          </w:tcPr>
          <w:p w14:paraId="26944FDF"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22C8DF34"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542" w:type="pct"/>
            <w:tcBorders>
              <w:top w:val="nil"/>
              <w:left w:val="nil"/>
              <w:bottom w:val="single" w:sz="4" w:space="0" w:color="auto"/>
              <w:right w:val="single" w:sz="4" w:space="0" w:color="auto"/>
            </w:tcBorders>
            <w:shd w:val="clear" w:color="auto" w:fill="auto"/>
            <w:noWrap/>
            <w:vAlign w:val="center"/>
            <w:hideMark/>
          </w:tcPr>
          <w:p w14:paraId="0F27826B"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542" w:type="pct"/>
            <w:tcBorders>
              <w:top w:val="nil"/>
              <w:left w:val="nil"/>
              <w:bottom w:val="single" w:sz="4" w:space="0" w:color="auto"/>
              <w:right w:val="single" w:sz="4" w:space="0" w:color="auto"/>
            </w:tcBorders>
            <w:shd w:val="clear" w:color="auto" w:fill="auto"/>
            <w:noWrap/>
            <w:vAlign w:val="center"/>
            <w:hideMark/>
          </w:tcPr>
          <w:p w14:paraId="79C30302"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542" w:type="pct"/>
            <w:tcBorders>
              <w:top w:val="nil"/>
              <w:left w:val="nil"/>
              <w:bottom w:val="single" w:sz="4" w:space="0" w:color="auto"/>
              <w:right w:val="single" w:sz="4" w:space="0" w:color="auto"/>
            </w:tcBorders>
            <w:shd w:val="clear" w:color="auto" w:fill="auto"/>
            <w:noWrap/>
            <w:vAlign w:val="center"/>
            <w:hideMark/>
          </w:tcPr>
          <w:p w14:paraId="49575026"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542" w:type="pct"/>
            <w:tcBorders>
              <w:top w:val="nil"/>
              <w:left w:val="nil"/>
              <w:bottom w:val="single" w:sz="4" w:space="0" w:color="auto"/>
              <w:right w:val="single" w:sz="4" w:space="0" w:color="auto"/>
            </w:tcBorders>
            <w:shd w:val="clear" w:color="auto" w:fill="auto"/>
            <w:noWrap/>
            <w:vAlign w:val="center"/>
            <w:hideMark/>
          </w:tcPr>
          <w:p w14:paraId="35AA955A"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542" w:type="pct"/>
            <w:tcBorders>
              <w:top w:val="nil"/>
              <w:left w:val="nil"/>
              <w:bottom w:val="single" w:sz="4" w:space="0" w:color="auto"/>
              <w:right w:val="single" w:sz="4" w:space="0" w:color="auto"/>
            </w:tcBorders>
            <w:shd w:val="clear" w:color="auto" w:fill="auto"/>
            <w:noWrap/>
            <w:vAlign w:val="center"/>
            <w:hideMark/>
          </w:tcPr>
          <w:p w14:paraId="6C306579"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662" w:type="pct"/>
            <w:tcBorders>
              <w:top w:val="nil"/>
              <w:left w:val="nil"/>
              <w:bottom w:val="single" w:sz="4" w:space="0" w:color="auto"/>
              <w:right w:val="single" w:sz="4" w:space="0" w:color="auto"/>
            </w:tcBorders>
            <w:shd w:val="clear" w:color="auto" w:fill="auto"/>
            <w:noWrap/>
            <w:vAlign w:val="center"/>
            <w:hideMark/>
          </w:tcPr>
          <w:p w14:paraId="17B1D39D"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r>
      <w:tr w:rsidR="007170F1" w:rsidRPr="009F2998" w14:paraId="3670B3E0" w14:textId="77777777" w:rsidTr="000578FE">
        <w:trPr>
          <w:trHeight w:val="300"/>
        </w:trPr>
        <w:tc>
          <w:tcPr>
            <w:tcW w:w="542" w:type="pct"/>
            <w:tcBorders>
              <w:top w:val="nil"/>
              <w:left w:val="single" w:sz="4" w:space="0" w:color="auto"/>
              <w:bottom w:val="single" w:sz="4" w:space="0" w:color="auto"/>
              <w:right w:val="single" w:sz="4" w:space="0" w:color="auto"/>
            </w:tcBorders>
            <w:shd w:val="clear" w:color="auto" w:fill="auto"/>
            <w:noWrap/>
            <w:vAlign w:val="center"/>
            <w:hideMark/>
          </w:tcPr>
          <w:p w14:paraId="2798F848" w14:textId="77777777" w:rsidR="007170F1" w:rsidRPr="009F2998" w:rsidRDefault="007170F1" w:rsidP="00631731">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2015</w:t>
            </w:r>
          </w:p>
        </w:tc>
        <w:tc>
          <w:tcPr>
            <w:tcW w:w="545" w:type="pct"/>
            <w:tcBorders>
              <w:top w:val="nil"/>
              <w:left w:val="nil"/>
              <w:bottom w:val="single" w:sz="4" w:space="0" w:color="auto"/>
              <w:right w:val="single" w:sz="4" w:space="0" w:color="auto"/>
            </w:tcBorders>
            <w:shd w:val="clear" w:color="auto" w:fill="auto"/>
            <w:noWrap/>
            <w:vAlign w:val="center"/>
            <w:hideMark/>
          </w:tcPr>
          <w:p w14:paraId="3279AE82"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01288E97"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0BF2F6C6"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542" w:type="pct"/>
            <w:tcBorders>
              <w:top w:val="nil"/>
              <w:left w:val="nil"/>
              <w:bottom w:val="single" w:sz="4" w:space="0" w:color="auto"/>
              <w:right w:val="single" w:sz="4" w:space="0" w:color="auto"/>
            </w:tcBorders>
            <w:shd w:val="clear" w:color="auto" w:fill="auto"/>
            <w:noWrap/>
            <w:vAlign w:val="center"/>
            <w:hideMark/>
          </w:tcPr>
          <w:p w14:paraId="02F1BB16"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542" w:type="pct"/>
            <w:tcBorders>
              <w:top w:val="nil"/>
              <w:left w:val="nil"/>
              <w:bottom w:val="single" w:sz="4" w:space="0" w:color="auto"/>
              <w:right w:val="single" w:sz="4" w:space="0" w:color="auto"/>
            </w:tcBorders>
            <w:shd w:val="clear" w:color="auto" w:fill="auto"/>
            <w:noWrap/>
            <w:vAlign w:val="center"/>
            <w:hideMark/>
          </w:tcPr>
          <w:p w14:paraId="0EA2FFF8"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542" w:type="pct"/>
            <w:tcBorders>
              <w:top w:val="nil"/>
              <w:left w:val="nil"/>
              <w:bottom w:val="single" w:sz="4" w:space="0" w:color="auto"/>
              <w:right w:val="single" w:sz="4" w:space="0" w:color="auto"/>
            </w:tcBorders>
            <w:shd w:val="clear" w:color="auto" w:fill="auto"/>
            <w:noWrap/>
            <w:vAlign w:val="center"/>
            <w:hideMark/>
          </w:tcPr>
          <w:p w14:paraId="1E427513"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542" w:type="pct"/>
            <w:tcBorders>
              <w:top w:val="nil"/>
              <w:left w:val="nil"/>
              <w:bottom w:val="single" w:sz="4" w:space="0" w:color="auto"/>
              <w:right w:val="single" w:sz="4" w:space="0" w:color="auto"/>
            </w:tcBorders>
            <w:shd w:val="clear" w:color="auto" w:fill="auto"/>
            <w:noWrap/>
            <w:vAlign w:val="center"/>
            <w:hideMark/>
          </w:tcPr>
          <w:p w14:paraId="76920D90"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662" w:type="pct"/>
            <w:tcBorders>
              <w:top w:val="nil"/>
              <w:left w:val="nil"/>
              <w:bottom w:val="single" w:sz="4" w:space="0" w:color="auto"/>
              <w:right w:val="single" w:sz="4" w:space="0" w:color="auto"/>
            </w:tcBorders>
            <w:shd w:val="clear" w:color="auto" w:fill="auto"/>
            <w:noWrap/>
            <w:vAlign w:val="center"/>
            <w:hideMark/>
          </w:tcPr>
          <w:p w14:paraId="5C1F4396"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1 897,50</w:t>
            </w:r>
          </w:p>
        </w:tc>
      </w:tr>
      <w:tr w:rsidR="007170F1" w:rsidRPr="009F2998" w14:paraId="15D0E267" w14:textId="77777777" w:rsidTr="000578FE">
        <w:trPr>
          <w:trHeight w:val="300"/>
        </w:trPr>
        <w:tc>
          <w:tcPr>
            <w:tcW w:w="542" w:type="pct"/>
            <w:tcBorders>
              <w:top w:val="nil"/>
              <w:left w:val="single" w:sz="4" w:space="0" w:color="auto"/>
              <w:bottom w:val="single" w:sz="4" w:space="0" w:color="auto"/>
              <w:right w:val="single" w:sz="4" w:space="0" w:color="auto"/>
            </w:tcBorders>
            <w:shd w:val="clear" w:color="auto" w:fill="auto"/>
            <w:noWrap/>
            <w:vAlign w:val="center"/>
            <w:hideMark/>
          </w:tcPr>
          <w:p w14:paraId="1CB15ECF" w14:textId="77777777" w:rsidR="007170F1" w:rsidRPr="009F2998" w:rsidRDefault="007170F1" w:rsidP="00631731">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2016</w:t>
            </w:r>
          </w:p>
        </w:tc>
        <w:tc>
          <w:tcPr>
            <w:tcW w:w="545" w:type="pct"/>
            <w:tcBorders>
              <w:top w:val="nil"/>
              <w:left w:val="nil"/>
              <w:bottom w:val="single" w:sz="4" w:space="0" w:color="auto"/>
              <w:right w:val="single" w:sz="4" w:space="0" w:color="auto"/>
            </w:tcBorders>
            <w:shd w:val="clear" w:color="auto" w:fill="auto"/>
            <w:noWrap/>
            <w:vAlign w:val="center"/>
            <w:hideMark/>
          </w:tcPr>
          <w:p w14:paraId="5B8EFB25"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1745B361"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67FF4A28"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47CCCA08"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542" w:type="pct"/>
            <w:tcBorders>
              <w:top w:val="nil"/>
              <w:left w:val="nil"/>
              <w:bottom w:val="single" w:sz="4" w:space="0" w:color="auto"/>
              <w:right w:val="single" w:sz="4" w:space="0" w:color="auto"/>
            </w:tcBorders>
            <w:shd w:val="clear" w:color="auto" w:fill="auto"/>
            <w:noWrap/>
            <w:vAlign w:val="center"/>
            <w:hideMark/>
          </w:tcPr>
          <w:p w14:paraId="166F6528"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542" w:type="pct"/>
            <w:tcBorders>
              <w:top w:val="nil"/>
              <w:left w:val="nil"/>
              <w:bottom w:val="single" w:sz="4" w:space="0" w:color="auto"/>
              <w:right w:val="single" w:sz="4" w:space="0" w:color="auto"/>
            </w:tcBorders>
            <w:shd w:val="clear" w:color="auto" w:fill="auto"/>
            <w:noWrap/>
            <w:vAlign w:val="center"/>
            <w:hideMark/>
          </w:tcPr>
          <w:p w14:paraId="4A88779D"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542" w:type="pct"/>
            <w:tcBorders>
              <w:top w:val="nil"/>
              <w:left w:val="nil"/>
              <w:bottom w:val="single" w:sz="4" w:space="0" w:color="auto"/>
              <w:right w:val="single" w:sz="4" w:space="0" w:color="auto"/>
            </w:tcBorders>
            <w:shd w:val="clear" w:color="auto" w:fill="auto"/>
            <w:noWrap/>
            <w:vAlign w:val="center"/>
            <w:hideMark/>
          </w:tcPr>
          <w:p w14:paraId="706191D5"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662" w:type="pct"/>
            <w:tcBorders>
              <w:top w:val="nil"/>
              <w:left w:val="nil"/>
              <w:bottom w:val="single" w:sz="4" w:space="0" w:color="auto"/>
              <w:right w:val="single" w:sz="4" w:space="0" w:color="auto"/>
            </w:tcBorders>
            <w:shd w:val="clear" w:color="auto" w:fill="auto"/>
            <w:noWrap/>
            <w:vAlign w:val="center"/>
            <w:hideMark/>
          </w:tcPr>
          <w:p w14:paraId="6A248360"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2 846,25</w:t>
            </w:r>
          </w:p>
        </w:tc>
      </w:tr>
      <w:tr w:rsidR="007170F1" w:rsidRPr="009F2998" w14:paraId="1B12E4F6" w14:textId="77777777" w:rsidTr="000578FE">
        <w:trPr>
          <w:trHeight w:val="300"/>
        </w:trPr>
        <w:tc>
          <w:tcPr>
            <w:tcW w:w="542" w:type="pct"/>
            <w:tcBorders>
              <w:top w:val="nil"/>
              <w:left w:val="single" w:sz="4" w:space="0" w:color="auto"/>
              <w:bottom w:val="single" w:sz="4" w:space="0" w:color="auto"/>
              <w:right w:val="single" w:sz="4" w:space="0" w:color="auto"/>
            </w:tcBorders>
            <w:shd w:val="clear" w:color="auto" w:fill="auto"/>
            <w:noWrap/>
            <w:vAlign w:val="center"/>
            <w:hideMark/>
          </w:tcPr>
          <w:p w14:paraId="098A4BCF" w14:textId="77777777" w:rsidR="007170F1" w:rsidRPr="009F2998" w:rsidRDefault="007170F1" w:rsidP="00631731">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2017</w:t>
            </w:r>
          </w:p>
        </w:tc>
        <w:tc>
          <w:tcPr>
            <w:tcW w:w="545" w:type="pct"/>
            <w:tcBorders>
              <w:top w:val="nil"/>
              <w:left w:val="nil"/>
              <w:bottom w:val="single" w:sz="4" w:space="0" w:color="auto"/>
              <w:right w:val="single" w:sz="4" w:space="0" w:color="auto"/>
            </w:tcBorders>
            <w:shd w:val="clear" w:color="auto" w:fill="auto"/>
            <w:noWrap/>
            <w:vAlign w:val="center"/>
            <w:hideMark/>
          </w:tcPr>
          <w:p w14:paraId="198AF521"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02EABDEC"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0284AC6D"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36D79317"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07329A64"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542" w:type="pct"/>
            <w:tcBorders>
              <w:top w:val="nil"/>
              <w:left w:val="nil"/>
              <w:bottom w:val="single" w:sz="4" w:space="0" w:color="auto"/>
              <w:right w:val="single" w:sz="4" w:space="0" w:color="auto"/>
            </w:tcBorders>
            <w:shd w:val="clear" w:color="auto" w:fill="auto"/>
            <w:noWrap/>
            <w:vAlign w:val="center"/>
            <w:hideMark/>
          </w:tcPr>
          <w:p w14:paraId="3B59B3A3"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542" w:type="pct"/>
            <w:tcBorders>
              <w:top w:val="nil"/>
              <w:left w:val="nil"/>
              <w:bottom w:val="single" w:sz="4" w:space="0" w:color="auto"/>
              <w:right w:val="single" w:sz="4" w:space="0" w:color="auto"/>
            </w:tcBorders>
            <w:shd w:val="clear" w:color="auto" w:fill="auto"/>
            <w:noWrap/>
            <w:vAlign w:val="center"/>
            <w:hideMark/>
          </w:tcPr>
          <w:p w14:paraId="7B4D4EBA"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662" w:type="pct"/>
            <w:tcBorders>
              <w:top w:val="nil"/>
              <w:left w:val="nil"/>
              <w:bottom w:val="single" w:sz="4" w:space="0" w:color="auto"/>
              <w:right w:val="single" w:sz="4" w:space="0" w:color="auto"/>
            </w:tcBorders>
            <w:shd w:val="clear" w:color="auto" w:fill="auto"/>
            <w:noWrap/>
            <w:vAlign w:val="center"/>
            <w:hideMark/>
          </w:tcPr>
          <w:p w14:paraId="5FD21F98"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3 795,00</w:t>
            </w:r>
          </w:p>
        </w:tc>
      </w:tr>
      <w:tr w:rsidR="007170F1" w:rsidRPr="009F2998" w14:paraId="65047D67" w14:textId="77777777" w:rsidTr="000578FE">
        <w:trPr>
          <w:trHeight w:val="300"/>
        </w:trPr>
        <w:tc>
          <w:tcPr>
            <w:tcW w:w="542" w:type="pct"/>
            <w:tcBorders>
              <w:top w:val="nil"/>
              <w:left w:val="single" w:sz="4" w:space="0" w:color="auto"/>
              <w:bottom w:val="single" w:sz="4" w:space="0" w:color="auto"/>
              <w:right w:val="single" w:sz="4" w:space="0" w:color="auto"/>
            </w:tcBorders>
            <w:shd w:val="clear" w:color="auto" w:fill="auto"/>
            <w:noWrap/>
            <w:vAlign w:val="center"/>
            <w:hideMark/>
          </w:tcPr>
          <w:p w14:paraId="3EE66392" w14:textId="77777777" w:rsidR="007170F1" w:rsidRPr="009F2998" w:rsidRDefault="007170F1" w:rsidP="00631731">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2018</w:t>
            </w:r>
          </w:p>
        </w:tc>
        <w:tc>
          <w:tcPr>
            <w:tcW w:w="545" w:type="pct"/>
            <w:tcBorders>
              <w:top w:val="nil"/>
              <w:left w:val="nil"/>
              <w:bottom w:val="single" w:sz="4" w:space="0" w:color="auto"/>
              <w:right w:val="single" w:sz="4" w:space="0" w:color="auto"/>
            </w:tcBorders>
            <w:shd w:val="clear" w:color="auto" w:fill="auto"/>
            <w:noWrap/>
            <w:vAlign w:val="center"/>
            <w:hideMark/>
          </w:tcPr>
          <w:p w14:paraId="2786A657"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73A82A53"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156CA060"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03513DD9"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5EBE5F6F"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4860089B"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542" w:type="pct"/>
            <w:tcBorders>
              <w:top w:val="nil"/>
              <w:left w:val="nil"/>
              <w:bottom w:val="single" w:sz="4" w:space="0" w:color="auto"/>
              <w:right w:val="single" w:sz="4" w:space="0" w:color="auto"/>
            </w:tcBorders>
            <w:shd w:val="clear" w:color="auto" w:fill="auto"/>
            <w:noWrap/>
            <w:vAlign w:val="center"/>
            <w:hideMark/>
          </w:tcPr>
          <w:p w14:paraId="273706A4"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662" w:type="pct"/>
            <w:tcBorders>
              <w:top w:val="nil"/>
              <w:left w:val="nil"/>
              <w:bottom w:val="single" w:sz="4" w:space="0" w:color="auto"/>
              <w:right w:val="single" w:sz="4" w:space="0" w:color="auto"/>
            </w:tcBorders>
            <w:shd w:val="clear" w:color="auto" w:fill="auto"/>
            <w:noWrap/>
            <w:vAlign w:val="center"/>
            <w:hideMark/>
          </w:tcPr>
          <w:p w14:paraId="05067D60"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4 743,75</w:t>
            </w:r>
          </w:p>
        </w:tc>
      </w:tr>
      <w:tr w:rsidR="007170F1" w:rsidRPr="009F2998" w14:paraId="53A69783" w14:textId="77777777" w:rsidTr="000578FE">
        <w:trPr>
          <w:trHeight w:val="300"/>
        </w:trPr>
        <w:tc>
          <w:tcPr>
            <w:tcW w:w="542" w:type="pct"/>
            <w:tcBorders>
              <w:top w:val="nil"/>
              <w:left w:val="single" w:sz="4" w:space="0" w:color="auto"/>
              <w:bottom w:val="single" w:sz="4" w:space="0" w:color="auto"/>
              <w:right w:val="single" w:sz="4" w:space="0" w:color="auto"/>
            </w:tcBorders>
            <w:shd w:val="clear" w:color="auto" w:fill="auto"/>
            <w:noWrap/>
            <w:vAlign w:val="center"/>
            <w:hideMark/>
          </w:tcPr>
          <w:p w14:paraId="784BB4BA" w14:textId="77777777" w:rsidR="007170F1" w:rsidRPr="009F2998" w:rsidRDefault="007170F1" w:rsidP="00631731">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2019</w:t>
            </w:r>
          </w:p>
        </w:tc>
        <w:tc>
          <w:tcPr>
            <w:tcW w:w="545" w:type="pct"/>
            <w:tcBorders>
              <w:top w:val="nil"/>
              <w:left w:val="nil"/>
              <w:bottom w:val="single" w:sz="4" w:space="0" w:color="auto"/>
              <w:right w:val="single" w:sz="4" w:space="0" w:color="auto"/>
            </w:tcBorders>
            <w:shd w:val="clear" w:color="auto" w:fill="auto"/>
            <w:noWrap/>
            <w:vAlign w:val="center"/>
            <w:hideMark/>
          </w:tcPr>
          <w:p w14:paraId="0B613B62"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2C2FE32A"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442A7D74"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2D1B91A6"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15AF6439"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04A4AD29"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3C93B830"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w:t>
            </w:r>
          </w:p>
        </w:tc>
        <w:tc>
          <w:tcPr>
            <w:tcW w:w="662" w:type="pct"/>
            <w:tcBorders>
              <w:top w:val="nil"/>
              <w:left w:val="nil"/>
              <w:bottom w:val="single" w:sz="4" w:space="0" w:color="auto"/>
              <w:right w:val="single" w:sz="4" w:space="0" w:color="auto"/>
            </w:tcBorders>
            <w:shd w:val="clear" w:color="auto" w:fill="auto"/>
            <w:noWrap/>
            <w:vAlign w:val="center"/>
            <w:hideMark/>
          </w:tcPr>
          <w:p w14:paraId="0A0DEF6B"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5 692,50</w:t>
            </w:r>
          </w:p>
        </w:tc>
      </w:tr>
      <w:tr w:rsidR="007170F1" w:rsidRPr="009F2998" w14:paraId="27998F22" w14:textId="77777777" w:rsidTr="000578FE">
        <w:trPr>
          <w:trHeight w:val="300"/>
        </w:trPr>
        <w:tc>
          <w:tcPr>
            <w:tcW w:w="542" w:type="pct"/>
            <w:tcBorders>
              <w:top w:val="nil"/>
              <w:left w:val="single" w:sz="4" w:space="0" w:color="auto"/>
              <w:bottom w:val="single" w:sz="4" w:space="0" w:color="auto"/>
              <w:right w:val="single" w:sz="4" w:space="0" w:color="auto"/>
            </w:tcBorders>
            <w:shd w:val="clear" w:color="auto" w:fill="auto"/>
            <w:noWrap/>
            <w:vAlign w:val="center"/>
            <w:hideMark/>
          </w:tcPr>
          <w:p w14:paraId="390F6CE8" w14:textId="77777777" w:rsidR="007170F1" w:rsidRPr="009F2998" w:rsidRDefault="007170F1" w:rsidP="00631731">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2020</w:t>
            </w:r>
          </w:p>
        </w:tc>
        <w:tc>
          <w:tcPr>
            <w:tcW w:w="545" w:type="pct"/>
            <w:tcBorders>
              <w:top w:val="nil"/>
              <w:left w:val="nil"/>
              <w:bottom w:val="single" w:sz="4" w:space="0" w:color="auto"/>
              <w:right w:val="single" w:sz="4" w:space="0" w:color="auto"/>
            </w:tcBorders>
            <w:shd w:val="clear" w:color="auto" w:fill="auto"/>
            <w:noWrap/>
            <w:vAlign w:val="center"/>
            <w:hideMark/>
          </w:tcPr>
          <w:p w14:paraId="1FD1E4D6"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5244B670"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3117D894"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7ADC8333"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78A228C5"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0003077B"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542" w:type="pct"/>
            <w:tcBorders>
              <w:top w:val="nil"/>
              <w:left w:val="nil"/>
              <w:bottom w:val="single" w:sz="4" w:space="0" w:color="auto"/>
              <w:right w:val="single" w:sz="4" w:space="0" w:color="auto"/>
            </w:tcBorders>
            <w:shd w:val="clear" w:color="auto" w:fill="auto"/>
            <w:noWrap/>
            <w:vAlign w:val="center"/>
            <w:hideMark/>
          </w:tcPr>
          <w:p w14:paraId="0F429B2E"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662" w:type="pct"/>
            <w:tcBorders>
              <w:top w:val="nil"/>
              <w:left w:val="nil"/>
              <w:bottom w:val="single" w:sz="4" w:space="0" w:color="auto"/>
              <w:right w:val="single" w:sz="4" w:space="0" w:color="auto"/>
            </w:tcBorders>
            <w:shd w:val="clear" w:color="auto" w:fill="auto"/>
            <w:noWrap/>
            <w:vAlign w:val="center"/>
            <w:hideMark/>
          </w:tcPr>
          <w:p w14:paraId="0947EE9C"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6 641,25</w:t>
            </w:r>
          </w:p>
        </w:tc>
      </w:tr>
      <w:tr w:rsidR="007170F1" w:rsidRPr="009F2998" w14:paraId="55EA1F12" w14:textId="77777777" w:rsidTr="000578FE">
        <w:trPr>
          <w:trHeight w:val="300"/>
        </w:trPr>
        <w:tc>
          <w:tcPr>
            <w:tcW w:w="542" w:type="pct"/>
            <w:tcBorders>
              <w:top w:val="nil"/>
              <w:left w:val="single" w:sz="4" w:space="0" w:color="auto"/>
              <w:bottom w:val="single" w:sz="6" w:space="0" w:color="auto"/>
              <w:right w:val="single" w:sz="4" w:space="0" w:color="auto"/>
            </w:tcBorders>
            <w:shd w:val="clear" w:color="auto" w:fill="auto"/>
            <w:noWrap/>
            <w:vAlign w:val="center"/>
            <w:hideMark/>
          </w:tcPr>
          <w:p w14:paraId="4914CCE0" w14:textId="77777777" w:rsidR="007170F1" w:rsidRPr="009F2998" w:rsidRDefault="007170F1" w:rsidP="00631731">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Σ</w:t>
            </w:r>
          </w:p>
        </w:tc>
        <w:tc>
          <w:tcPr>
            <w:tcW w:w="545" w:type="pct"/>
            <w:tcBorders>
              <w:top w:val="nil"/>
              <w:left w:val="nil"/>
              <w:bottom w:val="single" w:sz="6" w:space="0" w:color="auto"/>
              <w:right w:val="single" w:sz="4" w:space="0" w:color="auto"/>
            </w:tcBorders>
            <w:shd w:val="clear" w:color="auto" w:fill="auto"/>
            <w:noWrap/>
            <w:vAlign w:val="center"/>
            <w:hideMark/>
          </w:tcPr>
          <w:p w14:paraId="3E049470"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6 641,25</w:t>
            </w:r>
          </w:p>
        </w:tc>
        <w:tc>
          <w:tcPr>
            <w:tcW w:w="542" w:type="pct"/>
            <w:tcBorders>
              <w:top w:val="nil"/>
              <w:left w:val="nil"/>
              <w:bottom w:val="single" w:sz="6" w:space="0" w:color="auto"/>
              <w:right w:val="single" w:sz="4" w:space="0" w:color="auto"/>
            </w:tcBorders>
            <w:shd w:val="clear" w:color="auto" w:fill="auto"/>
            <w:noWrap/>
            <w:vAlign w:val="center"/>
            <w:hideMark/>
          </w:tcPr>
          <w:p w14:paraId="50BF73CA"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5 692,50</w:t>
            </w:r>
          </w:p>
        </w:tc>
        <w:tc>
          <w:tcPr>
            <w:tcW w:w="542" w:type="pct"/>
            <w:tcBorders>
              <w:top w:val="nil"/>
              <w:left w:val="nil"/>
              <w:bottom w:val="single" w:sz="6" w:space="0" w:color="auto"/>
              <w:right w:val="single" w:sz="4" w:space="0" w:color="auto"/>
            </w:tcBorders>
            <w:shd w:val="clear" w:color="auto" w:fill="auto"/>
            <w:noWrap/>
            <w:vAlign w:val="center"/>
            <w:hideMark/>
          </w:tcPr>
          <w:p w14:paraId="5BC9E3D3"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4 743,75</w:t>
            </w:r>
          </w:p>
        </w:tc>
        <w:tc>
          <w:tcPr>
            <w:tcW w:w="542" w:type="pct"/>
            <w:tcBorders>
              <w:top w:val="nil"/>
              <w:left w:val="nil"/>
              <w:bottom w:val="single" w:sz="6" w:space="0" w:color="auto"/>
              <w:right w:val="single" w:sz="4" w:space="0" w:color="auto"/>
            </w:tcBorders>
            <w:shd w:val="clear" w:color="auto" w:fill="auto"/>
            <w:noWrap/>
            <w:vAlign w:val="center"/>
            <w:hideMark/>
          </w:tcPr>
          <w:p w14:paraId="6B35EE84"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3 795,00</w:t>
            </w:r>
          </w:p>
        </w:tc>
        <w:tc>
          <w:tcPr>
            <w:tcW w:w="542" w:type="pct"/>
            <w:tcBorders>
              <w:top w:val="nil"/>
              <w:left w:val="nil"/>
              <w:bottom w:val="single" w:sz="6" w:space="0" w:color="auto"/>
              <w:right w:val="single" w:sz="4" w:space="0" w:color="auto"/>
            </w:tcBorders>
            <w:shd w:val="clear" w:color="auto" w:fill="auto"/>
            <w:noWrap/>
            <w:vAlign w:val="center"/>
            <w:hideMark/>
          </w:tcPr>
          <w:p w14:paraId="0F0C2821"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2 846,25</w:t>
            </w:r>
          </w:p>
        </w:tc>
        <w:tc>
          <w:tcPr>
            <w:tcW w:w="542" w:type="pct"/>
            <w:tcBorders>
              <w:top w:val="nil"/>
              <w:left w:val="nil"/>
              <w:bottom w:val="single" w:sz="6" w:space="0" w:color="auto"/>
              <w:right w:val="single" w:sz="4" w:space="0" w:color="auto"/>
            </w:tcBorders>
            <w:shd w:val="clear" w:color="auto" w:fill="auto"/>
            <w:noWrap/>
            <w:vAlign w:val="center"/>
            <w:hideMark/>
          </w:tcPr>
          <w:p w14:paraId="606C3C4C"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1 897,50</w:t>
            </w:r>
          </w:p>
        </w:tc>
        <w:tc>
          <w:tcPr>
            <w:tcW w:w="542" w:type="pct"/>
            <w:tcBorders>
              <w:top w:val="nil"/>
              <w:left w:val="nil"/>
              <w:bottom w:val="single" w:sz="6" w:space="0" w:color="auto"/>
              <w:right w:val="single" w:sz="4" w:space="0" w:color="auto"/>
            </w:tcBorders>
            <w:shd w:val="clear" w:color="auto" w:fill="auto"/>
            <w:noWrap/>
            <w:vAlign w:val="center"/>
            <w:hideMark/>
          </w:tcPr>
          <w:p w14:paraId="3352264C"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948,75</w:t>
            </w:r>
          </w:p>
        </w:tc>
        <w:tc>
          <w:tcPr>
            <w:tcW w:w="662" w:type="pct"/>
            <w:tcBorders>
              <w:top w:val="nil"/>
              <w:left w:val="nil"/>
              <w:bottom w:val="single" w:sz="6" w:space="0" w:color="auto"/>
              <w:right w:val="single" w:sz="4" w:space="0" w:color="auto"/>
            </w:tcBorders>
            <w:shd w:val="clear" w:color="auto" w:fill="auto"/>
            <w:noWrap/>
            <w:vAlign w:val="center"/>
            <w:hideMark/>
          </w:tcPr>
          <w:p w14:paraId="719400A8" w14:textId="77777777" w:rsidR="007170F1" w:rsidRPr="009F2998" w:rsidRDefault="007170F1" w:rsidP="00631731">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26 565,00</w:t>
            </w:r>
          </w:p>
        </w:tc>
      </w:tr>
      <w:tr w:rsidR="00AA4C5B" w:rsidRPr="009F2998" w14:paraId="44DD4CAC" w14:textId="77777777" w:rsidTr="000578FE">
        <w:trPr>
          <w:trHeight w:val="300"/>
        </w:trPr>
        <w:tc>
          <w:tcPr>
            <w:tcW w:w="542" w:type="pct"/>
            <w:tcBorders>
              <w:top w:val="single" w:sz="6" w:space="0" w:color="auto"/>
              <w:bottom w:val="nil"/>
            </w:tcBorders>
            <w:shd w:val="clear" w:color="auto" w:fill="auto"/>
            <w:noWrap/>
            <w:vAlign w:val="bottom"/>
          </w:tcPr>
          <w:p w14:paraId="49720457" w14:textId="77777777" w:rsidR="00AA4C5B" w:rsidRPr="009F2998" w:rsidRDefault="00AA4C5B" w:rsidP="007170F1">
            <w:pPr>
              <w:spacing w:after="0" w:line="240" w:lineRule="auto"/>
              <w:jc w:val="center"/>
              <w:rPr>
                <w:rFonts w:ascii="Times New Roman" w:eastAsia="Times New Roman" w:hAnsi="Times New Roman" w:cs="Times New Roman"/>
                <w:color w:val="000000"/>
                <w:lang w:eastAsia="sk-SK"/>
              </w:rPr>
            </w:pPr>
          </w:p>
        </w:tc>
        <w:tc>
          <w:tcPr>
            <w:tcW w:w="545" w:type="pct"/>
            <w:tcBorders>
              <w:top w:val="single" w:sz="6" w:space="0" w:color="auto"/>
              <w:bottom w:val="nil"/>
            </w:tcBorders>
            <w:shd w:val="clear" w:color="auto" w:fill="auto"/>
            <w:noWrap/>
            <w:vAlign w:val="bottom"/>
          </w:tcPr>
          <w:p w14:paraId="361D6A41" w14:textId="77777777" w:rsidR="00AA4C5B" w:rsidRPr="009F2998" w:rsidRDefault="00AA4C5B" w:rsidP="007170F1">
            <w:pPr>
              <w:spacing w:after="0" w:line="240" w:lineRule="auto"/>
              <w:jc w:val="right"/>
              <w:rPr>
                <w:rFonts w:ascii="Times New Roman" w:eastAsia="Times New Roman" w:hAnsi="Times New Roman" w:cs="Times New Roman"/>
                <w:color w:val="000000"/>
                <w:lang w:eastAsia="sk-SK"/>
              </w:rPr>
            </w:pPr>
          </w:p>
        </w:tc>
        <w:tc>
          <w:tcPr>
            <w:tcW w:w="542" w:type="pct"/>
            <w:tcBorders>
              <w:top w:val="single" w:sz="6" w:space="0" w:color="auto"/>
              <w:bottom w:val="nil"/>
            </w:tcBorders>
            <w:shd w:val="clear" w:color="auto" w:fill="auto"/>
            <w:noWrap/>
            <w:vAlign w:val="bottom"/>
          </w:tcPr>
          <w:p w14:paraId="218201A1" w14:textId="77777777" w:rsidR="00AA4C5B" w:rsidRPr="009F2998" w:rsidRDefault="00AA4C5B" w:rsidP="007170F1">
            <w:pPr>
              <w:spacing w:after="0" w:line="240" w:lineRule="auto"/>
              <w:jc w:val="right"/>
              <w:rPr>
                <w:rFonts w:ascii="Times New Roman" w:eastAsia="Times New Roman" w:hAnsi="Times New Roman" w:cs="Times New Roman"/>
                <w:color w:val="000000"/>
                <w:lang w:eastAsia="sk-SK"/>
              </w:rPr>
            </w:pPr>
          </w:p>
        </w:tc>
        <w:tc>
          <w:tcPr>
            <w:tcW w:w="542" w:type="pct"/>
            <w:tcBorders>
              <w:top w:val="single" w:sz="6" w:space="0" w:color="auto"/>
              <w:bottom w:val="nil"/>
            </w:tcBorders>
            <w:shd w:val="clear" w:color="auto" w:fill="auto"/>
            <w:noWrap/>
            <w:vAlign w:val="bottom"/>
          </w:tcPr>
          <w:p w14:paraId="138531F1" w14:textId="77777777" w:rsidR="00AA4C5B" w:rsidRPr="009F2998" w:rsidRDefault="00AA4C5B" w:rsidP="007170F1">
            <w:pPr>
              <w:spacing w:after="0" w:line="240" w:lineRule="auto"/>
              <w:jc w:val="right"/>
              <w:rPr>
                <w:rFonts w:ascii="Times New Roman" w:eastAsia="Times New Roman" w:hAnsi="Times New Roman" w:cs="Times New Roman"/>
                <w:color w:val="000000"/>
                <w:lang w:eastAsia="sk-SK"/>
              </w:rPr>
            </w:pPr>
          </w:p>
        </w:tc>
        <w:tc>
          <w:tcPr>
            <w:tcW w:w="542" w:type="pct"/>
            <w:tcBorders>
              <w:top w:val="single" w:sz="6" w:space="0" w:color="auto"/>
              <w:bottom w:val="nil"/>
            </w:tcBorders>
            <w:shd w:val="clear" w:color="auto" w:fill="auto"/>
            <w:noWrap/>
            <w:vAlign w:val="bottom"/>
          </w:tcPr>
          <w:p w14:paraId="77D9A3B8" w14:textId="77777777" w:rsidR="00AA4C5B" w:rsidRPr="009F2998" w:rsidRDefault="00AA4C5B" w:rsidP="007170F1">
            <w:pPr>
              <w:spacing w:after="0" w:line="240" w:lineRule="auto"/>
              <w:jc w:val="right"/>
              <w:rPr>
                <w:rFonts w:ascii="Times New Roman" w:eastAsia="Times New Roman" w:hAnsi="Times New Roman" w:cs="Times New Roman"/>
                <w:color w:val="000000"/>
                <w:lang w:eastAsia="sk-SK"/>
              </w:rPr>
            </w:pPr>
          </w:p>
        </w:tc>
        <w:tc>
          <w:tcPr>
            <w:tcW w:w="542" w:type="pct"/>
            <w:tcBorders>
              <w:top w:val="single" w:sz="6" w:space="0" w:color="auto"/>
              <w:bottom w:val="nil"/>
            </w:tcBorders>
            <w:shd w:val="clear" w:color="auto" w:fill="auto"/>
            <w:noWrap/>
            <w:vAlign w:val="bottom"/>
          </w:tcPr>
          <w:p w14:paraId="736ABA62" w14:textId="77777777" w:rsidR="00AA4C5B" w:rsidRPr="009F2998" w:rsidRDefault="00AA4C5B" w:rsidP="007170F1">
            <w:pPr>
              <w:spacing w:after="0" w:line="240" w:lineRule="auto"/>
              <w:jc w:val="right"/>
              <w:rPr>
                <w:rFonts w:ascii="Times New Roman" w:eastAsia="Times New Roman" w:hAnsi="Times New Roman" w:cs="Times New Roman"/>
                <w:color w:val="000000"/>
                <w:lang w:eastAsia="sk-SK"/>
              </w:rPr>
            </w:pPr>
          </w:p>
        </w:tc>
        <w:tc>
          <w:tcPr>
            <w:tcW w:w="542" w:type="pct"/>
            <w:tcBorders>
              <w:top w:val="single" w:sz="6" w:space="0" w:color="auto"/>
              <w:bottom w:val="nil"/>
            </w:tcBorders>
            <w:shd w:val="clear" w:color="auto" w:fill="auto"/>
            <w:noWrap/>
            <w:vAlign w:val="bottom"/>
          </w:tcPr>
          <w:p w14:paraId="607D3B35" w14:textId="77777777" w:rsidR="00AA4C5B" w:rsidRPr="009F2998" w:rsidRDefault="00AA4C5B" w:rsidP="007170F1">
            <w:pPr>
              <w:spacing w:after="0" w:line="240" w:lineRule="auto"/>
              <w:jc w:val="right"/>
              <w:rPr>
                <w:rFonts w:ascii="Times New Roman" w:eastAsia="Times New Roman" w:hAnsi="Times New Roman" w:cs="Times New Roman"/>
                <w:color w:val="000000"/>
                <w:lang w:eastAsia="sk-SK"/>
              </w:rPr>
            </w:pPr>
          </w:p>
        </w:tc>
        <w:tc>
          <w:tcPr>
            <w:tcW w:w="542" w:type="pct"/>
            <w:tcBorders>
              <w:top w:val="single" w:sz="6" w:space="0" w:color="auto"/>
              <w:bottom w:val="nil"/>
            </w:tcBorders>
            <w:shd w:val="clear" w:color="auto" w:fill="auto"/>
            <w:noWrap/>
            <w:vAlign w:val="bottom"/>
          </w:tcPr>
          <w:p w14:paraId="3F5558F7" w14:textId="77777777" w:rsidR="00AA4C5B" w:rsidRPr="009F2998" w:rsidRDefault="00AA4C5B" w:rsidP="007170F1">
            <w:pPr>
              <w:spacing w:after="0" w:line="240" w:lineRule="auto"/>
              <w:jc w:val="right"/>
              <w:rPr>
                <w:rFonts w:ascii="Times New Roman" w:eastAsia="Times New Roman" w:hAnsi="Times New Roman" w:cs="Times New Roman"/>
                <w:color w:val="000000"/>
                <w:lang w:eastAsia="sk-SK"/>
              </w:rPr>
            </w:pPr>
          </w:p>
        </w:tc>
        <w:tc>
          <w:tcPr>
            <w:tcW w:w="662" w:type="pct"/>
            <w:tcBorders>
              <w:top w:val="single" w:sz="6" w:space="0" w:color="auto"/>
              <w:bottom w:val="nil"/>
            </w:tcBorders>
            <w:shd w:val="clear" w:color="auto" w:fill="auto"/>
            <w:noWrap/>
            <w:vAlign w:val="bottom"/>
          </w:tcPr>
          <w:p w14:paraId="4842C71C" w14:textId="77777777" w:rsidR="00AA4C5B" w:rsidRPr="009F2998" w:rsidRDefault="00AA4C5B" w:rsidP="007170F1">
            <w:pPr>
              <w:spacing w:after="0" w:line="240" w:lineRule="auto"/>
              <w:jc w:val="right"/>
              <w:rPr>
                <w:rFonts w:ascii="Times New Roman" w:eastAsia="Times New Roman" w:hAnsi="Times New Roman" w:cs="Times New Roman"/>
                <w:color w:val="000000"/>
                <w:lang w:eastAsia="sk-SK"/>
              </w:rPr>
            </w:pPr>
          </w:p>
        </w:tc>
      </w:tr>
    </w:tbl>
    <w:p w14:paraId="11B6E110" w14:textId="131900EA" w:rsidR="007170F1" w:rsidRPr="000745A8" w:rsidRDefault="007170F1" w:rsidP="007170F1">
      <w:pPr>
        <w:jc w:val="both"/>
        <w:rPr>
          <w:rFonts w:ascii="Times New Roman" w:hAnsi="Times New Roman" w:cs="Times New Roman"/>
          <w:i/>
          <w:sz w:val="24"/>
          <w:szCs w:val="24"/>
        </w:rPr>
      </w:pPr>
      <w:r w:rsidRPr="000745A8">
        <w:rPr>
          <w:rFonts w:ascii="Times New Roman" w:hAnsi="Times New Roman" w:cs="Times New Roman"/>
          <w:i/>
          <w:sz w:val="24"/>
          <w:szCs w:val="24"/>
        </w:rPr>
        <w:t>Zdroj: Informácia o uplatnení odseku 2 článku 7 smernice 2012/27/EÚ o energetickej efektívnosti v podmienkach Slovenskej republiky (MH SR, 2014).</w:t>
      </w:r>
    </w:p>
    <w:p w14:paraId="117BA741" w14:textId="77777777" w:rsidR="007170F1" w:rsidRPr="009F2998" w:rsidRDefault="007170F1" w:rsidP="00902157">
      <w:pPr>
        <w:rPr>
          <w:rFonts w:ascii="Times New Roman" w:hAnsi="Times New Roman" w:cs="Times New Roman"/>
          <w:lang w:eastAsia="sk-SK"/>
        </w:rPr>
      </w:pPr>
    </w:p>
    <w:p w14:paraId="1CB44DFD" w14:textId="2D3AE0CF" w:rsidR="00902157" w:rsidRPr="000578FE" w:rsidRDefault="00654604" w:rsidP="007157D7">
      <w:pPr>
        <w:pStyle w:val="Nadpis4"/>
        <w:numPr>
          <w:ilvl w:val="3"/>
          <w:numId w:val="16"/>
        </w:numPr>
        <w:rPr>
          <w:rFonts w:ascii="Times New Roman" w:eastAsia="Times New Roman" w:hAnsi="Times New Roman" w:cs="Times New Roman"/>
          <w:i w:val="0"/>
          <w:color w:val="auto"/>
          <w:lang w:eastAsia="sk-SK"/>
        </w:rPr>
      </w:pPr>
      <w:bookmarkStart w:id="76" w:name="_Toc480547251"/>
      <w:r w:rsidRPr="000578FE">
        <w:rPr>
          <w:rFonts w:ascii="Times New Roman" w:eastAsia="Times New Roman" w:hAnsi="Times New Roman" w:cs="Times New Roman"/>
          <w:i w:val="0"/>
          <w:color w:val="auto"/>
          <w:lang w:eastAsia="sk-SK"/>
        </w:rPr>
        <w:t>N</w:t>
      </w:r>
      <w:r w:rsidR="00902157" w:rsidRPr="000578FE">
        <w:rPr>
          <w:rFonts w:ascii="Times New Roman" w:eastAsia="Times New Roman" w:hAnsi="Times New Roman" w:cs="Times New Roman"/>
          <w:i w:val="0"/>
          <w:color w:val="auto"/>
          <w:lang w:eastAsia="sk-SK"/>
        </w:rPr>
        <w:t>árodn</w:t>
      </w:r>
      <w:r w:rsidRPr="000578FE">
        <w:rPr>
          <w:rFonts w:ascii="Times New Roman" w:eastAsia="Times New Roman" w:hAnsi="Times New Roman" w:cs="Times New Roman"/>
          <w:i w:val="0"/>
          <w:color w:val="auto"/>
          <w:lang w:eastAsia="sk-SK"/>
        </w:rPr>
        <w:t>á</w:t>
      </w:r>
      <w:r w:rsidR="00902157" w:rsidRPr="000578FE">
        <w:rPr>
          <w:rFonts w:ascii="Times New Roman" w:eastAsia="Times New Roman" w:hAnsi="Times New Roman" w:cs="Times New Roman"/>
          <w:i w:val="0"/>
          <w:color w:val="auto"/>
          <w:lang w:eastAsia="sk-SK"/>
        </w:rPr>
        <w:t xml:space="preserve"> povinn</w:t>
      </w:r>
      <w:r w:rsidRPr="000578FE">
        <w:rPr>
          <w:rFonts w:ascii="Times New Roman" w:eastAsia="Times New Roman" w:hAnsi="Times New Roman" w:cs="Times New Roman"/>
          <w:i w:val="0"/>
          <w:color w:val="auto"/>
          <w:lang w:eastAsia="sk-SK"/>
        </w:rPr>
        <w:t>á</w:t>
      </w:r>
      <w:r w:rsidR="00902157" w:rsidRPr="000578FE">
        <w:rPr>
          <w:rFonts w:ascii="Times New Roman" w:eastAsia="Times New Roman" w:hAnsi="Times New Roman" w:cs="Times New Roman"/>
          <w:i w:val="0"/>
          <w:color w:val="auto"/>
          <w:lang w:eastAsia="sk-SK"/>
        </w:rPr>
        <w:t xml:space="preserve"> schém</w:t>
      </w:r>
      <w:r w:rsidRPr="000578FE">
        <w:rPr>
          <w:rFonts w:ascii="Times New Roman" w:eastAsia="Times New Roman" w:hAnsi="Times New Roman" w:cs="Times New Roman"/>
          <w:i w:val="0"/>
          <w:color w:val="auto"/>
          <w:lang w:eastAsia="sk-SK"/>
        </w:rPr>
        <w:t>a</w:t>
      </w:r>
      <w:r w:rsidR="00902157" w:rsidRPr="000578FE">
        <w:rPr>
          <w:rFonts w:ascii="Times New Roman" w:eastAsia="Times New Roman" w:hAnsi="Times New Roman" w:cs="Times New Roman"/>
          <w:i w:val="0"/>
          <w:color w:val="auto"/>
          <w:lang w:eastAsia="sk-SK"/>
        </w:rPr>
        <w:t xml:space="preserve"> </w:t>
      </w:r>
      <w:r w:rsidR="002E09E2" w:rsidRPr="000578FE">
        <w:rPr>
          <w:rFonts w:ascii="Times New Roman" w:eastAsia="Times New Roman" w:hAnsi="Times New Roman" w:cs="Times New Roman"/>
          <w:i w:val="0"/>
          <w:color w:val="auto"/>
          <w:lang w:eastAsia="sk-SK"/>
        </w:rPr>
        <w:t xml:space="preserve">energetickej efektívnosti </w:t>
      </w:r>
      <w:r w:rsidR="00902157" w:rsidRPr="000578FE">
        <w:rPr>
          <w:rFonts w:ascii="Times New Roman" w:eastAsia="Times New Roman" w:hAnsi="Times New Roman" w:cs="Times New Roman"/>
          <w:i w:val="0"/>
          <w:color w:val="auto"/>
          <w:lang w:eastAsia="sk-SK"/>
        </w:rPr>
        <w:t>podľa článku 7 ods. 1</w:t>
      </w:r>
      <w:bookmarkEnd w:id="76"/>
    </w:p>
    <w:p w14:paraId="4C209184" w14:textId="77777777" w:rsidR="00902157" w:rsidRPr="000745A8" w:rsidRDefault="00902157" w:rsidP="00902157">
      <w:pPr>
        <w:rPr>
          <w:rFonts w:ascii="Times New Roman" w:hAnsi="Times New Roman" w:cs="Times New Roman"/>
          <w:sz w:val="24"/>
          <w:szCs w:val="24"/>
          <w:lang w:eastAsia="sk-SK"/>
        </w:rPr>
      </w:pPr>
    </w:p>
    <w:p w14:paraId="07BD87D5" w14:textId="0AC4B6D7" w:rsidR="00154BA0" w:rsidRPr="000745A8" w:rsidRDefault="00902157" w:rsidP="00154BA0">
      <w:pPr>
        <w:jc w:val="both"/>
        <w:rPr>
          <w:rFonts w:ascii="Times New Roman" w:hAnsi="Times New Roman" w:cs="Times New Roman"/>
          <w:sz w:val="24"/>
          <w:szCs w:val="24"/>
        </w:rPr>
      </w:pPr>
      <w:r w:rsidRPr="000745A8">
        <w:rPr>
          <w:rFonts w:ascii="Times New Roman" w:hAnsi="Times New Roman" w:cs="Times New Roman"/>
          <w:sz w:val="24"/>
          <w:szCs w:val="24"/>
          <w:lang w:eastAsia="sk-SK"/>
        </w:rPr>
        <w:t xml:space="preserve">Do konca roku 2016 Slovenská republika nezaviedla povinnú schému energetickej efektívnosti. </w:t>
      </w:r>
      <w:r w:rsidR="00154BA0" w:rsidRPr="000745A8">
        <w:rPr>
          <w:rFonts w:ascii="Times New Roman" w:hAnsi="Times New Roman" w:cs="Times New Roman"/>
          <w:sz w:val="24"/>
          <w:szCs w:val="24"/>
        </w:rPr>
        <w:t>Pri zohľadnení všetkých aspektov SR rozhodla realizovať úspory energie prostredníctvom politických opatrení (t. j. prostredníctvom alternatívneho prístupu podľa článku 7 ods. 9 smernice 2012/27/EÚ). Najvýznamnejší vplyv pri tomto rozhodovaní zohral predpokladaný nárast koncových cien energie, ktorý by v konečnom dôsledku znamenal negatívny dopad na podnikateľské prostredie, čo by následne znamenalo zníženie konkurencieschopnosti ekonomiky ako aj možné zvyšovanie nezamestnanosti. Tento efekt by sa tak prejavil aj vo zvýšení energetickej chudoby, čo by bolo v priamom rozpore s cieľmi samotnej smernice 2012/27/EÚ.</w:t>
      </w:r>
    </w:p>
    <w:p w14:paraId="187B4E0C" w14:textId="77777777" w:rsidR="00902157" w:rsidRPr="009F2998" w:rsidRDefault="00902157" w:rsidP="00902157">
      <w:pPr>
        <w:rPr>
          <w:rFonts w:ascii="Times New Roman" w:hAnsi="Times New Roman" w:cs="Times New Roman"/>
          <w:lang w:eastAsia="sk-SK"/>
        </w:rPr>
      </w:pPr>
    </w:p>
    <w:p w14:paraId="4D6DD4B6" w14:textId="500418F3" w:rsidR="00902157" w:rsidRPr="000578FE" w:rsidRDefault="00654604" w:rsidP="007157D7">
      <w:pPr>
        <w:pStyle w:val="Nadpis4"/>
        <w:numPr>
          <w:ilvl w:val="3"/>
          <w:numId w:val="16"/>
        </w:numPr>
        <w:rPr>
          <w:rFonts w:ascii="Times New Roman" w:eastAsia="Times New Roman" w:hAnsi="Times New Roman" w:cs="Times New Roman"/>
          <w:i w:val="0"/>
          <w:color w:val="auto"/>
          <w:lang w:eastAsia="sk-SK"/>
        </w:rPr>
      </w:pPr>
      <w:bookmarkStart w:id="77" w:name="_Toc480547252"/>
      <w:r w:rsidRPr="000578FE">
        <w:rPr>
          <w:rFonts w:ascii="Times New Roman" w:eastAsia="Times New Roman" w:hAnsi="Times New Roman" w:cs="Times New Roman"/>
          <w:i w:val="0"/>
          <w:color w:val="auto"/>
          <w:lang w:eastAsia="sk-SK"/>
        </w:rPr>
        <w:t>A</w:t>
      </w:r>
      <w:r w:rsidR="00902157" w:rsidRPr="000578FE">
        <w:rPr>
          <w:rFonts w:ascii="Times New Roman" w:eastAsia="Times New Roman" w:hAnsi="Times New Roman" w:cs="Times New Roman"/>
          <w:i w:val="0"/>
          <w:color w:val="auto"/>
          <w:lang w:eastAsia="sk-SK"/>
        </w:rPr>
        <w:t>lternatívn</w:t>
      </w:r>
      <w:r w:rsidRPr="000578FE">
        <w:rPr>
          <w:rFonts w:ascii="Times New Roman" w:eastAsia="Times New Roman" w:hAnsi="Times New Roman" w:cs="Times New Roman"/>
          <w:i w:val="0"/>
          <w:color w:val="auto"/>
          <w:lang w:eastAsia="sk-SK"/>
        </w:rPr>
        <w:t>e</w:t>
      </w:r>
      <w:r w:rsidR="00902157" w:rsidRPr="000578FE">
        <w:rPr>
          <w:rFonts w:ascii="Times New Roman" w:eastAsia="Times New Roman" w:hAnsi="Times New Roman" w:cs="Times New Roman"/>
          <w:i w:val="0"/>
          <w:color w:val="auto"/>
          <w:lang w:eastAsia="sk-SK"/>
        </w:rPr>
        <w:t xml:space="preserve"> politick</w:t>
      </w:r>
      <w:r w:rsidRPr="000578FE">
        <w:rPr>
          <w:rFonts w:ascii="Times New Roman" w:eastAsia="Times New Roman" w:hAnsi="Times New Roman" w:cs="Times New Roman"/>
          <w:i w:val="0"/>
          <w:color w:val="auto"/>
          <w:lang w:eastAsia="sk-SK"/>
        </w:rPr>
        <w:t>é</w:t>
      </w:r>
      <w:r w:rsidR="00902157" w:rsidRPr="000578FE">
        <w:rPr>
          <w:rFonts w:ascii="Times New Roman" w:eastAsia="Times New Roman" w:hAnsi="Times New Roman" w:cs="Times New Roman"/>
          <w:i w:val="0"/>
          <w:color w:val="auto"/>
          <w:lang w:eastAsia="sk-SK"/>
        </w:rPr>
        <w:t xml:space="preserve"> opatrenia prijat</w:t>
      </w:r>
      <w:r w:rsidRPr="000578FE">
        <w:rPr>
          <w:rFonts w:ascii="Times New Roman" w:eastAsia="Times New Roman" w:hAnsi="Times New Roman" w:cs="Times New Roman"/>
          <w:i w:val="0"/>
          <w:color w:val="auto"/>
          <w:lang w:eastAsia="sk-SK"/>
        </w:rPr>
        <w:t>é</w:t>
      </w:r>
      <w:r w:rsidR="00902157" w:rsidRPr="000578FE">
        <w:rPr>
          <w:rFonts w:ascii="Times New Roman" w:eastAsia="Times New Roman" w:hAnsi="Times New Roman" w:cs="Times New Roman"/>
          <w:i w:val="0"/>
          <w:color w:val="auto"/>
          <w:lang w:eastAsia="sk-SK"/>
        </w:rPr>
        <w:t xml:space="preserve"> na účely uplatňovania </w:t>
      </w:r>
      <w:r w:rsidR="00EA4F55">
        <w:rPr>
          <w:rFonts w:ascii="Times New Roman" w:eastAsia="Times New Roman" w:hAnsi="Times New Roman" w:cs="Times New Roman"/>
          <w:i w:val="0"/>
          <w:color w:val="auto"/>
          <w:lang w:eastAsia="sk-SK"/>
        </w:rPr>
        <w:t xml:space="preserve">čl. </w:t>
      </w:r>
      <w:r w:rsidR="00902157" w:rsidRPr="000578FE">
        <w:rPr>
          <w:rFonts w:ascii="Times New Roman" w:eastAsia="Times New Roman" w:hAnsi="Times New Roman" w:cs="Times New Roman"/>
          <w:i w:val="0"/>
          <w:color w:val="auto"/>
          <w:lang w:eastAsia="sk-SK"/>
        </w:rPr>
        <w:t>7 ods. 9 a</w:t>
      </w:r>
      <w:r w:rsidR="00EA4F55">
        <w:rPr>
          <w:rFonts w:ascii="Times New Roman" w:eastAsia="Times New Roman" w:hAnsi="Times New Roman" w:cs="Times New Roman"/>
          <w:i w:val="0"/>
          <w:color w:val="auto"/>
          <w:lang w:eastAsia="sk-SK"/>
        </w:rPr>
        <w:t> </w:t>
      </w:r>
      <w:r w:rsidR="00902157" w:rsidRPr="000578FE">
        <w:rPr>
          <w:rFonts w:ascii="Times New Roman" w:eastAsia="Times New Roman" w:hAnsi="Times New Roman" w:cs="Times New Roman"/>
          <w:i w:val="0"/>
          <w:color w:val="auto"/>
          <w:lang w:eastAsia="sk-SK"/>
        </w:rPr>
        <w:t>čl</w:t>
      </w:r>
      <w:r w:rsidR="00EA4F55">
        <w:rPr>
          <w:rFonts w:ascii="Times New Roman" w:eastAsia="Times New Roman" w:hAnsi="Times New Roman" w:cs="Times New Roman"/>
          <w:i w:val="0"/>
          <w:color w:val="auto"/>
          <w:lang w:eastAsia="sk-SK"/>
        </w:rPr>
        <w:t>.</w:t>
      </w:r>
      <w:r w:rsidR="00902157" w:rsidRPr="000578FE">
        <w:rPr>
          <w:rFonts w:ascii="Times New Roman" w:eastAsia="Times New Roman" w:hAnsi="Times New Roman" w:cs="Times New Roman"/>
          <w:i w:val="0"/>
          <w:color w:val="auto"/>
          <w:lang w:eastAsia="sk-SK"/>
        </w:rPr>
        <w:t xml:space="preserve"> 20 ods. 6</w:t>
      </w:r>
      <w:bookmarkEnd w:id="77"/>
    </w:p>
    <w:p w14:paraId="0D309D00" w14:textId="77777777" w:rsidR="00EA4F55" w:rsidRDefault="00EA4F55" w:rsidP="00902157">
      <w:pPr>
        <w:jc w:val="both"/>
        <w:rPr>
          <w:rFonts w:ascii="Times New Roman" w:hAnsi="Times New Roman" w:cs="Times New Roman"/>
          <w:sz w:val="24"/>
          <w:szCs w:val="24"/>
          <w:lang w:eastAsia="sk-SK"/>
        </w:rPr>
      </w:pPr>
    </w:p>
    <w:p w14:paraId="7FC7F5B5" w14:textId="46823B7A" w:rsidR="00154BA0" w:rsidRPr="000745A8" w:rsidRDefault="00154BA0" w:rsidP="00902157">
      <w:pPr>
        <w:jc w:val="both"/>
        <w:rPr>
          <w:rFonts w:ascii="Times New Roman" w:hAnsi="Times New Roman" w:cs="Times New Roman"/>
          <w:sz w:val="24"/>
          <w:szCs w:val="24"/>
          <w:lang w:eastAsia="sk-SK"/>
        </w:rPr>
      </w:pPr>
      <w:r w:rsidRPr="000745A8">
        <w:rPr>
          <w:rFonts w:ascii="Times New Roman" w:hAnsi="Times New Roman" w:cs="Times New Roman"/>
          <w:sz w:val="24"/>
          <w:szCs w:val="24"/>
          <w:lang w:eastAsia="sk-SK"/>
        </w:rPr>
        <w:t>Na účely dosahovania úspor energie podľa čl. 7 smernice sú aplikované alternatívne politické opatrenia.</w:t>
      </w:r>
    </w:p>
    <w:p w14:paraId="5438F79C" w14:textId="77777777" w:rsidR="00154BA0" w:rsidRPr="000745A8" w:rsidRDefault="00154BA0" w:rsidP="00154BA0">
      <w:pPr>
        <w:jc w:val="both"/>
        <w:rPr>
          <w:rFonts w:ascii="Times New Roman" w:hAnsi="Times New Roman" w:cs="Times New Roman"/>
          <w:sz w:val="24"/>
          <w:szCs w:val="24"/>
        </w:rPr>
      </w:pPr>
      <w:r w:rsidRPr="000745A8">
        <w:rPr>
          <w:rFonts w:ascii="Times New Roman" w:hAnsi="Times New Roman" w:cs="Times New Roman"/>
          <w:sz w:val="24"/>
          <w:szCs w:val="24"/>
        </w:rPr>
        <w:t xml:space="preserve">Uplatnenie politických opatrení bude prehodnotené v roku 2017 na základe vyhodnotenia uplatňovania opatrení zameraných na úsporu energie v rokoch 2014 až 2016, t. j. pri vyhodnotení opatrení tohto akčného plánu, a ich príspevku k cieľom úspor energie do roku 2020. </w:t>
      </w:r>
    </w:p>
    <w:p w14:paraId="5A5C5DF3" w14:textId="2949AE54" w:rsidR="00902157" w:rsidRPr="000745A8" w:rsidRDefault="00902157" w:rsidP="00902157">
      <w:pPr>
        <w:jc w:val="both"/>
        <w:rPr>
          <w:rFonts w:ascii="Times New Roman" w:hAnsi="Times New Roman" w:cs="Times New Roman"/>
          <w:sz w:val="24"/>
          <w:szCs w:val="24"/>
        </w:rPr>
      </w:pPr>
      <w:r w:rsidRPr="000745A8">
        <w:rPr>
          <w:rFonts w:ascii="Times New Roman" w:hAnsi="Times New Roman" w:cs="Times New Roman"/>
          <w:sz w:val="24"/>
          <w:szCs w:val="24"/>
        </w:rPr>
        <w:t>Opatrenia energetickej efektívnosti, ktoré prispievajú k plneniu cieľa vyplývajúceho z článku 7 predmetnej smernice (tzv. alternatívne opatrenia) sú pre jednotlivé sektory vyznačené v tabuľkách na roky 2014-2016 (</w:t>
      </w:r>
      <w:r w:rsidR="003A4236" w:rsidRPr="000745A8">
        <w:rPr>
          <w:rFonts w:ascii="Times New Roman" w:hAnsi="Times New Roman" w:cs="Times New Roman"/>
          <w:sz w:val="24"/>
          <w:szCs w:val="24"/>
        </w:rPr>
        <w:t>p</w:t>
      </w:r>
      <w:r w:rsidR="006816FD" w:rsidRPr="000745A8">
        <w:rPr>
          <w:rFonts w:ascii="Times New Roman" w:hAnsi="Times New Roman" w:cs="Times New Roman"/>
          <w:sz w:val="24"/>
          <w:szCs w:val="24"/>
        </w:rPr>
        <w:t xml:space="preserve">ríloha č. 1) a 2017-2020 </w:t>
      </w:r>
      <w:r w:rsidR="00654604" w:rsidRPr="000745A8">
        <w:rPr>
          <w:rFonts w:ascii="Times New Roman" w:hAnsi="Times New Roman" w:cs="Times New Roman"/>
          <w:sz w:val="24"/>
          <w:szCs w:val="24"/>
        </w:rPr>
        <w:t>(</w:t>
      </w:r>
      <w:r w:rsidR="003A4236" w:rsidRPr="000745A8">
        <w:rPr>
          <w:rFonts w:ascii="Times New Roman" w:hAnsi="Times New Roman" w:cs="Times New Roman"/>
          <w:sz w:val="24"/>
          <w:szCs w:val="24"/>
        </w:rPr>
        <w:t>p</w:t>
      </w:r>
      <w:r w:rsidR="00654604" w:rsidRPr="000745A8">
        <w:rPr>
          <w:rFonts w:ascii="Times New Roman" w:hAnsi="Times New Roman" w:cs="Times New Roman"/>
          <w:sz w:val="24"/>
          <w:szCs w:val="24"/>
        </w:rPr>
        <w:t>ríloha č. 2).</w:t>
      </w:r>
      <w:r w:rsidRPr="000745A8">
        <w:rPr>
          <w:rFonts w:ascii="Times New Roman" w:hAnsi="Times New Roman" w:cs="Times New Roman"/>
          <w:sz w:val="24"/>
          <w:szCs w:val="24"/>
        </w:rPr>
        <w:t xml:space="preserve"> </w:t>
      </w:r>
    </w:p>
    <w:p w14:paraId="248D0866" w14:textId="77777777" w:rsidR="00902157" w:rsidRPr="000745A8" w:rsidRDefault="00902157" w:rsidP="00902157">
      <w:pPr>
        <w:spacing w:after="60"/>
        <w:jc w:val="both"/>
        <w:rPr>
          <w:rFonts w:ascii="Times New Roman" w:hAnsi="Times New Roman" w:cs="Times New Roman"/>
          <w:sz w:val="24"/>
          <w:szCs w:val="24"/>
        </w:rPr>
      </w:pPr>
      <w:r w:rsidRPr="000745A8">
        <w:rPr>
          <w:rFonts w:ascii="Times New Roman" w:hAnsi="Times New Roman" w:cs="Times New Roman"/>
          <w:sz w:val="24"/>
          <w:szCs w:val="24"/>
        </w:rPr>
        <w:t xml:space="preserve">Medzi najvýznamnejšie politické opatrenia energetickej efektívnosti, ktoré prispievajú k plneniu cieľa podľa čl. 7 smernice 2012/27/EÚ patria: </w:t>
      </w:r>
    </w:p>
    <w:p w14:paraId="5187F1B8" w14:textId="77777777" w:rsidR="00902157" w:rsidRPr="000745A8" w:rsidRDefault="00902157" w:rsidP="008F19ED">
      <w:pPr>
        <w:pStyle w:val="Odsekzoznamu"/>
        <w:numPr>
          <w:ilvl w:val="0"/>
          <w:numId w:val="3"/>
        </w:numPr>
        <w:spacing w:after="200" w:line="276" w:lineRule="auto"/>
        <w:rPr>
          <w:rFonts w:ascii="Times New Roman" w:hAnsi="Times New Roman" w:cs="Times New Roman"/>
          <w:sz w:val="24"/>
          <w:szCs w:val="24"/>
        </w:rPr>
      </w:pPr>
      <w:r w:rsidRPr="000745A8">
        <w:rPr>
          <w:rFonts w:ascii="Times New Roman" w:hAnsi="Times New Roman" w:cs="Times New Roman"/>
          <w:sz w:val="24"/>
          <w:szCs w:val="24"/>
        </w:rPr>
        <w:lastRenderedPageBreak/>
        <w:t>Povinnosti v oblasti energetickej efektívnosti ustanovené všeobecne záväznými právnymi predpismi nad rámec povinností vyžadovaných EÚ predpismi</w:t>
      </w:r>
    </w:p>
    <w:p w14:paraId="6750F051" w14:textId="77777777" w:rsidR="00902157" w:rsidRPr="000745A8" w:rsidRDefault="00902157" w:rsidP="008F19ED">
      <w:pPr>
        <w:pStyle w:val="Odsekzoznamu"/>
        <w:numPr>
          <w:ilvl w:val="0"/>
          <w:numId w:val="3"/>
        </w:numPr>
        <w:spacing w:after="200" w:line="276" w:lineRule="auto"/>
        <w:rPr>
          <w:rFonts w:ascii="Times New Roman" w:hAnsi="Times New Roman" w:cs="Times New Roman"/>
          <w:sz w:val="24"/>
          <w:szCs w:val="24"/>
        </w:rPr>
      </w:pPr>
      <w:r w:rsidRPr="000745A8">
        <w:rPr>
          <w:rFonts w:ascii="Times New Roman" w:hAnsi="Times New Roman" w:cs="Times New Roman"/>
          <w:sz w:val="24"/>
          <w:szCs w:val="24"/>
        </w:rPr>
        <w:t>Operačný program Konkurencieschopnosť a hospodársky rast, ŠF 2007-2013</w:t>
      </w:r>
    </w:p>
    <w:p w14:paraId="2720306A" w14:textId="77777777" w:rsidR="00902157" w:rsidRPr="000745A8" w:rsidRDefault="00902157" w:rsidP="008F19ED">
      <w:pPr>
        <w:pStyle w:val="Odsekzoznamu"/>
        <w:numPr>
          <w:ilvl w:val="0"/>
          <w:numId w:val="3"/>
        </w:numPr>
        <w:spacing w:after="200" w:line="276" w:lineRule="auto"/>
        <w:rPr>
          <w:rFonts w:ascii="Times New Roman" w:hAnsi="Times New Roman" w:cs="Times New Roman"/>
          <w:sz w:val="24"/>
          <w:szCs w:val="24"/>
        </w:rPr>
      </w:pPr>
      <w:r w:rsidRPr="000745A8">
        <w:rPr>
          <w:rFonts w:ascii="Times New Roman" w:hAnsi="Times New Roman" w:cs="Times New Roman"/>
          <w:sz w:val="24"/>
          <w:szCs w:val="24"/>
        </w:rPr>
        <w:t>Operačný program zdravotníctvo, ŠF 2007-2013</w:t>
      </w:r>
    </w:p>
    <w:p w14:paraId="18EE15F2" w14:textId="77777777" w:rsidR="00902157" w:rsidRPr="000745A8" w:rsidRDefault="00902157" w:rsidP="008F19ED">
      <w:pPr>
        <w:pStyle w:val="Odsekzoznamu"/>
        <w:numPr>
          <w:ilvl w:val="0"/>
          <w:numId w:val="3"/>
        </w:numPr>
        <w:spacing w:after="200" w:line="276" w:lineRule="auto"/>
        <w:rPr>
          <w:rFonts w:ascii="Times New Roman" w:hAnsi="Times New Roman" w:cs="Times New Roman"/>
          <w:sz w:val="24"/>
          <w:szCs w:val="24"/>
        </w:rPr>
      </w:pPr>
      <w:r w:rsidRPr="000745A8">
        <w:rPr>
          <w:rFonts w:ascii="Times New Roman" w:hAnsi="Times New Roman" w:cs="Times New Roman"/>
          <w:sz w:val="24"/>
          <w:szCs w:val="24"/>
        </w:rPr>
        <w:t>Operačný program doprava, ŠF 2007-2013</w:t>
      </w:r>
    </w:p>
    <w:p w14:paraId="00CCAAAD" w14:textId="77777777" w:rsidR="00902157" w:rsidRPr="000745A8" w:rsidRDefault="00902157" w:rsidP="008F19ED">
      <w:pPr>
        <w:pStyle w:val="Odsekzoznamu"/>
        <w:numPr>
          <w:ilvl w:val="0"/>
          <w:numId w:val="3"/>
        </w:numPr>
        <w:spacing w:after="200" w:line="276" w:lineRule="auto"/>
        <w:rPr>
          <w:rFonts w:ascii="Times New Roman" w:hAnsi="Times New Roman" w:cs="Times New Roman"/>
          <w:sz w:val="24"/>
          <w:szCs w:val="24"/>
        </w:rPr>
      </w:pPr>
      <w:r w:rsidRPr="000745A8">
        <w:rPr>
          <w:rFonts w:ascii="Times New Roman" w:hAnsi="Times New Roman" w:cs="Times New Roman"/>
          <w:sz w:val="24"/>
          <w:szCs w:val="24"/>
        </w:rPr>
        <w:t>Regionálny operačný program, ŠF 2007-2013</w:t>
      </w:r>
    </w:p>
    <w:p w14:paraId="46BC6672" w14:textId="77777777" w:rsidR="00902157" w:rsidRPr="000745A8" w:rsidRDefault="00902157" w:rsidP="008F19ED">
      <w:pPr>
        <w:pStyle w:val="Odsekzoznamu"/>
        <w:numPr>
          <w:ilvl w:val="0"/>
          <w:numId w:val="3"/>
        </w:numPr>
        <w:spacing w:after="200" w:line="276" w:lineRule="auto"/>
        <w:rPr>
          <w:rFonts w:ascii="Times New Roman" w:hAnsi="Times New Roman" w:cs="Times New Roman"/>
          <w:sz w:val="24"/>
          <w:szCs w:val="24"/>
        </w:rPr>
      </w:pPr>
      <w:r w:rsidRPr="000745A8">
        <w:rPr>
          <w:rFonts w:ascii="Times New Roman" w:hAnsi="Times New Roman" w:cs="Times New Roman"/>
          <w:sz w:val="24"/>
          <w:szCs w:val="24"/>
        </w:rPr>
        <w:t>Operačný program výskum a vývoj, ŠF 2007-2013</w:t>
      </w:r>
    </w:p>
    <w:p w14:paraId="44B2F4B6" w14:textId="77777777" w:rsidR="00902157" w:rsidRPr="000745A8" w:rsidRDefault="00902157" w:rsidP="008F19ED">
      <w:pPr>
        <w:pStyle w:val="Odsekzoznamu"/>
        <w:numPr>
          <w:ilvl w:val="0"/>
          <w:numId w:val="3"/>
        </w:numPr>
        <w:spacing w:after="200" w:line="276" w:lineRule="auto"/>
        <w:rPr>
          <w:rFonts w:ascii="Times New Roman" w:hAnsi="Times New Roman" w:cs="Times New Roman"/>
          <w:sz w:val="24"/>
          <w:szCs w:val="24"/>
        </w:rPr>
      </w:pPr>
      <w:r w:rsidRPr="000745A8">
        <w:rPr>
          <w:rFonts w:ascii="Times New Roman" w:hAnsi="Times New Roman" w:cs="Times New Roman"/>
          <w:sz w:val="24"/>
          <w:szCs w:val="24"/>
        </w:rPr>
        <w:t xml:space="preserve">ŠFRB - Zatepľovanie bytovej budovy </w:t>
      </w:r>
    </w:p>
    <w:p w14:paraId="2062D27F" w14:textId="77777777" w:rsidR="00902157" w:rsidRPr="000745A8" w:rsidRDefault="00902157" w:rsidP="008F19ED">
      <w:pPr>
        <w:pStyle w:val="Odsekzoznamu"/>
        <w:numPr>
          <w:ilvl w:val="0"/>
          <w:numId w:val="3"/>
        </w:numPr>
        <w:spacing w:after="200" w:line="276" w:lineRule="auto"/>
        <w:rPr>
          <w:rFonts w:ascii="Times New Roman" w:hAnsi="Times New Roman" w:cs="Times New Roman"/>
          <w:sz w:val="24"/>
          <w:szCs w:val="24"/>
        </w:rPr>
      </w:pPr>
      <w:r w:rsidRPr="000745A8">
        <w:rPr>
          <w:rFonts w:ascii="Times New Roman" w:hAnsi="Times New Roman" w:cs="Times New Roman"/>
          <w:sz w:val="24"/>
          <w:szCs w:val="24"/>
        </w:rPr>
        <w:t>Operačný program Kvalita životného prostredia, EŠIF 2014-2020</w:t>
      </w:r>
    </w:p>
    <w:p w14:paraId="3C338807" w14:textId="77777777" w:rsidR="00902157" w:rsidRPr="000745A8" w:rsidRDefault="00902157" w:rsidP="008F19ED">
      <w:pPr>
        <w:pStyle w:val="Odsekzoznamu"/>
        <w:numPr>
          <w:ilvl w:val="0"/>
          <w:numId w:val="3"/>
        </w:numPr>
        <w:spacing w:after="200" w:line="276" w:lineRule="auto"/>
        <w:rPr>
          <w:rFonts w:ascii="Times New Roman" w:hAnsi="Times New Roman" w:cs="Times New Roman"/>
          <w:sz w:val="24"/>
          <w:szCs w:val="24"/>
        </w:rPr>
      </w:pPr>
      <w:r w:rsidRPr="000745A8">
        <w:rPr>
          <w:rFonts w:ascii="Times New Roman" w:hAnsi="Times New Roman" w:cs="Times New Roman"/>
          <w:sz w:val="24"/>
          <w:szCs w:val="24"/>
        </w:rPr>
        <w:t>Operačný program integrovaná infraštruktúra, EŠIF 2014-2020</w:t>
      </w:r>
    </w:p>
    <w:p w14:paraId="1FF63EB9" w14:textId="77777777" w:rsidR="00902157" w:rsidRPr="000745A8" w:rsidRDefault="00902157" w:rsidP="008F19ED">
      <w:pPr>
        <w:pStyle w:val="Odsekzoznamu"/>
        <w:numPr>
          <w:ilvl w:val="0"/>
          <w:numId w:val="3"/>
        </w:numPr>
        <w:spacing w:after="200" w:line="276" w:lineRule="auto"/>
        <w:rPr>
          <w:rFonts w:ascii="Times New Roman" w:hAnsi="Times New Roman" w:cs="Times New Roman"/>
          <w:sz w:val="24"/>
          <w:szCs w:val="24"/>
        </w:rPr>
      </w:pPr>
      <w:r w:rsidRPr="000745A8">
        <w:rPr>
          <w:rFonts w:ascii="Times New Roman" w:hAnsi="Times New Roman" w:cs="Times New Roman"/>
          <w:sz w:val="24"/>
          <w:szCs w:val="24"/>
        </w:rPr>
        <w:t>Integrovaný regionálny operačný program, EŠIF 2014 -2020</w:t>
      </w:r>
    </w:p>
    <w:p w14:paraId="44D1124D" w14:textId="4D77395E" w:rsidR="00902157" w:rsidRDefault="00F70FE0" w:rsidP="008F19ED">
      <w:pPr>
        <w:pStyle w:val="Odsekzoznamu"/>
        <w:numPr>
          <w:ilvl w:val="0"/>
          <w:numId w:val="3"/>
        </w:numPr>
        <w:spacing w:after="200" w:line="276" w:lineRule="auto"/>
        <w:rPr>
          <w:rFonts w:ascii="Times New Roman" w:hAnsi="Times New Roman" w:cs="Times New Roman"/>
          <w:sz w:val="24"/>
          <w:szCs w:val="24"/>
        </w:rPr>
      </w:pPr>
      <w:r w:rsidRPr="000745A8">
        <w:rPr>
          <w:rFonts w:ascii="Times New Roman" w:hAnsi="Times New Roman" w:cs="Times New Roman"/>
          <w:sz w:val="24"/>
          <w:szCs w:val="24"/>
        </w:rPr>
        <w:t>Zelený program Slovseff III</w:t>
      </w:r>
      <w:r w:rsidR="00154BA0" w:rsidRPr="000745A8">
        <w:rPr>
          <w:rFonts w:ascii="Times New Roman" w:hAnsi="Times New Roman" w:cs="Times New Roman"/>
          <w:sz w:val="24"/>
          <w:szCs w:val="24"/>
        </w:rPr>
        <w:t>.</w:t>
      </w:r>
    </w:p>
    <w:p w14:paraId="71E0B8EA" w14:textId="1CDFE0F6" w:rsidR="00D142B7" w:rsidRDefault="00D142B7" w:rsidP="008F19ED">
      <w:pPr>
        <w:pStyle w:val="Odsekzoznamu"/>
        <w:numPr>
          <w:ilvl w:val="0"/>
          <w:numId w:val="3"/>
        </w:numPr>
        <w:spacing w:after="200" w:line="276" w:lineRule="auto"/>
        <w:rPr>
          <w:rFonts w:ascii="Times New Roman" w:hAnsi="Times New Roman" w:cs="Times New Roman"/>
          <w:sz w:val="24"/>
          <w:szCs w:val="24"/>
        </w:rPr>
      </w:pPr>
      <w:r>
        <w:rPr>
          <w:rFonts w:ascii="Times New Roman" w:hAnsi="Times New Roman" w:cs="Times New Roman"/>
          <w:sz w:val="24"/>
          <w:szCs w:val="24"/>
        </w:rPr>
        <w:t>Dotácie v pôsobnosti MH SR</w:t>
      </w:r>
    </w:p>
    <w:p w14:paraId="7AF9F75B" w14:textId="0636F5FD" w:rsidR="00D142B7" w:rsidRDefault="00D142B7">
      <w:pPr>
        <w:pStyle w:val="Odsekzoznamu"/>
        <w:numPr>
          <w:ilvl w:val="0"/>
          <w:numId w:val="3"/>
        </w:numPr>
        <w:spacing w:after="200" w:line="276" w:lineRule="auto"/>
        <w:rPr>
          <w:rFonts w:ascii="Times New Roman" w:hAnsi="Times New Roman" w:cs="Times New Roman"/>
          <w:sz w:val="24"/>
          <w:szCs w:val="24"/>
        </w:rPr>
      </w:pPr>
      <w:r>
        <w:rPr>
          <w:rFonts w:ascii="Times New Roman" w:hAnsi="Times New Roman" w:cs="Times New Roman"/>
          <w:sz w:val="24"/>
          <w:szCs w:val="24"/>
        </w:rPr>
        <w:t>Environmentálny fond</w:t>
      </w:r>
    </w:p>
    <w:p w14:paraId="0587AFA0" w14:textId="018BAA59" w:rsidR="00D142B7" w:rsidRPr="005F7B58" w:rsidRDefault="00D142B7">
      <w:pPr>
        <w:pStyle w:val="Odsekzoznamu"/>
        <w:numPr>
          <w:ilvl w:val="0"/>
          <w:numId w:val="3"/>
        </w:numPr>
        <w:spacing w:after="200" w:line="276" w:lineRule="auto"/>
        <w:rPr>
          <w:rFonts w:ascii="Times New Roman" w:hAnsi="Times New Roman" w:cs="Times New Roman"/>
          <w:sz w:val="24"/>
          <w:szCs w:val="24"/>
        </w:rPr>
      </w:pPr>
      <w:r>
        <w:rPr>
          <w:rFonts w:ascii="Times New Roman" w:hAnsi="Times New Roman" w:cs="Times New Roman"/>
          <w:sz w:val="24"/>
          <w:szCs w:val="24"/>
        </w:rPr>
        <w:t>Dotácie na zatepľovanie rodinných domov</w:t>
      </w:r>
    </w:p>
    <w:p w14:paraId="3F896F89" w14:textId="63B4663C" w:rsidR="00AA4C5B" w:rsidRDefault="00F70FE0" w:rsidP="00AA4C5B">
      <w:pPr>
        <w:pStyle w:val="Odsekzoznamu"/>
        <w:numPr>
          <w:ilvl w:val="0"/>
          <w:numId w:val="3"/>
        </w:numPr>
        <w:spacing w:after="200" w:line="276" w:lineRule="auto"/>
        <w:rPr>
          <w:rFonts w:ascii="Times New Roman" w:hAnsi="Times New Roman" w:cs="Times New Roman"/>
          <w:sz w:val="24"/>
          <w:szCs w:val="24"/>
        </w:rPr>
      </w:pPr>
      <w:r w:rsidRPr="000745A8">
        <w:rPr>
          <w:rFonts w:ascii="Times New Roman" w:hAnsi="Times New Roman" w:cs="Times New Roman"/>
          <w:sz w:val="24"/>
          <w:szCs w:val="24"/>
        </w:rPr>
        <w:t>Dobrovoľná dohoda</w:t>
      </w:r>
      <w:r w:rsidR="00206BE1">
        <w:rPr>
          <w:rFonts w:ascii="Times New Roman" w:hAnsi="Times New Roman" w:cs="Times New Roman"/>
          <w:sz w:val="24"/>
          <w:szCs w:val="24"/>
        </w:rPr>
        <w:t>.</w:t>
      </w:r>
    </w:p>
    <w:p w14:paraId="3108C72D" w14:textId="3A6B0054" w:rsidR="00AA4C5B" w:rsidRPr="009F2998" w:rsidRDefault="00206BE1">
      <w:pPr>
        <w:rPr>
          <w:rFonts w:ascii="Times New Roman" w:hAnsi="Times New Roman" w:cs="Times New Roman"/>
        </w:rPr>
      </w:pPr>
      <w:r w:rsidRPr="00314FCB">
        <w:rPr>
          <w:rFonts w:ascii="Times New Roman" w:hAnsi="Times New Roman" w:cs="Times New Roman"/>
          <w:sz w:val="24"/>
          <w:szCs w:val="24"/>
        </w:rPr>
        <w:t>Tabuľka</w:t>
      </w:r>
      <w:r>
        <w:rPr>
          <w:rFonts w:ascii="Times New Roman" w:hAnsi="Times New Roman" w:cs="Times New Roman"/>
          <w:sz w:val="24"/>
          <w:szCs w:val="24"/>
        </w:rPr>
        <w:t xml:space="preserve"> č. 11: </w:t>
      </w:r>
      <w:r w:rsidRPr="009F2998">
        <w:rPr>
          <w:rFonts w:ascii="Times New Roman" w:hAnsi="Times New Roman" w:cs="Times New Roman"/>
        </w:rPr>
        <w:t>Prehľad najvýznamnejších politických opatrení pre plnenie cieľa čl. 7 smernice 2012/27/EÚ</w:t>
      </w:r>
    </w:p>
    <w:tbl>
      <w:tblPr>
        <w:tblStyle w:val="Mriekatabuky"/>
        <w:tblW w:w="5000" w:type="pct"/>
        <w:tblLook w:val="04A0" w:firstRow="1" w:lastRow="0" w:firstColumn="1" w:lastColumn="0" w:noHBand="0" w:noVBand="1"/>
      </w:tblPr>
      <w:tblGrid>
        <w:gridCol w:w="2485"/>
        <w:gridCol w:w="6577"/>
      </w:tblGrid>
      <w:tr w:rsidR="00902157" w:rsidRPr="009F2998" w14:paraId="3C3FAA35" w14:textId="77777777" w:rsidTr="003E73B5">
        <w:trPr>
          <w:tblHeader/>
        </w:trPr>
        <w:tc>
          <w:tcPr>
            <w:tcW w:w="1371" w:type="pct"/>
            <w:shd w:val="pct20" w:color="auto" w:fill="auto"/>
            <w:vAlign w:val="center"/>
          </w:tcPr>
          <w:p w14:paraId="1688AC85" w14:textId="77777777" w:rsidR="00902157" w:rsidRPr="009F2998" w:rsidRDefault="00902157" w:rsidP="00EE18EC">
            <w:pPr>
              <w:ind w:left="360"/>
              <w:jc w:val="center"/>
              <w:rPr>
                <w:rFonts w:ascii="Times New Roman" w:hAnsi="Times New Roman" w:cs="Times New Roman"/>
                <w:b/>
                <w:sz w:val="18"/>
                <w:szCs w:val="18"/>
              </w:rPr>
            </w:pPr>
            <w:r w:rsidRPr="009F2998">
              <w:rPr>
                <w:rFonts w:ascii="Times New Roman" w:hAnsi="Times New Roman" w:cs="Times New Roman"/>
                <w:b/>
                <w:sz w:val="18"/>
                <w:szCs w:val="18"/>
              </w:rPr>
              <w:t>Zdroj financovania</w:t>
            </w:r>
          </w:p>
        </w:tc>
        <w:tc>
          <w:tcPr>
            <w:tcW w:w="3629" w:type="pct"/>
            <w:shd w:val="pct20" w:color="auto" w:fill="auto"/>
            <w:vAlign w:val="center"/>
          </w:tcPr>
          <w:p w14:paraId="144F2450" w14:textId="77777777" w:rsidR="00902157" w:rsidRPr="009F2998" w:rsidRDefault="00902157" w:rsidP="00EE18EC">
            <w:pPr>
              <w:jc w:val="center"/>
              <w:rPr>
                <w:rFonts w:ascii="Times New Roman" w:hAnsi="Times New Roman" w:cs="Times New Roman"/>
                <w:b/>
                <w:sz w:val="18"/>
                <w:szCs w:val="18"/>
              </w:rPr>
            </w:pPr>
          </w:p>
          <w:p w14:paraId="3B30DB2B" w14:textId="77777777" w:rsidR="00902157" w:rsidRPr="009F2998" w:rsidRDefault="00902157" w:rsidP="00EE18EC">
            <w:pPr>
              <w:jc w:val="center"/>
              <w:rPr>
                <w:rFonts w:ascii="Times New Roman" w:hAnsi="Times New Roman" w:cs="Times New Roman"/>
                <w:b/>
                <w:sz w:val="18"/>
                <w:szCs w:val="18"/>
              </w:rPr>
            </w:pPr>
            <w:r w:rsidRPr="009F2998">
              <w:rPr>
                <w:rFonts w:ascii="Times New Roman" w:hAnsi="Times New Roman" w:cs="Times New Roman"/>
                <w:b/>
                <w:sz w:val="18"/>
                <w:szCs w:val="18"/>
              </w:rPr>
              <w:t>Opatrenia</w:t>
            </w:r>
          </w:p>
          <w:p w14:paraId="5C54CCBF" w14:textId="77777777" w:rsidR="00902157" w:rsidRPr="009F2998" w:rsidRDefault="00902157" w:rsidP="00EE18EC">
            <w:pPr>
              <w:jc w:val="center"/>
              <w:rPr>
                <w:rFonts w:ascii="Times New Roman" w:hAnsi="Times New Roman" w:cs="Times New Roman"/>
                <w:b/>
                <w:sz w:val="18"/>
                <w:szCs w:val="18"/>
              </w:rPr>
            </w:pPr>
          </w:p>
        </w:tc>
      </w:tr>
      <w:tr w:rsidR="00902157" w:rsidRPr="009F2998" w14:paraId="02462E96" w14:textId="77777777" w:rsidTr="003E73B5">
        <w:tc>
          <w:tcPr>
            <w:tcW w:w="1371" w:type="pct"/>
          </w:tcPr>
          <w:p w14:paraId="71717F87" w14:textId="77777777" w:rsidR="00902157" w:rsidRPr="009F2998" w:rsidRDefault="00902157" w:rsidP="00EE18EC">
            <w:pPr>
              <w:rPr>
                <w:rFonts w:ascii="Times New Roman" w:hAnsi="Times New Roman" w:cs="Times New Roman"/>
                <w:sz w:val="18"/>
                <w:szCs w:val="18"/>
              </w:rPr>
            </w:pPr>
            <w:r w:rsidRPr="009F2998">
              <w:rPr>
                <w:rFonts w:ascii="Times New Roman" w:hAnsi="Times New Roman" w:cs="Times New Roman"/>
                <w:sz w:val="18"/>
                <w:szCs w:val="18"/>
              </w:rPr>
              <w:t>Vlastné zdroje povinných subjektov</w:t>
            </w:r>
          </w:p>
        </w:tc>
        <w:tc>
          <w:tcPr>
            <w:tcW w:w="3629" w:type="pct"/>
          </w:tcPr>
          <w:p w14:paraId="2A365ACD" w14:textId="77777777"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Povinné energetické audity pre priemyselné a poľnohospodárske podniky s ročnou  spotrebou energie viac ako 2500 (5000) MWh do 31.12.2011 (2013)</w:t>
            </w:r>
          </w:p>
        </w:tc>
      </w:tr>
      <w:tr w:rsidR="00902157" w:rsidRPr="009F2998" w14:paraId="18684D5E" w14:textId="77777777" w:rsidTr="003E73B5">
        <w:tc>
          <w:tcPr>
            <w:tcW w:w="1371" w:type="pct"/>
          </w:tcPr>
          <w:p w14:paraId="5975E83D" w14:textId="77777777" w:rsidR="00902157" w:rsidRPr="009F2998" w:rsidRDefault="00902157" w:rsidP="00EE18EC">
            <w:pPr>
              <w:rPr>
                <w:rFonts w:ascii="Times New Roman" w:hAnsi="Times New Roman" w:cs="Times New Roman"/>
                <w:sz w:val="18"/>
                <w:szCs w:val="18"/>
              </w:rPr>
            </w:pPr>
            <w:r w:rsidRPr="009F2998">
              <w:rPr>
                <w:rFonts w:ascii="Times New Roman" w:hAnsi="Times New Roman" w:cs="Times New Roman"/>
                <w:sz w:val="18"/>
                <w:szCs w:val="18"/>
              </w:rPr>
              <w:t>Vlastné zdroje povinných subjektov</w:t>
            </w:r>
          </w:p>
        </w:tc>
        <w:tc>
          <w:tcPr>
            <w:tcW w:w="3629" w:type="pct"/>
          </w:tcPr>
          <w:p w14:paraId="1B5B4B66" w14:textId="77777777"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Povinné hydraulické vyregulovanie rozvodov tepla a teplej vody vrátane opatrenia rozvodov teplej vody vhodnou tepelnou izoláciou pre budovy s celkovou podlahovou plochou väčšou ako 1000 m</w:t>
            </w:r>
            <w:r w:rsidRPr="009F2998">
              <w:rPr>
                <w:rFonts w:ascii="Times New Roman" w:hAnsi="Times New Roman" w:cs="Times New Roman"/>
                <w:sz w:val="18"/>
                <w:szCs w:val="18"/>
                <w:vertAlign w:val="superscript"/>
              </w:rPr>
              <w:t>2</w:t>
            </w:r>
            <w:r w:rsidRPr="009F2998">
              <w:rPr>
                <w:rFonts w:ascii="Times New Roman" w:hAnsi="Times New Roman" w:cs="Times New Roman"/>
                <w:sz w:val="18"/>
                <w:szCs w:val="18"/>
              </w:rPr>
              <w:t xml:space="preserve"> (zákon č. 476/2008 Z. z. a zákon č. 321/2014 Z. z. o energetickej efektívnosti)</w:t>
            </w:r>
          </w:p>
        </w:tc>
      </w:tr>
      <w:tr w:rsidR="00902157" w:rsidRPr="009F2998" w14:paraId="40C33597" w14:textId="77777777" w:rsidTr="003E73B5">
        <w:tc>
          <w:tcPr>
            <w:tcW w:w="1371" w:type="pct"/>
          </w:tcPr>
          <w:p w14:paraId="746CC34C" w14:textId="77777777" w:rsidR="00902157" w:rsidRPr="009F2998" w:rsidRDefault="00902157" w:rsidP="00EE18EC">
            <w:pPr>
              <w:rPr>
                <w:rFonts w:ascii="Times New Roman" w:hAnsi="Times New Roman" w:cs="Times New Roman"/>
                <w:sz w:val="18"/>
                <w:szCs w:val="18"/>
              </w:rPr>
            </w:pPr>
            <w:r w:rsidRPr="009F2998">
              <w:rPr>
                <w:rFonts w:ascii="Times New Roman" w:hAnsi="Times New Roman" w:cs="Times New Roman"/>
                <w:sz w:val="18"/>
                <w:szCs w:val="18"/>
              </w:rPr>
              <w:t>Vlastné zdroje povinných subjektov</w:t>
            </w:r>
          </w:p>
        </w:tc>
        <w:tc>
          <w:tcPr>
            <w:tcW w:w="3629" w:type="pct"/>
          </w:tcPr>
          <w:p w14:paraId="0B8D24A3" w14:textId="77777777" w:rsidR="00902157" w:rsidRPr="009F2998" w:rsidRDefault="00902157" w:rsidP="008F19ED">
            <w:pPr>
              <w:pStyle w:val="Odsekzoznamu"/>
              <w:numPr>
                <w:ilvl w:val="0"/>
                <w:numId w:val="4"/>
              </w:numPr>
              <w:autoSpaceDE w:val="0"/>
              <w:autoSpaceDN w:val="0"/>
              <w:adjustRightInd w:val="0"/>
              <w:ind w:left="176" w:hanging="127"/>
              <w:jc w:val="both"/>
              <w:rPr>
                <w:rFonts w:ascii="Times New Roman" w:hAnsi="Times New Roman" w:cs="Times New Roman"/>
                <w:color w:val="231F20"/>
                <w:sz w:val="19"/>
                <w:szCs w:val="19"/>
              </w:rPr>
            </w:pPr>
            <w:r w:rsidRPr="009F2998">
              <w:rPr>
                <w:rFonts w:ascii="Times New Roman" w:hAnsi="Times New Roman" w:cs="Times New Roman"/>
                <w:sz w:val="18"/>
                <w:szCs w:val="18"/>
              </w:rPr>
              <w:t>Povinnosť sledovať, vyhodnocovať a poskytovať údaje o spotrebe prevádzkovateľovi  monitorovacieho systému energetickej efektívnosti pre ústredné orgány štátnej správy, obce, vyššie územné celky, organizácie v ich zriaďovateľskej pôsobnosti a vlastníkov/správcov budov s celkovou podlahovou plochou väčšou ako 1000 m</w:t>
            </w:r>
            <w:r w:rsidRPr="009F2998">
              <w:rPr>
                <w:rFonts w:ascii="Times New Roman" w:hAnsi="Times New Roman" w:cs="Times New Roman"/>
                <w:sz w:val="18"/>
                <w:szCs w:val="18"/>
                <w:vertAlign w:val="superscript"/>
              </w:rPr>
              <w:t>2</w:t>
            </w:r>
            <w:r w:rsidRPr="009F2998">
              <w:rPr>
                <w:rFonts w:ascii="Times New Roman" w:hAnsi="Times New Roman" w:cs="Times New Roman"/>
                <w:sz w:val="18"/>
                <w:szCs w:val="18"/>
              </w:rPr>
              <w:t xml:space="preserve"> (zákon č. 476/2008 Z. z. a zákon č. 321/2014 Z. z. o energetickej efektívnosti)</w:t>
            </w:r>
          </w:p>
        </w:tc>
      </w:tr>
      <w:tr w:rsidR="00902157" w:rsidRPr="009F2998" w14:paraId="600FA2A1" w14:textId="77777777" w:rsidTr="003E73B5">
        <w:tc>
          <w:tcPr>
            <w:tcW w:w="1371" w:type="pct"/>
          </w:tcPr>
          <w:p w14:paraId="1BEBBA6C" w14:textId="77777777" w:rsidR="00902157" w:rsidRPr="009F2998" w:rsidRDefault="00902157" w:rsidP="00EE18EC">
            <w:pPr>
              <w:rPr>
                <w:rFonts w:ascii="Times New Roman" w:hAnsi="Times New Roman" w:cs="Times New Roman"/>
                <w:sz w:val="18"/>
                <w:szCs w:val="18"/>
              </w:rPr>
            </w:pPr>
            <w:r w:rsidRPr="009F2998">
              <w:rPr>
                <w:rFonts w:ascii="Times New Roman" w:hAnsi="Times New Roman" w:cs="Times New Roman"/>
                <w:sz w:val="18"/>
                <w:szCs w:val="18"/>
              </w:rPr>
              <w:t>Operačný program Konkurencieschopnosť a hospodársky rast, ŠF 2007-2013</w:t>
            </w:r>
          </w:p>
        </w:tc>
        <w:tc>
          <w:tcPr>
            <w:tcW w:w="3629" w:type="pct"/>
          </w:tcPr>
          <w:p w14:paraId="3D5B8F89" w14:textId="77777777"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Inovácie a technologické transfery v priemyselných podnikoch,</w:t>
            </w:r>
          </w:p>
          <w:p w14:paraId="7C9E4D7D" w14:textId="77777777"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Zvyšovanie energetickej efektívnosti priemyselnej výroby,</w:t>
            </w:r>
          </w:p>
        </w:tc>
      </w:tr>
      <w:tr w:rsidR="00902157" w:rsidRPr="009F2998" w14:paraId="0BB8A3E6" w14:textId="77777777" w:rsidTr="003E73B5">
        <w:tc>
          <w:tcPr>
            <w:tcW w:w="1371" w:type="pct"/>
          </w:tcPr>
          <w:p w14:paraId="52DEDBD2" w14:textId="77777777" w:rsidR="00902157" w:rsidRPr="009F2998" w:rsidRDefault="00902157" w:rsidP="00EE18EC">
            <w:pPr>
              <w:rPr>
                <w:rFonts w:ascii="Times New Roman" w:hAnsi="Times New Roman" w:cs="Times New Roman"/>
                <w:sz w:val="18"/>
                <w:szCs w:val="18"/>
              </w:rPr>
            </w:pPr>
            <w:r w:rsidRPr="009F2998">
              <w:rPr>
                <w:rFonts w:ascii="Times New Roman" w:hAnsi="Times New Roman" w:cs="Times New Roman"/>
                <w:sz w:val="18"/>
                <w:szCs w:val="18"/>
              </w:rPr>
              <w:t>Operačný program zdravotníctvo, ŠF 2007-2013</w:t>
            </w:r>
          </w:p>
        </w:tc>
        <w:tc>
          <w:tcPr>
            <w:tcW w:w="3629" w:type="pct"/>
          </w:tcPr>
          <w:p w14:paraId="4AA3DF41" w14:textId="6F5BE9B6"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Zlepšovanie tepelnotechnických vlastností budov nemocníc a zdravotníckych zariadení,</w:t>
            </w:r>
          </w:p>
        </w:tc>
      </w:tr>
      <w:tr w:rsidR="00902157" w:rsidRPr="009F2998" w14:paraId="23D913E5" w14:textId="77777777" w:rsidTr="003E73B5">
        <w:tc>
          <w:tcPr>
            <w:tcW w:w="1371" w:type="pct"/>
          </w:tcPr>
          <w:p w14:paraId="45745584" w14:textId="77777777" w:rsidR="00902157" w:rsidRPr="009F2998" w:rsidRDefault="00902157" w:rsidP="00EE18EC">
            <w:pPr>
              <w:rPr>
                <w:rFonts w:ascii="Times New Roman" w:hAnsi="Times New Roman" w:cs="Times New Roman"/>
                <w:sz w:val="18"/>
                <w:szCs w:val="18"/>
              </w:rPr>
            </w:pPr>
            <w:r w:rsidRPr="009F2998">
              <w:rPr>
                <w:rFonts w:ascii="Times New Roman" w:hAnsi="Times New Roman" w:cs="Times New Roman"/>
                <w:sz w:val="18"/>
                <w:szCs w:val="18"/>
              </w:rPr>
              <w:t>Operačný program doprava, ŠF 2007-2013</w:t>
            </w:r>
          </w:p>
        </w:tc>
        <w:tc>
          <w:tcPr>
            <w:tcW w:w="3629" w:type="pct"/>
          </w:tcPr>
          <w:p w14:paraId="1B01942E" w14:textId="77777777"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 xml:space="preserve">Obnova a modernizácia vozidlového parku, </w:t>
            </w:r>
          </w:p>
          <w:p w14:paraId="269E596B" w14:textId="77777777"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Budovanie a modernizácia dopravnej infraštruktúry,</w:t>
            </w:r>
          </w:p>
        </w:tc>
      </w:tr>
      <w:tr w:rsidR="00902157" w:rsidRPr="009F2998" w14:paraId="0775C13C" w14:textId="77777777" w:rsidTr="003E73B5">
        <w:tc>
          <w:tcPr>
            <w:tcW w:w="1371" w:type="pct"/>
          </w:tcPr>
          <w:p w14:paraId="59DD109B" w14:textId="77777777" w:rsidR="00902157" w:rsidRPr="009F2998" w:rsidRDefault="00902157" w:rsidP="00EE18EC">
            <w:pPr>
              <w:rPr>
                <w:rFonts w:ascii="Times New Roman" w:hAnsi="Times New Roman" w:cs="Times New Roman"/>
                <w:sz w:val="18"/>
                <w:szCs w:val="18"/>
              </w:rPr>
            </w:pPr>
            <w:r w:rsidRPr="009F2998">
              <w:rPr>
                <w:rFonts w:ascii="Times New Roman" w:hAnsi="Times New Roman" w:cs="Times New Roman"/>
                <w:sz w:val="18"/>
                <w:szCs w:val="18"/>
              </w:rPr>
              <w:t>Regionálny operačný program, ŠF 2007-2013</w:t>
            </w:r>
          </w:p>
        </w:tc>
        <w:tc>
          <w:tcPr>
            <w:tcW w:w="3629" w:type="pct"/>
          </w:tcPr>
          <w:p w14:paraId="10D2F10A" w14:textId="3421DEA8"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 xml:space="preserve">Zlepšovanie tepelnotechnických vlastností verejných budov - Školy a školské zariadenia, zariadenia sociálnych služieb, kultúrne zariadenia a i., </w:t>
            </w:r>
          </w:p>
        </w:tc>
      </w:tr>
      <w:tr w:rsidR="00902157" w:rsidRPr="009F2998" w14:paraId="521C8F30" w14:textId="77777777" w:rsidTr="003E73B5">
        <w:tc>
          <w:tcPr>
            <w:tcW w:w="1371" w:type="pct"/>
          </w:tcPr>
          <w:p w14:paraId="4B82E1E7" w14:textId="77777777" w:rsidR="00902157" w:rsidRPr="009F2998" w:rsidRDefault="00902157" w:rsidP="00EE18EC">
            <w:pPr>
              <w:rPr>
                <w:rFonts w:ascii="Times New Roman" w:hAnsi="Times New Roman" w:cs="Times New Roman"/>
                <w:sz w:val="18"/>
                <w:szCs w:val="18"/>
              </w:rPr>
            </w:pPr>
            <w:r w:rsidRPr="009F2998">
              <w:rPr>
                <w:rFonts w:ascii="Times New Roman" w:hAnsi="Times New Roman" w:cs="Times New Roman"/>
                <w:sz w:val="18"/>
                <w:szCs w:val="18"/>
              </w:rPr>
              <w:t>Operačný program výskum a vývoj, ŠF 2007-2013</w:t>
            </w:r>
          </w:p>
        </w:tc>
        <w:tc>
          <w:tcPr>
            <w:tcW w:w="3629" w:type="pct"/>
          </w:tcPr>
          <w:p w14:paraId="77214337" w14:textId="1267B078"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Zlepšovanie tepelnotechnických vlastností verejných budov - Školy a školské zariadenia,</w:t>
            </w:r>
          </w:p>
        </w:tc>
      </w:tr>
      <w:tr w:rsidR="00902157" w:rsidRPr="009F2998" w14:paraId="55733730" w14:textId="77777777" w:rsidTr="003E73B5">
        <w:tc>
          <w:tcPr>
            <w:tcW w:w="1371" w:type="pct"/>
          </w:tcPr>
          <w:p w14:paraId="2CAE082B" w14:textId="77777777" w:rsidR="00902157" w:rsidRPr="009F2998" w:rsidRDefault="00902157" w:rsidP="00EE18EC">
            <w:pPr>
              <w:rPr>
                <w:rFonts w:ascii="Times New Roman" w:hAnsi="Times New Roman" w:cs="Times New Roman"/>
                <w:sz w:val="18"/>
                <w:szCs w:val="18"/>
              </w:rPr>
            </w:pPr>
            <w:r w:rsidRPr="009F2998">
              <w:rPr>
                <w:rFonts w:ascii="Times New Roman" w:hAnsi="Times New Roman" w:cs="Times New Roman"/>
                <w:sz w:val="18"/>
                <w:szCs w:val="18"/>
              </w:rPr>
              <w:t xml:space="preserve">ŠFRB - Zatepľovanie bytovej budovy </w:t>
            </w:r>
          </w:p>
        </w:tc>
        <w:tc>
          <w:tcPr>
            <w:tcW w:w="3629" w:type="pct"/>
          </w:tcPr>
          <w:p w14:paraId="2B7C2A65" w14:textId="2EE9B27A"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Zlepšovanie tepelnotechnických vlastností bytových budov,</w:t>
            </w:r>
          </w:p>
        </w:tc>
      </w:tr>
      <w:tr w:rsidR="00902157" w:rsidRPr="009F2998" w14:paraId="5FCD9183" w14:textId="77777777" w:rsidTr="003E73B5">
        <w:tc>
          <w:tcPr>
            <w:tcW w:w="1371" w:type="pct"/>
          </w:tcPr>
          <w:p w14:paraId="0D00A192" w14:textId="77777777" w:rsidR="00902157" w:rsidRPr="009F2998" w:rsidRDefault="00902157" w:rsidP="00EE18EC">
            <w:pPr>
              <w:rPr>
                <w:rFonts w:ascii="Times New Roman" w:hAnsi="Times New Roman" w:cs="Times New Roman"/>
                <w:sz w:val="18"/>
                <w:szCs w:val="18"/>
              </w:rPr>
            </w:pPr>
            <w:r w:rsidRPr="009F2998">
              <w:rPr>
                <w:rFonts w:ascii="Times New Roman" w:hAnsi="Times New Roman" w:cs="Times New Roman"/>
                <w:sz w:val="18"/>
                <w:szCs w:val="18"/>
              </w:rPr>
              <w:t>Operačný program Kvalita životného prostredia, EŠIF 2014-2020</w:t>
            </w:r>
          </w:p>
        </w:tc>
        <w:tc>
          <w:tcPr>
            <w:tcW w:w="3629" w:type="pct"/>
          </w:tcPr>
          <w:p w14:paraId="6C431C14" w14:textId="77777777"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Zabezpečenie energetických auditov v MSP a implementácia opatrení z energetických auditov,</w:t>
            </w:r>
          </w:p>
          <w:p w14:paraId="65991463" w14:textId="77777777"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 xml:space="preserve">Znižovanie energetickej náročnosti verejných budov, </w:t>
            </w:r>
          </w:p>
          <w:p w14:paraId="3CB0142C" w14:textId="77777777"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Vypracovanie, schválenie a implementácia plánov udržateľnej energie a znižovania emisií skleníkových plynov,</w:t>
            </w:r>
          </w:p>
          <w:p w14:paraId="4A02BFA4" w14:textId="77777777"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Zavádzanie systémov energetického manažérstva vrátane energetických auditov a environmentálneho manažérstva,</w:t>
            </w:r>
          </w:p>
          <w:p w14:paraId="667EC061" w14:textId="77777777"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 xml:space="preserve">Podpora rozvoja energetických služieb na regionálnej a miestnej úrovní, </w:t>
            </w:r>
          </w:p>
          <w:p w14:paraId="27A74638" w14:textId="77777777"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color w:val="000000"/>
                <w:sz w:val="18"/>
                <w:szCs w:val="18"/>
              </w:rPr>
              <w:lastRenderedPageBreak/>
              <w:t>Výstavba, rekonštrukcia a modernizácia rozvodov tepla,</w:t>
            </w:r>
          </w:p>
          <w:p w14:paraId="573DAB48" w14:textId="77777777"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color w:val="000000"/>
                <w:sz w:val="18"/>
                <w:szCs w:val="18"/>
              </w:rPr>
              <w:t>Výstavba, rekonštrukcia a modernizácia zariadení na výrobu elektriny a tepla vysoko účinnou kombinovanou výrobou s maximálnym tepelným príkonom 20 MW,</w:t>
            </w:r>
          </w:p>
          <w:p w14:paraId="73E0DA4C" w14:textId="77777777"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Zvyšovanie informovanosti detí a mládeže v oblasti energetickej efektívnosti</w:t>
            </w:r>
          </w:p>
          <w:p w14:paraId="14237A17" w14:textId="77777777"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Informačná kampaň so zameraním na energetickú efektívnosť,</w:t>
            </w:r>
          </w:p>
          <w:p w14:paraId="300F8E29" w14:textId="77777777"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Monitorovací a informačný systém – prepojenie na väčšinu podporných mechanizmov energetickej efektívnosti,</w:t>
            </w:r>
          </w:p>
        </w:tc>
      </w:tr>
      <w:tr w:rsidR="00902157" w:rsidRPr="009F2998" w14:paraId="328659F2" w14:textId="77777777" w:rsidTr="003E73B5">
        <w:tc>
          <w:tcPr>
            <w:tcW w:w="1371" w:type="pct"/>
          </w:tcPr>
          <w:p w14:paraId="6C542787" w14:textId="77777777" w:rsidR="00902157" w:rsidRPr="009F2998" w:rsidRDefault="00902157" w:rsidP="00EE18EC">
            <w:pPr>
              <w:rPr>
                <w:rFonts w:ascii="Times New Roman" w:hAnsi="Times New Roman" w:cs="Times New Roman"/>
                <w:sz w:val="18"/>
                <w:szCs w:val="18"/>
              </w:rPr>
            </w:pPr>
            <w:r w:rsidRPr="009F2998">
              <w:rPr>
                <w:rFonts w:ascii="Times New Roman" w:hAnsi="Times New Roman" w:cs="Times New Roman"/>
                <w:sz w:val="18"/>
                <w:szCs w:val="18"/>
              </w:rPr>
              <w:lastRenderedPageBreak/>
              <w:t>Operačný program Integrovaná infraštruktúra, EŠIF 2014-2020</w:t>
            </w:r>
          </w:p>
        </w:tc>
        <w:tc>
          <w:tcPr>
            <w:tcW w:w="3629" w:type="pct"/>
          </w:tcPr>
          <w:p w14:paraId="737D572F" w14:textId="77777777"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 xml:space="preserve">Obnova a modernizácia vozidlového parku, </w:t>
            </w:r>
          </w:p>
          <w:p w14:paraId="2A868A8E" w14:textId="77777777"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Budovanie a modernizácia dopravnej infraštruktúry,</w:t>
            </w:r>
          </w:p>
          <w:p w14:paraId="067E3365" w14:textId="77777777"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 xml:space="preserve">Podpora rozvoja a využívania verejnej osobnej dopravy vrátane podpory vytvárania integrovaných dopravných systémov, </w:t>
            </w:r>
          </w:p>
        </w:tc>
      </w:tr>
      <w:tr w:rsidR="00902157" w:rsidRPr="009F2998" w14:paraId="155E7EF0" w14:textId="77777777" w:rsidTr="003E73B5">
        <w:tc>
          <w:tcPr>
            <w:tcW w:w="1371" w:type="pct"/>
          </w:tcPr>
          <w:p w14:paraId="673571DA" w14:textId="77777777" w:rsidR="00902157" w:rsidRPr="009F2998" w:rsidRDefault="00902157" w:rsidP="00EE18EC">
            <w:pPr>
              <w:rPr>
                <w:rFonts w:ascii="Times New Roman" w:hAnsi="Times New Roman" w:cs="Times New Roman"/>
                <w:sz w:val="18"/>
                <w:szCs w:val="18"/>
              </w:rPr>
            </w:pPr>
            <w:r w:rsidRPr="009F2998">
              <w:rPr>
                <w:rFonts w:ascii="Times New Roman" w:hAnsi="Times New Roman" w:cs="Times New Roman"/>
                <w:sz w:val="18"/>
                <w:szCs w:val="18"/>
              </w:rPr>
              <w:t>Integrovaný regionálny operačný program, EŠIF 2014 -2020</w:t>
            </w:r>
          </w:p>
        </w:tc>
        <w:tc>
          <w:tcPr>
            <w:tcW w:w="3629" w:type="pct"/>
          </w:tcPr>
          <w:p w14:paraId="085DA957" w14:textId="77777777"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Podpora rozvoja nemotorovej, predovšetkým cyklistickej, dopravy,</w:t>
            </w:r>
          </w:p>
          <w:p w14:paraId="0C362CB9" w14:textId="5225A5D0" w:rsidR="00902157" w:rsidRPr="009F2998" w:rsidRDefault="00902157" w:rsidP="00A67637">
            <w:pPr>
              <w:pStyle w:val="Odsekzoznamu"/>
              <w:numPr>
                <w:ilvl w:val="0"/>
                <w:numId w:val="4"/>
              </w:numPr>
              <w:jc w:val="both"/>
              <w:rPr>
                <w:rFonts w:ascii="Times New Roman" w:hAnsi="Times New Roman" w:cs="Times New Roman"/>
                <w:sz w:val="18"/>
                <w:szCs w:val="18"/>
              </w:rPr>
            </w:pPr>
            <w:r w:rsidRPr="009F2998">
              <w:rPr>
                <w:rFonts w:ascii="Times New Roman" w:hAnsi="Times New Roman" w:cs="Times New Roman"/>
                <w:sz w:val="18"/>
                <w:szCs w:val="18"/>
              </w:rPr>
              <w:t>ŠFRB - Zatepľovanie bytovej budovy z prostriedkov EÚ (</w:t>
            </w:r>
            <w:r w:rsidR="00A67637" w:rsidRPr="009F2998">
              <w:rPr>
                <w:rFonts w:ascii="Times New Roman" w:hAnsi="Times New Roman" w:cs="Times New Roman"/>
                <w:sz w:val="18"/>
                <w:szCs w:val="18"/>
              </w:rPr>
              <w:t>pozri</w:t>
            </w:r>
            <w:r w:rsidRPr="009F2998">
              <w:rPr>
                <w:rFonts w:ascii="Times New Roman" w:hAnsi="Times New Roman" w:cs="Times New Roman"/>
                <w:sz w:val="18"/>
                <w:szCs w:val="18"/>
              </w:rPr>
              <w:t xml:space="preserve"> vyššie),</w:t>
            </w:r>
          </w:p>
        </w:tc>
      </w:tr>
      <w:tr w:rsidR="00902157" w:rsidRPr="009F2998" w14:paraId="14800B2A" w14:textId="77777777" w:rsidTr="003E73B5">
        <w:tc>
          <w:tcPr>
            <w:tcW w:w="1371" w:type="pct"/>
          </w:tcPr>
          <w:p w14:paraId="65388CD6" w14:textId="77777777" w:rsidR="00902157" w:rsidRPr="009F2998" w:rsidRDefault="00902157" w:rsidP="00EE18EC">
            <w:pPr>
              <w:rPr>
                <w:rFonts w:ascii="Times New Roman" w:hAnsi="Times New Roman" w:cs="Times New Roman"/>
                <w:sz w:val="18"/>
                <w:szCs w:val="18"/>
              </w:rPr>
            </w:pPr>
            <w:r w:rsidRPr="009F2998">
              <w:rPr>
                <w:rFonts w:ascii="Times New Roman" w:hAnsi="Times New Roman" w:cs="Times New Roman"/>
                <w:sz w:val="18"/>
                <w:szCs w:val="18"/>
              </w:rPr>
              <w:t>Zelený program Slovseff III.</w:t>
            </w:r>
          </w:p>
        </w:tc>
        <w:tc>
          <w:tcPr>
            <w:tcW w:w="3629" w:type="pct"/>
          </w:tcPr>
          <w:p w14:paraId="457FCACE" w14:textId="3F5DDDB0"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Zlepšovanie tepelnotechnických vlastností bytových domov,</w:t>
            </w:r>
          </w:p>
          <w:p w14:paraId="52940B3D" w14:textId="77777777" w:rsidR="00902157" w:rsidRPr="009F2998" w:rsidRDefault="00902157"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Zlepšovanie energetickej efektívnosti v priemysle,</w:t>
            </w:r>
          </w:p>
        </w:tc>
      </w:tr>
      <w:tr w:rsidR="00F55233" w:rsidRPr="009F2998" w14:paraId="6E617F09" w14:textId="77777777" w:rsidTr="003E73B5">
        <w:tc>
          <w:tcPr>
            <w:tcW w:w="1371" w:type="pct"/>
          </w:tcPr>
          <w:p w14:paraId="484BC88D" w14:textId="2C29FD75" w:rsidR="00F55233" w:rsidRPr="009F2998" w:rsidRDefault="00F55233" w:rsidP="00EE18EC">
            <w:pPr>
              <w:rPr>
                <w:rFonts w:ascii="Times New Roman" w:hAnsi="Times New Roman" w:cs="Times New Roman"/>
                <w:sz w:val="18"/>
                <w:szCs w:val="18"/>
              </w:rPr>
            </w:pPr>
            <w:r w:rsidRPr="00F55233">
              <w:rPr>
                <w:rFonts w:ascii="Times New Roman" w:hAnsi="Times New Roman" w:cs="Times New Roman"/>
                <w:sz w:val="18"/>
                <w:szCs w:val="18"/>
              </w:rPr>
              <w:t>Dotácie v pôsobnosti MH SR</w:t>
            </w:r>
          </w:p>
        </w:tc>
        <w:tc>
          <w:tcPr>
            <w:tcW w:w="3629" w:type="pct"/>
          </w:tcPr>
          <w:p w14:paraId="7A14C54A" w14:textId="77777777" w:rsidR="00F55233" w:rsidRDefault="00F55233" w:rsidP="008F19ED">
            <w:pPr>
              <w:pStyle w:val="Odsekzoznamu"/>
              <w:numPr>
                <w:ilvl w:val="0"/>
                <w:numId w:val="4"/>
              </w:numPr>
              <w:ind w:left="176" w:hanging="127"/>
              <w:jc w:val="both"/>
              <w:rPr>
                <w:rFonts w:ascii="Times New Roman" w:hAnsi="Times New Roman" w:cs="Times New Roman"/>
                <w:sz w:val="18"/>
                <w:szCs w:val="18"/>
              </w:rPr>
            </w:pPr>
            <w:r>
              <w:rPr>
                <w:rFonts w:ascii="Times New Roman" w:hAnsi="Times New Roman" w:cs="Times New Roman"/>
                <w:sz w:val="18"/>
                <w:szCs w:val="18"/>
              </w:rPr>
              <w:t>Realizácia opatrení z energetických auditov v MSP v BSK,</w:t>
            </w:r>
          </w:p>
          <w:p w14:paraId="1E599979" w14:textId="0AD7778E" w:rsidR="00F55233" w:rsidRPr="005F7B58" w:rsidRDefault="00F55233" w:rsidP="005F7B58">
            <w:pPr>
              <w:pStyle w:val="Odsekzoznamu"/>
              <w:numPr>
                <w:ilvl w:val="0"/>
                <w:numId w:val="4"/>
              </w:numPr>
              <w:ind w:left="176" w:hanging="127"/>
              <w:jc w:val="both"/>
              <w:rPr>
                <w:rFonts w:ascii="Times New Roman" w:hAnsi="Times New Roman" w:cs="Times New Roman"/>
                <w:sz w:val="18"/>
                <w:szCs w:val="18"/>
              </w:rPr>
            </w:pPr>
            <w:r>
              <w:rPr>
                <w:rFonts w:ascii="Times New Roman" w:hAnsi="Times New Roman" w:cs="Times New Roman"/>
                <w:sz w:val="18"/>
                <w:szCs w:val="18"/>
              </w:rPr>
              <w:t>Z</w:t>
            </w:r>
            <w:r w:rsidRPr="005F7B58">
              <w:rPr>
                <w:rFonts w:ascii="Times New Roman" w:hAnsi="Times New Roman" w:cs="Times New Roman"/>
                <w:sz w:val="18"/>
                <w:szCs w:val="18"/>
              </w:rPr>
              <w:t>vyšovanie energetickej účinnosti distribúcie tepla v</w:t>
            </w:r>
            <w:r>
              <w:rPr>
                <w:rFonts w:ascii="Times New Roman" w:hAnsi="Times New Roman" w:cs="Times New Roman"/>
                <w:sz w:val="18"/>
                <w:szCs w:val="18"/>
              </w:rPr>
              <w:t> BSK,</w:t>
            </w:r>
          </w:p>
        </w:tc>
      </w:tr>
      <w:tr w:rsidR="00F55233" w:rsidRPr="009F2998" w14:paraId="786C48DF" w14:textId="77777777" w:rsidTr="003E73B5">
        <w:tc>
          <w:tcPr>
            <w:tcW w:w="1371" w:type="pct"/>
          </w:tcPr>
          <w:p w14:paraId="712470C0" w14:textId="43161678" w:rsidR="00F55233" w:rsidRPr="009F2998" w:rsidRDefault="00F55233" w:rsidP="00EE18EC">
            <w:pPr>
              <w:rPr>
                <w:rFonts w:ascii="Times New Roman" w:hAnsi="Times New Roman" w:cs="Times New Roman"/>
                <w:sz w:val="18"/>
                <w:szCs w:val="18"/>
              </w:rPr>
            </w:pPr>
            <w:r w:rsidRPr="00F55233">
              <w:rPr>
                <w:rFonts w:ascii="Times New Roman" w:hAnsi="Times New Roman" w:cs="Times New Roman"/>
                <w:sz w:val="18"/>
                <w:szCs w:val="18"/>
              </w:rPr>
              <w:t>Environmentálny fond</w:t>
            </w:r>
          </w:p>
        </w:tc>
        <w:tc>
          <w:tcPr>
            <w:tcW w:w="3629" w:type="pct"/>
          </w:tcPr>
          <w:p w14:paraId="1E0672BC" w14:textId="72502835" w:rsidR="00F55233" w:rsidRPr="009F2998" w:rsidRDefault="00F55233" w:rsidP="008F19ED">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Zlepšovanie tepelnotechnických vlastností verejných budov</w:t>
            </w:r>
            <w:r>
              <w:rPr>
                <w:rFonts w:ascii="Times New Roman" w:hAnsi="Times New Roman" w:cs="Times New Roman"/>
                <w:sz w:val="18"/>
                <w:szCs w:val="18"/>
              </w:rPr>
              <w:t>,</w:t>
            </w:r>
          </w:p>
        </w:tc>
      </w:tr>
      <w:tr w:rsidR="00F55233" w:rsidRPr="009F2998" w14:paraId="296BCEEF" w14:textId="77777777" w:rsidTr="003E73B5">
        <w:tc>
          <w:tcPr>
            <w:tcW w:w="1371" w:type="pct"/>
          </w:tcPr>
          <w:p w14:paraId="21A2C244" w14:textId="41F04229" w:rsidR="00F55233" w:rsidRPr="009F2998" w:rsidRDefault="00F55233" w:rsidP="00EE18EC">
            <w:pPr>
              <w:rPr>
                <w:rFonts w:ascii="Times New Roman" w:hAnsi="Times New Roman" w:cs="Times New Roman"/>
                <w:sz w:val="18"/>
                <w:szCs w:val="18"/>
              </w:rPr>
            </w:pPr>
            <w:r w:rsidRPr="00F55233">
              <w:rPr>
                <w:rFonts w:ascii="Times New Roman" w:hAnsi="Times New Roman" w:cs="Times New Roman"/>
                <w:sz w:val="18"/>
                <w:szCs w:val="18"/>
              </w:rPr>
              <w:t>Dotácie na zatepľovanie rodinných domov</w:t>
            </w:r>
          </w:p>
        </w:tc>
        <w:tc>
          <w:tcPr>
            <w:tcW w:w="3629" w:type="pct"/>
          </w:tcPr>
          <w:p w14:paraId="7C0365F8" w14:textId="0B4C0C8E" w:rsidR="00F55233" w:rsidRPr="005F7B58" w:rsidRDefault="00F55233" w:rsidP="00314FCB">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 xml:space="preserve">Zlepšovanie tepelnotechnických vlastností </w:t>
            </w:r>
            <w:r w:rsidRPr="00F55233">
              <w:rPr>
                <w:rFonts w:ascii="Times New Roman" w:hAnsi="Times New Roman" w:cs="Times New Roman"/>
                <w:sz w:val="18"/>
                <w:szCs w:val="18"/>
              </w:rPr>
              <w:t xml:space="preserve">rodinných </w:t>
            </w:r>
            <w:r w:rsidRPr="009F2998">
              <w:rPr>
                <w:rFonts w:ascii="Times New Roman" w:hAnsi="Times New Roman" w:cs="Times New Roman"/>
                <w:sz w:val="18"/>
                <w:szCs w:val="18"/>
              </w:rPr>
              <w:t>domov,</w:t>
            </w:r>
          </w:p>
        </w:tc>
      </w:tr>
      <w:tr w:rsidR="00902157" w:rsidRPr="009F2998" w14:paraId="30AC62ED" w14:textId="77777777" w:rsidTr="003E73B5">
        <w:tc>
          <w:tcPr>
            <w:tcW w:w="1371" w:type="pct"/>
            <w:tcBorders>
              <w:bottom w:val="single" w:sz="6" w:space="0" w:color="auto"/>
            </w:tcBorders>
          </w:tcPr>
          <w:p w14:paraId="0F39023C" w14:textId="77777777" w:rsidR="00902157" w:rsidRPr="009F2998" w:rsidRDefault="00902157" w:rsidP="00EE18EC">
            <w:pPr>
              <w:rPr>
                <w:rFonts w:ascii="Times New Roman" w:hAnsi="Times New Roman" w:cs="Times New Roman"/>
                <w:sz w:val="18"/>
                <w:szCs w:val="18"/>
              </w:rPr>
            </w:pPr>
            <w:r w:rsidRPr="009F2998">
              <w:rPr>
                <w:rFonts w:ascii="Times New Roman" w:hAnsi="Times New Roman" w:cs="Times New Roman"/>
                <w:sz w:val="18"/>
                <w:szCs w:val="18"/>
              </w:rPr>
              <w:t>Dobrovoľná dohoda</w:t>
            </w:r>
          </w:p>
        </w:tc>
        <w:tc>
          <w:tcPr>
            <w:tcW w:w="3629" w:type="pct"/>
            <w:tcBorders>
              <w:bottom w:val="single" w:sz="6" w:space="0" w:color="auto"/>
            </w:tcBorders>
          </w:tcPr>
          <w:p w14:paraId="19175F36" w14:textId="35E3C4EF" w:rsidR="00902157" w:rsidRPr="009F2998" w:rsidRDefault="00B60CF8" w:rsidP="00B60CF8">
            <w:pPr>
              <w:pStyle w:val="Odsekzoznamu"/>
              <w:numPr>
                <w:ilvl w:val="0"/>
                <w:numId w:val="4"/>
              </w:numPr>
              <w:ind w:left="176" w:hanging="127"/>
              <w:jc w:val="both"/>
              <w:rPr>
                <w:rFonts w:ascii="Times New Roman" w:hAnsi="Times New Roman" w:cs="Times New Roman"/>
                <w:sz w:val="18"/>
                <w:szCs w:val="18"/>
              </w:rPr>
            </w:pPr>
            <w:r w:rsidRPr="009F2998">
              <w:rPr>
                <w:rFonts w:ascii="Times New Roman" w:hAnsi="Times New Roman" w:cs="Times New Roman"/>
                <w:sz w:val="18"/>
                <w:szCs w:val="18"/>
              </w:rPr>
              <w:t xml:space="preserve">Realizácia opatrení energetickej efektívnosti u subjektov najmä v oblasti priemyslu a energetiky za účelom dosahovania dohodnutých úspor energie alebo poskytovania informácií. </w:t>
            </w:r>
          </w:p>
        </w:tc>
      </w:tr>
      <w:tr w:rsidR="00AA4C5B" w:rsidRPr="009F2998" w14:paraId="0A4A9F3E" w14:textId="77777777" w:rsidTr="003E73B5">
        <w:trPr>
          <w:trHeight w:val="57"/>
        </w:trPr>
        <w:tc>
          <w:tcPr>
            <w:tcW w:w="1371" w:type="pct"/>
            <w:tcBorders>
              <w:top w:val="single" w:sz="6" w:space="0" w:color="auto"/>
              <w:left w:val="nil"/>
              <w:bottom w:val="nil"/>
              <w:right w:val="nil"/>
            </w:tcBorders>
            <w:shd w:val="clear" w:color="auto" w:fill="auto"/>
          </w:tcPr>
          <w:p w14:paraId="4F2DAA58" w14:textId="77777777" w:rsidR="00AA4C5B" w:rsidRPr="009F2998" w:rsidRDefault="00AA4C5B" w:rsidP="00EE18EC">
            <w:pPr>
              <w:rPr>
                <w:rFonts w:ascii="Times New Roman" w:hAnsi="Times New Roman" w:cs="Times New Roman"/>
                <w:sz w:val="18"/>
                <w:szCs w:val="18"/>
              </w:rPr>
            </w:pPr>
          </w:p>
        </w:tc>
        <w:tc>
          <w:tcPr>
            <w:tcW w:w="3629" w:type="pct"/>
            <w:tcBorders>
              <w:top w:val="single" w:sz="6" w:space="0" w:color="auto"/>
              <w:left w:val="nil"/>
              <w:bottom w:val="nil"/>
              <w:right w:val="nil"/>
            </w:tcBorders>
            <w:shd w:val="clear" w:color="auto" w:fill="auto"/>
          </w:tcPr>
          <w:p w14:paraId="25ECD8EC" w14:textId="77777777" w:rsidR="00AA4C5B" w:rsidRPr="009F2998" w:rsidRDefault="00AA4C5B" w:rsidP="00AA4C5B">
            <w:pPr>
              <w:jc w:val="both"/>
              <w:rPr>
                <w:rFonts w:ascii="Times New Roman" w:hAnsi="Times New Roman" w:cs="Times New Roman"/>
                <w:sz w:val="18"/>
                <w:szCs w:val="18"/>
              </w:rPr>
            </w:pPr>
          </w:p>
        </w:tc>
      </w:tr>
    </w:tbl>
    <w:p w14:paraId="79349A6F" w14:textId="03BBDB85" w:rsidR="00902157" w:rsidRPr="000578FE" w:rsidRDefault="00437885" w:rsidP="009927E4">
      <w:pPr>
        <w:pStyle w:val="Nadpis4"/>
        <w:numPr>
          <w:ilvl w:val="3"/>
          <w:numId w:val="16"/>
        </w:numPr>
        <w:rPr>
          <w:rFonts w:ascii="Times New Roman" w:eastAsia="Times New Roman" w:hAnsi="Times New Roman" w:cs="Times New Roman"/>
          <w:i w:val="0"/>
          <w:color w:val="auto"/>
          <w:lang w:eastAsia="sk-SK"/>
        </w:rPr>
      </w:pPr>
      <w:bookmarkStart w:id="78" w:name="_Toc480547253"/>
      <w:r w:rsidRPr="000578FE">
        <w:rPr>
          <w:rFonts w:ascii="Times New Roman" w:eastAsia="Times New Roman" w:hAnsi="Times New Roman" w:cs="Times New Roman"/>
          <w:i w:val="0"/>
          <w:color w:val="auto"/>
          <w:lang w:eastAsia="sk-SK"/>
        </w:rPr>
        <w:t>Z</w:t>
      </w:r>
      <w:r w:rsidR="00902157" w:rsidRPr="000578FE">
        <w:rPr>
          <w:rFonts w:ascii="Times New Roman" w:eastAsia="Times New Roman" w:hAnsi="Times New Roman" w:cs="Times New Roman"/>
          <w:i w:val="0"/>
          <w:color w:val="auto"/>
          <w:lang w:eastAsia="sk-SK"/>
        </w:rPr>
        <w:t xml:space="preserve">verejnené úspory energie dosiahnuté v dôsledku vykonávania povinnej schémy </w:t>
      </w:r>
      <w:r w:rsidR="009927E4" w:rsidRPr="009927E4">
        <w:rPr>
          <w:rFonts w:ascii="Times New Roman" w:eastAsia="Times New Roman" w:hAnsi="Times New Roman" w:cs="Times New Roman"/>
          <w:i w:val="0"/>
          <w:color w:val="auto"/>
          <w:lang w:eastAsia="sk-SK"/>
        </w:rPr>
        <w:t>energetickej efektívnosti</w:t>
      </w:r>
      <w:bookmarkEnd w:id="78"/>
    </w:p>
    <w:p w14:paraId="721598DF" w14:textId="77777777" w:rsidR="00902157" w:rsidRPr="009F2998" w:rsidRDefault="00902157" w:rsidP="00902157">
      <w:pPr>
        <w:rPr>
          <w:rFonts w:ascii="Times New Roman" w:hAnsi="Times New Roman" w:cs="Times New Roman"/>
          <w:lang w:eastAsia="sk-SK"/>
        </w:rPr>
      </w:pPr>
      <w:r w:rsidRPr="009F2998">
        <w:rPr>
          <w:rFonts w:ascii="Times New Roman" w:hAnsi="Times New Roman" w:cs="Times New Roman"/>
          <w:lang w:eastAsia="sk-SK"/>
        </w:rPr>
        <w:t>Neuplatňuje sa.</w:t>
      </w:r>
    </w:p>
    <w:p w14:paraId="471DB379" w14:textId="4DFCE363" w:rsidR="00902157" w:rsidRPr="000578FE" w:rsidRDefault="00437885" w:rsidP="007157D7">
      <w:pPr>
        <w:pStyle w:val="Nadpis4"/>
        <w:numPr>
          <w:ilvl w:val="3"/>
          <w:numId w:val="16"/>
        </w:numPr>
        <w:rPr>
          <w:rFonts w:ascii="Times New Roman" w:eastAsia="Times New Roman" w:hAnsi="Times New Roman" w:cs="Times New Roman"/>
          <w:i w:val="0"/>
          <w:color w:val="auto"/>
          <w:lang w:eastAsia="sk-SK"/>
        </w:rPr>
      </w:pPr>
      <w:bookmarkStart w:id="79" w:name="_Toc480547254"/>
      <w:r w:rsidRPr="000578FE">
        <w:rPr>
          <w:rFonts w:ascii="Times New Roman" w:eastAsia="Times New Roman" w:hAnsi="Times New Roman" w:cs="Times New Roman"/>
          <w:i w:val="0"/>
          <w:color w:val="auto"/>
          <w:lang w:eastAsia="sk-SK"/>
        </w:rPr>
        <w:t>Z</w:t>
      </w:r>
      <w:r w:rsidR="00902157" w:rsidRPr="000578FE">
        <w:rPr>
          <w:rFonts w:ascii="Times New Roman" w:eastAsia="Times New Roman" w:hAnsi="Times New Roman" w:cs="Times New Roman"/>
          <w:i w:val="0"/>
          <w:color w:val="auto"/>
          <w:lang w:eastAsia="sk-SK"/>
        </w:rPr>
        <w:t>verejnené úspory energie dosiahnuté v dôsledku vykonávania alternatívnych politických opatrení</w:t>
      </w:r>
      <w:bookmarkEnd w:id="79"/>
    </w:p>
    <w:p w14:paraId="24E0DEA6" w14:textId="77777777" w:rsidR="003A0C07" w:rsidRPr="009F2998" w:rsidRDefault="003A0C07" w:rsidP="00902157">
      <w:pPr>
        <w:rPr>
          <w:rFonts w:ascii="Times New Roman" w:hAnsi="Times New Roman" w:cs="Times New Roman"/>
          <w:highlight w:val="yellow"/>
          <w:lang w:eastAsia="sk-SK"/>
        </w:rPr>
      </w:pPr>
    </w:p>
    <w:p w14:paraId="40D3DA68" w14:textId="4F88928C" w:rsidR="00B81032" w:rsidRDefault="00BF3E63" w:rsidP="00B81032">
      <w:pPr>
        <w:jc w:val="both"/>
        <w:rPr>
          <w:rFonts w:ascii="Times New Roman" w:hAnsi="Times New Roman" w:cs="Times New Roman"/>
          <w:sz w:val="24"/>
          <w:szCs w:val="24"/>
        </w:rPr>
      </w:pPr>
      <w:r>
        <w:rPr>
          <w:rFonts w:ascii="Times New Roman" w:hAnsi="Times New Roman" w:cs="Times New Roman"/>
          <w:sz w:val="24"/>
          <w:szCs w:val="24"/>
        </w:rPr>
        <w:t>Ú</w:t>
      </w:r>
      <w:r w:rsidR="00B81032" w:rsidRPr="000745A8">
        <w:rPr>
          <w:rFonts w:ascii="Times New Roman" w:hAnsi="Times New Roman" w:cs="Times New Roman"/>
          <w:sz w:val="24"/>
          <w:szCs w:val="24"/>
        </w:rPr>
        <w:t xml:space="preserve">spory energie u koncových odberateľov </w:t>
      </w:r>
      <w:r>
        <w:rPr>
          <w:rFonts w:ascii="Times New Roman" w:hAnsi="Times New Roman" w:cs="Times New Roman"/>
          <w:sz w:val="24"/>
          <w:szCs w:val="24"/>
        </w:rPr>
        <w:t>sú v členení podľa jednotlivých sektorov uvedené v tabuľke č. 12.</w:t>
      </w:r>
    </w:p>
    <w:p w14:paraId="261F7B0C" w14:textId="1BEA3607" w:rsidR="00BF3E63" w:rsidRPr="00BF3E63" w:rsidRDefault="00BF3E63" w:rsidP="00B81032">
      <w:pPr>
        <w:jc w:val="both"/>
        <w:rPr>
          <w:rFonts w:ascii="Times New Roman" w:hAnsi="Times New Roman" w:cs="Times New Roman"/>
          <w:sz w:val="24"/>
          <w:szCs w:val="24"/>
        </w:rPr>
      </w:pPr>
      <w:r w:rsidRPr="00BF3E63">
        <w:rPr>
          <w:rFonts w:ascii="Times New Roman" w:hAnsi="Times New Roman" w:cs="Times New Roman"/>
          <w:sz w:val="24"/>
          <w:szCs w:val="24"/>
        </w:rPr>
        <w:t xml:space="preserve">Tabuľka č. 12: </w:t>
      </w:r>
      <w:r w:rsidRPr="000578FE">
        <w:rPr>
          <w:rFonts w:ascii="Times New Roman" w:hAnsi="Times New Roman" w:cs="Times New Roman"/>
          <w:sz w:val="24"/>
          <w:szCs w:val="24"/>
        </w:rPr>
        <w:t>Úspory energie pre plnenie článku 7 smernice 2012/27/EÚ za rok 2014-2016</w:t>
      </w:r>
    </w:p>
    <w:tbl>
      <w:tblPr>
        <w:tblpPr w:leftFromText="141" w:rightFromText="141" w:vertAnchor="text" w:horzAnchor="margin" w:tblpY="19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9"/>
        <w:gridCol w:w="1064"/>
        <w:gridCol w:w="1256"/>
        <w:gridCol w:w="1256"/>
        <w:gridCol w:w="1258"/>
        <w:gridCol w:w="1256"/>
        <w:gridCol w:w="1343"/>
      </w:tblGrid>
      <w:tr w:rsidR="00486EFA" w:rsidRPr="009F2998" w14:paraId="2616AEF0" w14:textId="77777777" w:rsidTr="007D59F2">
        <w:trPr>
          <w:trHeight w:val="267"/>
        </w:trPr>
        <w:tc>
          <w:tcPr>
            <w:tcW w:w="894" w:type="pct"/>
            <w:vMerge w:val="restart"/>
            <w:tcBorders>
              <w:top w:val="single" w:sz="8" w:space="0" w:color="auto"/>
              <w:left w:val="single" w:sz="8" w:space="0" w:color="auto"/>
            </w:tcBorders>
            <w:shd w:val="clear" w:color="auto" w:fill="BFBFBF" w:themeFill="background1" w:themeFillShade="BF"/>
            <w:noWrap/>
            <w:vAlign w:val="center"/>
            <w:hideMark/>
          </w:tcPr>
          <w:p w14:paraId="20F54C41" w14:textId="07D38FB5" w:rsidR="00486EFA" w:rsidRPr="009F2998" w:rsidRDefault="00486EFA" w:rsidP="00980AF7">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Sektor:</w:t>
            </w:r>
          </w:p>
        </w:tc>
        <w:tc>
          <w:tcPr>
            <w:tcW w:w="4106" w:type="pct"/>
            <w:gridSpan w:val="6"/>
            <w:tcBorders>
              <w:top w:val="single" w:sz="8" w:space="0" w:color="auto"/>
              <w:right w:val="single" w:sz="8" w:space="0" w:color="auto"/>
            </w:tcBorders>
            <w:shd w:val="clear" w:color="auto" w:fill="BFBFBF" w:themeFill="background1" w:themeFillShade="BF"/>
          </w:tcPr>
          <w:p w14:paraId="763D3B3E" w14:textId="05AFCD06" w:rsidR="00486EFA" w:rsidRPr="009F2998" w:rsidRDefault="00486EFA" w:rsidP="006119A5">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Úspory pre plnenie cieľa čl. 7</w:t>
            </w:r>
          </w:p>
        </w:tc>
      </w:tr>
      <w:tr w:rsidR="00486EFA" w:rsidRPr="009F2998" w14:paraId="62B555D5" w14:textId="77777777" w:rsidTr="007D59F2">
        <w:trPr>
          <w:trHeight w:val="281"/>
        </w:trPr>
        <w:tc>
          <w:tcPr>
            <w:tcW w:w="894" w:type="pct"/>
            <w:vMerge/>
            <w:tcBorders>
              <w:left w:val="single" w:sz="8" w:space="0" w:color="auto"/>
            </w:tcBorders>
            <w:shd w:val="clear" w:color="auto" w:fill="BFBFBF" w:themeFill="background1" w:themeFillShade="BF"/>
            <w:noWrap/>
            <w:vAlign w:val="bottom"/>
            <w:hideMark/>
          </w:tcPr>
          <w:p w14:paraId="4F41F8F0" w14:textId="77777777" w:rsidR="00486EFA" w:rsidRPr="009F2998" w:rsidRDefault="00486EFA" w:rsidP="006119A5">
            <w:pPr>
              <w:spacing w:after="0" w:line="240" w:lineRule="auto"/>
              <w:rPr>
                <w:rFonts w:ascii="Times New Roman" w:eastAsia="Times New Roman" w:hAnsi="Times New Roman" w:cs="Times New Roman"/>
                <w:b/>
                <w:color w:val="000000"/>
                <w:lang w:eastAsia="sk-SK"/>
              </w:rPr>
            </w:pPr>
          </w:p>
        </w:tc>
        <w:tc>
          <w:tcPr>
            <w:tcW w:w="1281" w:type="pct"/>
            <w:gridSpan w:val="2"/>
            <w:tcBorders>
              <w:right w:val="single" w:sz="8" w:space="0" w:color="auto"/>
            </w:tcBorders>
            <w:shd w:val="clear" w:color="auto" w:fill="BFBFBF" w:themeFill="background1" w:themeFillShade="BF"/>
            <w:vAlign w:val="center"/>
          </w:tcPr>
          <w:p w14:paraId="30F80188" w14:textId="77777777" w:rsidR="00486EFA" w:rsidRPr="009F2998" w:rsidRDefault="00486EFA" w:rsidP="006119A5">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2014</w:t>
            </w:r>
          </w:p>
          <w:p w14:paraId="355F78ED" w14:textId="6D2A9805" w:rsidR="00486EFA" w:rsidRPr="0016099E" w:rsidRDefault="00486EFA" w:rsidP="0016099E">
            <w:pPr>
              <w:spacing w:after="0" w:line="240" w:lineRule="auto"/>
              <w:jc w:val="center"/>
              <w:rPr>
                <w:rFonts w:ascii="Times New Roman" w:eastAsia="Times New Roman" w:hAnsi="Times New Roman" w:cs="Times New Roman"/>
                <w:color w:val="000000"/>
                <w:sz w:val="16"/>
                <w:szCs w:val="16"/>
                <w:lang w:eastAsia="sk-SK"/>
              </w:rPr>
            </w:pPr>
            <w:r w:rsidRPr="0016099E">
              <w:rPr>
                <w:rFonts w:ascii="Times New Roman" w:eastAsia="Times New Roman" w:hAnsi="Times New Roman" w:cs="Times New Roman"/>
                <w:color w:val="000000"/>
                <w:sz w:val="16"/>
                <w:szCs w:val="16"/>
                <w:lang w:eastAsia="sk-SK"/>
              </w:rPr>
              <w:t>(akt</w:t>
            </w:r>
            <w:r w:rsidR="0016099E">
              <w:rPr>
                <w:rFonts w:ascii="Times New Roman" w:eastAsia="Times New Roman" w:hAnsi="Times New Roman" w:cs="Times New Roman"/>
                <w:color w:val="000000"/>
                <w:sz w:val="16"/>
                <w:szCs w:val="16"/>
                <w:lang w:eastAsia="sk-SK"/>
              </w:rPr>
              <w:t>ualizované 04/</w:t>
            </w:r>
            <w:r w:rsidRPr="0016099E">
              <w:rPr>
                <w:rFonts w:ascii="Times New Roman" w:eastAsia="Times New Roman" w:hAnsi="Times New Roman" w:cs="Times New Roman"/>
                <w:color w:val="000000"/>
                <w:sz w:val="16"/>
                <w:szCs w:val="16"/>
                <w:lang w:eastAsia="sk-SK"/>
              </w:rPr>
              <w:t>2016)</w:t>
            </w:r>
          </w:p>
        </w:tc>
        <w:tc>
          <w:tcPr>
            <w:tcW w:w="1389" w:type="pct"/>
            <w:gridSpan w:val="2"/>
            <w:tcBorders>
              <w:left w:val="single" w:sz="8" w:space="0" w:color="auto"/>
              <w:right w:val="single" w:sz="8" w:space="0" w:color="auto"/>
            </w:tcBorders>
            <w:shd w:val="clear" w:color="auto" w:fill="BFBFBF" w:themeFill="background1" w:themeFillShade="BF"/>
            <w:vAlign w:val="center"/>
          </w:tcPr>
          <w:p w14:paraId="1451B30B" w14:textId="0FB0F44D" w:rsidR="00486EFA" w:rsidRPr="009F2998" w:rsidRDefault="00486EFA" w:rsidP="0016099E">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 xml:space="preserve">2015 </w:t>
            </w:r>
            <w:r w:rsidRPr="009F2998">
              <w:rPr>
                <w:rFonts w:ascii="Times New Roman" w:eastAsia="Times New Roman" w:hAnsi="Times New Roman" w:cs="Times New Roman"/>
                <w:b/>
                <w:color w:val="000000"/>
                <w:lang w:eastAsia="sk-SK"/>
              </w:rPr>
              <w:br/>
            </w:r>
            <w:r w:rsidR="0016099E" w:rsidRPr="0016099E">
              <w:rPr>
                <w:rFonts w:ascii="Times New Roman" w:eastAsia="Times New Roman" w:hAnsi="Times New Roman" w:cs="Times New Roman"/>
                <w:color w:val="000000"/>
                <w:sz w:val="16"/>
                <w:szCs w:val="16"/>
                <w:lang w:eastAsia="sk-SK"/>
              </w:rPr>
              <w:t>(akt</w:t>
            </w:r>
            <w:r w:rsidR="0016099E">
              <w:rPr>
                <w:rFonts w:ascii="Times New Roman" w:eastAsia="Times New Roman" w:hAnsi="Times New Roman" w:cs="Times New Roman"/>
                <w:color w:val="000000"/>
                <w:sz w:val="16"/>
                <w:szCs w:val="16"/>
                <w:lang w:eastAsia="sk-SK"/>
              </w:rPr>
              <w:t>ualizované 01/</w:t>
            </w:r>
            <w:r w:rsidR="0016099E" w:rsidRPr="0016099E">
              <w:rPr>
                <w:rFonts w:ascii="Times New Roman" w:eastAsia="Times New Roman" w:hAnsi="Times New Roman" w:cs="Times New Roman"/>
                <w:color w:val="000000"/>
                <w:sz w:val="16"/>
                <w:szCs w:val="16"/>
                <w:lang w:eastAsia="sk-SK"/>
              </w:rPr>
              <w:t>201</w:t>
            </w:r>
            <w:r w:rsidR="0016099E">
              <w:rPr>
                <w:rFonts w:ascii="Times New Roman" w:eastAsia="Times New Roman" w:hAnsi="Times New Roman" w:cs="Times New Roman"/>
                <w:color w:val="000000"/>
                <w:sz w:val="16"/>
                <w:szCs w:val="16"/>
                <w:lang w:eastAsia="sk-SK"/>
              </w:rPr>
              <w:t>7</w:t>
            </w:r>
            <w:r w:rsidR="0016099E" w:rsidRPr="0016099E">
              <w:rPr>
                <w:rFonts w:ascii="Times New Roman" w:eastAsia="Times New Roman" w:hAnsi="Times New Roman" w:cs="Times New Roman"/>
                <w:color w:val="000000"/>
                <w:sz w:val="16"/>
                <w:szCs w:val="16"/>
                <w:lang w:eastAsia="sk-SK"/>
              </w:rPr>
              <w:t>)</w:t>
            </w:r>
          </w:p>
        </w:tc>
        <w:tc>
          <w:tcPr>
            <w:tcW w:w="1437" w:type="pct"/>
            <w:gridSpan w:val="2"/>
            <w:tcBorders>
              <w:left w:val="single" w:sz="8" w:space="0" w:color="auto"/>
              <w:right w:val="single" w:sz="8" w:space="0" w:color="auto"/>
            </w:tcBorders>
            <w:shd w:val="clear" w:color="auto" w:fill="BFBFBF" w:themeFill="background1" w:themeFillShade="BF"/>
            <w:noWrap/>
            <w:vAlign w:val="center"/>
          </w:tcPr>
          <w:p w14:paraId="06777E68" w14:textId="4D843871" w:rsidR="00486EFA" w:rsidRPr="009F2998" w:rsidRDefault="00486EFA" w:rsidP="006119A5">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2016</w:t>
            </w:r>
            <w:r w:rsidR="00F61485" w:rsidRPr="009F2998">
              <w:rPr>
                <w:rStyle w:val="Odkaznapoznmkupodiarou"/>
                <w:rFonts w:ascii="Times New Roman" w:eastAsia="Times New Roman" w:hAnsi="Times New Roman" w:cs="Times New Roman"/>
                <w:b/>
                <w:color w:val="000000"/>
                <w:lang w:eastAsia="sk-SK"/>
              </w:rPr>
              <w:footnoteReference w:id="29"/>
            </w:r>
          </w:p>
          <w:p w14:paraId="3D82EC70" w14:textId="06E8DD1B" w:rsidR="00486EFA" w:rsidRPr="009F2998" w:rsidRDefault="00B94F9B" w:rsidP="006119A5">
            <w:pPr>
              <w:spacing w:after="0" w:line="240" w:lineRule="auto"/>
              <w:jc w:val="center"/>
              <w:rPr>
                <w:rFonts w:ascii="Times New Roman" w:eastAsia="Times New Roman" w:hAnsi="Times New Roman" w:cs="Times New Roman"/>
                <w:b/>
                <w:color w:val="000000"/>
                <w:lang w:eastAsia="sk-SK"/>
              </w:rPr>
            </w:pPr>
            <w:r>
              <w:rPr>
                <w:rFonts w:ascii="Times New Roman" w:eastAsia="Times New Roman" w:hAnsi="Times New Roman" w:cs="Times New Roman"/>
                <w:color w:val="000000"/>
                <w:sz w:val="16"/>
                <w:szCs w:val="16"/>
                <w:lang w:eastAsia="sk-SK"/>
              </w:rPr>
              <w:t>(01/</w:t>
            </w:r>
            <w:r w:rsidRPr="0016099E">
              <w:rPr>
                <w:rFonts w:ascii="Times New Roman" w:eastAsia="Times New Roman" w:hAnsi="Times New Roman" w:cs="Times New Roman"/>
                <w:color w:val="000000"/>
                <w:sz w:val="16"/>
                <w:szCs w:val="16"/>
                <w:lang w:eastAsia="sk-SK"/>
              </w:rPr>
              <w:t>201</w:t>
            </w:r>
            <w:r>
              <w:rPr>
                <w:rFonts w:ascii="Times New Roman" w:eastAsia="Times New Roman" w:hAnsi="Times New Roman" w:cs="Times New Roman"/>
                <w:color w:val="000000"/>
                <w:sz w:val="16"/>
                <w:szCs w:val="16"/>
                <w:lang w:eastAsia="sk-SK"/>
              </w:rPr>
              <w:t>7</w:t>
            </w:r>
            <w:r w:rsidRPr="0016099E">
              <w:rPr>
                <w:rFonts w:ascii="Times New Roman" w:eastAsia="Times New Roman" w:hAnsi="Times New Roman" w:cs="Times New Roman"/>
                <w:color w:val="000000"/>
                <w:sz w:val="16"/>
                <w:szCs w:val="16"/>
                <w:lang w:eastAsia="sk-SK"/>
              </w:rPr>
              <w:t>)</w:t>
            </w:r>
          </w:p>
        </w:tc>
      </w:tr>
      <w:tr w:rsidR="004E746F" w:rsidRPr="009F2998" w14:paraId="1240D290" w14:textId="77777777" w:rsidTr="007D59F2">
        <w:trPr>
          <w:trHeight w:val="267"/>
        </w:trPr>
        <w:tc>
          <w:tcPr>
            <w:tcW w:w="894" w:type="pct"/>
            <w:vMerge/>
            <w:tcBorders>
              <w:left w:val="single" w:sz="8" w:space="0" w:color="auto"/>
              <w:bottom w:val="single" w:sz="8" w:space="0" w:color="auto"/>
            </w:tcBorders>
            <w:shd w:val="clear" w:color="auto" w:fill="auto"/>
            <w:noWrap/>
            <w:vAlign w:val="bottom"/>
            <w:hideMark/>
          </w:tcPr>
          <w:p w14:paraId="61AAC1B7" w14:textId="77777777" w:rsidR="00486EFA" w:rsidRPr="009F2998" w:rsidRDefault="00486EFA" w:rsidP="00486EFA">
            <w:pPr>
              <w:spacing w:after="0" w:line="240" w:lineRule="auto"/>
              <w:rPr>
                <w:rFonts w:ascii="Times New Roman" w:eastAsia="Times New Roman" w:hAnsi="Times New Roman" w:cs="Times New Roman"/>
                <w:b/>
                <w:color w:val="000000"/>
                <w:lang w:eastAsia="sk-SK"/>
              </w:rPr>
            </w:pPr>
          </w:p>
        </w:tc>
        <w:tc>
          <w:tcPr>
            <w:tcW w:w="587" w:type="pct"/>
            <w:tcBorders>
              <w:bottom w:val="single" w:sz="8" w:space="0" w:color="auto"/>
            </w:tcBorders>
            <w:shd w:val="clear" w:color="auto" w:fill="BFBFBF" w:themeFill="background1" w:themeFillShade="BF"/>
            <w:vAlign w:val="center"/>
          </w:tcPr>
          <w:p w14:paraId="6ED6748D" w14:textId="77777777" w:rsidR="00486EFA" w:rsidRPr="009F2998" w:rsidRDefault="00486EFA" w:rsidP="00486EFA">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TJ/rok</w:t>
            </w:r>
          </w:p>
        </w:tc>
        <w:tc>
          <w:tcPr>
            <w:tcW w:w="694" w:type="pct"/>
            <w:tcBorders>
              <w:bottom w:val="single" w:sz="8" w:space="0" w:color="auto"/>
              <w:right w:val="single" w:sz="8" w:space="0" w:color="auto"/>
            </w:tcBorders>
            <w:shd w:val="clear" w:color="auto" w:fill="BFBFBF" w:themeFill="background1" w:themeFillShade="BF"/>
          </w:tcPr>
          <w:p w14:paraId="344234B8" w14:textId="77777777" w:rsidR="00486EFA" w:rsidRPr="009F2998" w:rsidRDefault="00486EFA" w:rsidP="00486EFA">
            <w:pPr>
              <w:spacing w:after="0" w:line="240" w:lineRule="auto"/>
              <w:jc w:val="right"/>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GWh/rok</w:t>
            </w:r>
          </w:p>
        </w:tc>
        <w:tc>
          <w:tcPr>
            <w:tcW w:w="694" w:type="pct"/>
            <w:tcBorders>
              <w:left w:val="single" w:sz="8" w:space="0" w:color="auto"/>
              <w:bottom w:val="single" w:sz="8" w:space="0" w:color="auto"/>
            </w:tcBorders>
            <w:shd w:val="clear" w:color="auto" w:fill="BFBFBF" w:themeFill="background1" w:themeFillShade="BF"/>
            <w:vAlign w:val="center"/>
          </w:tcPr>
          <w:p w14:paraId="6AED351B" w14:textId="55C6F6EA" w:rsidR="00486EFA" w:rsidRPr="009F2998" w:rsidRDefault="00486EFA" w:rsidP="00486EFA">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TJ/rok</w:t>
            </w:r>
          </w:p>
        </w:tc>
        <w:tc>
          <w:tcPr>
            <w:tcW w:w="695" w:type="pct"/>
            <w:tcBorders>
              <w:bottom w:val="single" w:sz="8" w:space="0" w:color="auto"/>
              <w:right w:val="single" w:sz="8" w:space="0" w:color="auto"/>
            </w:tcBorders>
            <w:shd w:val="clear" w:color="auto" w:fill="BFBFBF" w:themeFill="background1" w:themeFillShade="BF"/>
          </w:tcPr>
          <w:p w14:paraId="291B4AD7" w14:textId="4CFB44F3" w:rsidR="00486EFA" w:rsidRPr="009F2998" w:rsidRDefault="00486EFA" w:rsidP="00486EFA">
            <w:pPr>
              <w:spacing w:after="0" w:line="240" w:lineRule="auto"/>
              <w:jc w:val="right"/>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GWh/rok</w:t>
            </w:r>
          </w:p>
        </w:tc>
        <w:tc>
          <w:tcPr>
            <w:tcW w:w="694" w:type="pct"/>
            <w:tcBorders>
              <w:left w:val="single" w:sz="8" w:space="0" w:color="auto"/>
              <w:bottom w:val="single" w:sz="8" w:space="0" w:color="auto"/>
            </w:tcBorders>
            <w:shd w:val="clear" w:color="auto" w:fill="BFBFBF" w:themeFill="background1" w:themeFillShade="BF"/>
            <w:noWrap/>
            <w:vAlign w:val="center"/>
          </w:tcPr>
          <w:p w14:paraId="1712E1AA" w14:textId="46DD6D46" w:rsidR="00486EFA" w:rsidRPr="009F2998" w:rsidRDefault="00486EFA" w:rsidP="00486EFA">
            <w:pPr>
              <w:spacing w:after="0" w:line="240" w:lineRule="auto"/>
              <w:jc w:val="right"/>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TJ/rok</w:t>
            </w:r>
          </w:p>
        </w:tc>
        <w:tc>
          <w:tcPr>
            <w:tcW w:w="743" w:type="pct"/>
            <w:tcBorders>
              <w:bottom w:val="single" w:sz="8" w:space="0" w:color="auto"/>
              <w:right w:val="single" w:sz="8" w:space="0" w:color="auto"/>
            </w:tcBorders>
            <w:shd w:val="clear" w:color="auto" w:fill="BFBFBF" w:themeFill="background1" w:themeFillShade="BF"/>
          </w:tcPr>
          <w:p w14:paraId="4A67FC24" w14:textId="37B5E81A" w:rsidR="00486EFA" w:rsidRPr="009F2998" w:rsidRDefault="00486EFA" w:rsidP="00486EFA">
            <w:pPr>
              <w:spacing w:after="0" w:line="240" w:lineRule="auto"/>
              <w:jc w:val="right"/>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GWh/rok</w:t>
            </w:r>
          </w:p>
        </w:tc>
      </w:tr>
      <w:tr w:rsidR="007D59F2" w:rsidRPr="009F2998" w14:paraId="56F8E855" w14:textId="77777777" w:rsidTr="005F7B58">
        <w:trPr>
          <w:trHeight w:val="267"/>
        </w:trPr>
        <w:tc>
          <w:tcPr>
            <w:tcW w:w="894" w:type="pct"/>
            <w:tcBorders>
              <w:top w:val="single" w:sz="8" w:space="0" w:color="auto"/>
              <w:left w:val="single" w:sz="8" w:space="0" w:color="auto"/>
              <w:bottom w:val="single" w:sz="4" w:space="0" w:color="auto"/>
              <w:right w:val="single" w:sz="4" w:space="0" w:color="auto"/>
            </w:tcBorders>
            <w:shd w:val="clear" w:color="auto" w:fill="auto"/>
            <w:noWrap/>
            <w:vAlign w:val="center"/>
          </w:tcPr>
          <w:p w14:paraId="5BDA9DDA" w14:textId="77777777" w:rsidR="007D59F2" w:rsidRPr="009F2998" w:rsidRDefault="007D59F2" w:rsidP="007D59F2">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Budovy</w:t>
            </w:r>
          </w:p>
        </w:tc>
        <w:tc>
          <w:tcPr>
            <w:tcW w:w="587" w:type="pct"/>
            <w:tcBorders>
              <w:top w:val="single" w:sz="8" w:space="0" w:color="auto"/>
              <w:left w:val="single" w:sz="4" w:space="0" w:color="auto"/>
              <w:bottom w:val="single" w:sz="4" w:space="0" w:color="auto"/>
              <w:right w:val="single" w:sz="4" w:space="0" w:color="auto"/>
            </w:tcBorders>
            <w:vAlign w:val="center"/>
          </w:tcPr>
          <w:p w14:paraId="6CE68F3B" w14:textId="5438B424" w:rsidR="007D59F2" w:rsidRPr="00951485" w:rsidRDefault="007D59F2" w:rsidP="007D59F2">
            <w:pPr>
              <w:spacing w:after="0" w:line="240" w:lineRule="auto"/>
              <w:jc w:val="right"/>
              <w:rPr>
                <w:rFonts w:ascii="Times New Roman" w:hAnsi="Times New Roman" w:cs="Times New Roman"/>
                <w:color w:val="000000"/>
              </w:rPr>
            </w:pPr>
            <w:r w:rsidRPr="00AF5415">
              <w:rPr>
                <w:rFonts w:ascii="Times New Roman" w:hAnsi="Times New Roman" w:cs="Times New Roman"/>
              </w:rPr>
              <w:t>1 617</w:t>
            </w:r>
          </w:p>
        </w:tc>
        <w:tc>
          <w:tcPr>
            <w:tcW w:w="694" w:type="pct"/>
            <w:tcBorders>
              <w:top w:val="single" w:sz="8" w:space="0" w:color="auto"/>
              <w:left w:val="single" w:sz="4" w:space="0" w:color="auto"/>
              <w:bottom w:val="single" w:sz="4" w:space="0" w:color="auto"/>
              <w:right w:val="single" w:sz="8" w:space="0" w:color="auto"/>
            </w:tcBorders>
            <w:shd w:val="clear" w:color="auto" w:fill="auto"/>
            <w:vAlign w:val="center"/>
          </w:tcPr>
          <w:p w14:paraId="6411BEDF" w14:textId="5EA4DE64" w:rsidR="007D59F2" w:rsidRPr="00951485" w:rsidRDefault="007D59F2" w:rsidP="007D59F2">
            <w:pPr>
              <w:spacing w:after="0" w:line="240" w:lineRule="auto"/>
              <w:jc w:val="right"/>
              <w:rPr>
                <w:rFonts w:ascii="Times New Roman" w:hAnsi="Times New Roman" w:cs="Times New Roman"/>
                <w:b/>
                <w:color w:val="000000"/>
              </w:rPr>
            </w:pPr>
            <w:r w:rsidRPr="00AF5415">
              <w:rPr>
                <w:rFonts w:ascii="Times New Roman" w:hAnsi="Times New Roman" w:cs="Times New Roman"/>
                <w:b/>
              </w:rPr>
              <w:t>449,10</w:t>
            </w:r>
          </w:p>
        </w:tc>
        <w:tc>
          <w:tcPr>
            <w:tcW w:w="694" w:type="pct"/>
            <w:tcBorders>
              <w:top w:val="single" w:sz="8" w:space="0" w:color="auto"/>
              <w:left w:val="single" w:sz="8" w:space="0" w:color="auto"/>
              <w:bottom w:val="single" w:sz="4" w:space="0" w:color="auto"/>
              <w:right w:val="single" w:sz="4" w:space="0" w:color="auto"/>
            </w:tcBorders>
          </w:tcPr>
          <w:p w14:paraId="17D45558" w14:textId="0B18C033" w:rsidR="007D59F2" w:rsidRPr="00AF28E9" w:rsidRDefault="007D59F2" w:rsidP="007D59F2">
            <w:pPr>
              <w:spacing w:after="0" w:line="240" w:lineRule="auto"/>
              <w:jc w:val="right"/>
              <w:rPr>
                <w:rFonts w:ascii="Times New Roman" w:hAnsi="Times New Roman" w:cs="Times New Roman"/>
                <w:color w:val="000000"/>
              </w:rPr>
            </w:pPr>
            <w:r w:rsidRPr="005F7B58">
              <w:rPr>
                <w:rFonts w:ascii="Times New Roman" w:hAnsi="Times New Roman" w:cs="Times New Roman"/>
              </w:rPr>
              <w:t>1 773</w:t>
            </w:r>
          </w:p>
        </w:tc>
        <w:tc>
          <w:tcPr>
            <w:tcW w:w="695" w:type="pct"/>
            <w:tcBorders>
              <w:top w:val="single" w:sz="8" w:space="0" w:color="auto"/>
              <w:left w:val="single" w:sz="4" w:space="0" w:color="auto"/>
              <w:bottom w:val="single" w:sz="4" w:space="0" w:color="auto"/>
              <w:right w:val="single" w:sz="8" w:space="0" w:color="auto"/>
            </w:tcBorders>
            <w:shd w:val="clear" w:color="auto" w:fill="auto"/>
          </w:tcPr>
          <w:p w14:paraId="47DACCC3" w14:textId="4F92190D" w:rsidR="007D59F2" w:rsidRPr="00AF28E9" w:rsidRDefault="007D59F2" w:rsidP="007D59F2">
            <w:pPr>
              <w:spacing w:after="0" w:line="240" w:lineRule="auto"/>
              <w:jc w:val="right"/>
              <w:rPr>
                <w:rFonts w:ascii="Times New Roman" w:hAnsi="Times New Roman" w:cs="Times New Roman"/>
                <w:b/>
                <w:color w:val="000000"/>
              </w:rPr>
            </w:pPr>
            <w:r w:rsidRPr="005F7B58">
              <w:rPr>
                <w:rFonts w:ascii="Times New Roman" w:hAnsi="Times New Roman" w:cs="Times New Roman"/>
                <w:b/>
              </w:rPr>
              <w:t>492,58</w:t>
            </w:r>
          </w:p>
        </w:tc>
        <w:tc>
          <w:tcPr>
            <w:tcW w:w="694" w:type="pct"/>
            <w:tcBorders>
              <w:top w:val="single" w:sz="8" w:space="0" w:color="auto"/>
              <w:left w:val="single" w:sz="8" w:space="0" w:color="auto"/>
              <w:bottom w:val="single" w:sz="4" w:space="0" w:color="auto"/>
              <w:right w:val="single" w:sz="4" w:space="0" w:color="auto"/>
            </w:tcBorders>
            <w:shd w:val="clear" w:color="auto" w:fill="auto"/>
            <w:noWrap/>
          </w:tcPr>
          <w:p w14:paraId="2FEE2CBB" w14:textId="32D7EE3A" w:rsidR="007D59F2" w:rsidRPr="00AF28E9" w:rsidRDefault="007D59F2" w:rsidP="007D59F2">
            <w:pPr>
              <w:spacing w:after="0" w:line="240" w:lineRule="auto"/>
              <w:jc w:val="right"/>
              <w:rPr>
                <w:rFonts w:ascii="Times New Roman" w:hAnsi="Times New Roman" w:cs="Times New Roman"/>
                <w:color w:val="000000"/>
              </w:rPr>
            </w:pPr>
            <w:r w:rsidRPr="005F7B58">
              <w:rPr>
                <w:rFonts w:ascii="Times New Roman" w:hAnsi="Times New Roman" w:cs="Times New Roman"/>
              </w:rPr>
              <w:t>1 661</w:t>
            </w:r>
          </w:p>
        </w:tc>
        <w:tc>
          <w:tcPr>
            <w:tcW w:w="743" w:type="pct"/>
            <w:tcBorders>
              <w:top w:val="single" w:sz="8" w:space="0" w:color="auto"/>
              <w:left w:val="single" w:sz="4" w:space="0" w:color="auto"/>
              <w:bottom w:val="single" w:sz="4" w:space="0" w:color="auto"/>
              <w:right w:val="single" w:sz="8" w:space="0" w:color="auto"/>
            </w:tcBorders>
            <w:shd w:val="clear" w:color="auto" w:fill="auto"/>
          </w:tcPr>
          <w:p w14:paraId="5F36DE3E" w14:textId="20DAED21" w:rsidR="007D59F2" w:rsidRPr="00AF28E9" w:rsidRDefault="007D59F2" w:rsidP="007D59F2">
            <w:pPr>
              <w:spacing w:after="0" w:line="240" w:lineRule="auto"/>
              <w:jc w:val="right"/>
              <w:rPr>
                <w:rFonts w:ascii="Times New Roman" w:hAnsi="Times New Roman" w:cs="Times New Roman"/>
                <w:b/>
                <w:color w:val="000000"/>
              </w:rPr>
            </w:pPr>
            <w:r w:rsidRPr="005F7B58">
              <w:rPr>
                <w:rFonts w:ascii="Times New Roman" w:hAnsi="Times New Roman" w:cs="Times New Roman"/>
                <w:b/>
              </w:rPr>
              <w:t>461,44</w:t>
            </w:r>
          </w:p>
        </w:tc>
      </w:tr>
      <w:tr w:rsidR="007D59F2" w:rsidRPr="009F2998" w14:paraId="39BC900B" w14:textId="77777777" w:rsidTr="005F7B58">
        <w:trPr>
          <w:trHeight w:val="267"/>
        </w:trPr>
        <w:tc>
          <w:tcPr>
            <w:tcW w:w="894"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5F5EFBB" w14:textId="77777777" w:rsidR="007D59F2" w:rsidRPr="009F2998" w:rsidRDefault="007D59F2" w:rsidP="007D59F2">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Priemysel</w:t>
            </w:r>
          </w:p>
        </w:tc>
        <w:tc>
          <w:tcPr>
            <w:tcW w:w="587" w:type="pct"/>
            <w:tcBorders>
              <w:top w:val="single" w:sz="4" w:space="0" w:color="auto"/>
              <w:left w:val="single" w:sz="4" w:space="0" w:color="auto"/>
              <w:bottom w:val="single" w:sz="4" w:space="0" w:color="auto"/>
              <w:right w:val="single" w:sz="4" w:space="0" w:color="auto"/>
            </w:tcBorders>
            <w:vAlign w:val="center"/>
          </w:tcPr>
          <w:p w14:paraId="66FA8D28" w14:textId="757B1E7D" w:rsidR="007D59F2" w:rsidRPr="00951485" w:rsidRDefault="007D59F2" w:rsidP="007D59F2">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1 015</w:t>
            </w:r>
          </w:p>
        </w:tc>
        <w:tc>
          <w:tcPr>
            <w:tcW w:w="694" w:type="pct"/>
            <w:tcBorders>
              <w:top w:val="single" w:sz="4" w:space="0" w:color="auto"/>
              <w:left w:val="single" w:sz="4" w:space="0" w:color="auto"/>
              <w:bottom w:val="single" w:sz="4" w:space="0" w:color="auto"/>
              <w:right w:val="single" w:sz="8" w:space="0" w:color="auto"/>
            </w:tcBorders>
            <w:shd w:val="clear" w:color="auto" w:fill="auto"/>
            <w:vAlign w:val="center"/>
          </w:tcPr>
          <w:p w14:paraId="35062886" w14:textId="0F4D924B" w:rsidR="007D59F2" w:rsidRPr="00951485" w:rsidRDefault="007D59F2" w:rsidP="007D59F2">
            <w:pPr>
              <w:spacing w:after="0" w:line="240" w:lineRule="auto"/>
              <w:jc w:val="right"/>
              <w:rPr>
                <w:rFonts w:ascii="Times New Roman" w:hAnsi="Times New Roman" w:cs="Times New Roman"/>
                <w:b/>
                <w:color w:val="000000"/>
              </w:rPr>
            </w:pPr>
            <w:r w:rsidRPr="00AF5415">
              <w:rPr>
                <w:rFonts w:ascii="Times New Roman" w:hAnsi="Times New Roman" w:cs="Times New Roman"/>
                <w:b/>
              </w:rPr>
              <w:t>281,97</w:t>
            </w:r>
          </w:p>
        </w:tc>
        <w:tc>
          <w:tcPr>
            <w:tcW w:w="694" w:type="pct"/>
            <w:tcBorders>
              <w:top w:val="single" w:sz="4" w:space="0" w:color="auto"/>
              <w:left w:val="single" w:sz="8" w:space="0" w:color="auto"/>
              <w:bottom w:val="single" w:sz="4" w:space="0" w:color="auto"/>
              <w:right w:val="single" w:sz="4" w:space="0" w:color="auto"/>
            </w:tcBorders>
          </w:tcPr>
          <w:p w14:paraId="484D7339" w14:textId="09C7DE76" w:rsidR="007D59F2" w:rsidRPr="00AF28E9" w:rsidRDefault="007D59F2" w:rsidP="007D59F2">
            <w:pPr>
              <w:spacing w:after="0" w:line="240" w:lineRule="auto"/>
              <w:jc w:val="right"/>
              <w:rPr>
                <w:rFonts w:ascii="Times New Roman" w:hAnsi="Times New Roman" w:cs="Times New Roman"/>
                <w:color w:val="000000"/>
              </w:rPr>
            </w:pPr>
            <w:r w:rsidRPr="005F7B58">
              <w:rPr>
                <w:rFonts w:ascii="Times New Roman" w:hAnsi="Times New Roman" w:cs="Times New Roman"/>
              </w:rPr>
              <w:t>1 633</w:t>
            </w:r>
          </w:p>
        </w:tc>
        <w:tc>
          <w:tcPr>
            <w:tcW w:w="695" w:type="pct"/>
            <w:tcBorders>
              <w:top w:val="single" w:sz="4" w:space="0" w:color="auto"/>
              <w:left w:val="single" w:sz="4" w:space="0" w:color="auto"/>
              <w:bottom w:val="single" w:sz="4" w:space="0" w:color="auto"/>
              <w:right w:val="single" w:sz="8" w:space="0" w:color="auto"/>
            </w:tcBorders>
            <w:shd w:val="clear" w:color="auto" w:fill="auto"/>
          </w:tcPr>
          <w:p w14:paraId="5E4A23AD" w14:textId="53AE15AE" w:rsidR="007D59F2" w:rsidRPr="00AF28E9" w:rsidRDefault="007D59F2" w:rsidP="007D59F2">
            <w:pPr>
              <w:spacing w:after="0" w:line="240" w:lineRule="auto"/>
              <w:jc w:val="right"/>
              <w:rPr>
                <w:rFonts w:ascii="Times New Roman" w:hAnsi="Times New Roman" w:cs="Times New Roman"/>
                <w:b/>
                <w:color w:val="000000"/>
              </w:rPr>
            </w:pPr>
            <w:r w:rsidRPr="005F7B58">
              <w:rPr>
                <w:rFonts w:ascii="Times New Roman" w:hAnsi="Times New Roman" w:cs="Times New Roman"/>
                <w:b/>
              </w:rPr>
              <w:t>453,62</w:t>
            </w:r>
          </w:p>
        </w:tc>
        <w:tc>
          <w:tcPr>
            <w:tcW w:w="694" w:type="pct"/>
            <w:tcBorders>
              <w:top w:val="single" w:sz="4" w:space="0" w:color="auto"/>
              <w:left w:val="single" w:sz="8" w:space="0" w:color="auto"/>
              <w:bottom w:val="single" w:sz="4" w:space="0" w:color="auto"/>
              <w:right w:val="single" w:sz="4" w:space="0" w:color="auto"/>
            </w:tcBorders>
            <w:shd w:val="clear" w:color="auto" w:fill="auto"/>
            <w:noWrap/>
          </w:tcPr>
          <w:p w14:paraId="5D47991C" w14:textId="5882929F" w:rsidR="007D59F2" w:rsidRPr="00AF28E9" w:rsidRDefault="007D59F2" w:rsidP="007D59F2">
            <w:pPr>
              <w:spacing w:after="0" w:line="240" w:lineRule="auto"/>
              <w:jc w:val="right"/>
              <w:rPr>
                <w:rFonts w:ascii="Times New Roman" w:hAnsi="Times New Roman" w:cs="Times New Roman"/>
                <w:color w:val="000000"/>
              </w:rPr>
            </w:pPr>
            <w:r w:rsidRPr="005F7B58">
              <w:rPr>
                <w:rFonts w:ascii="Times New Roman" w:hAnsi="Times New Roman" w:cs="Times New Roman"/>
              </w:rPr>
              <w:t>124</w:t>
            </w:r>
          </w:p>
        </w:tc>
        <w:tc>
          <w:tcPr>
            <w:tcW w:w="743" w:type="pct"/>
            <w:tcBorders>
              <w:top w:val="single" w:sz="4" w:space="0" w:color="auto"/>
              <w:left w:val="single" w:sz="4" w:space="0" w:color="auto"/>
              <w:bottom w:val="single" w:sz="4" w:space="0" w:color="auto"/>
              <w:right w:val="single" w:sz="8" w:space="0" w:color="auto"/>
            </w:tcBorders>
            <w:shd w:val="clear" w:color="auto" w:fill="auto"/>
          </w:tcPr>
          <w:p w14:paraId="1EC9AB47" w14:textId="243FB282" w:rsidR="007D59F2" w:rsidRPr="00AF28E9" w:rsidRDefault="007D59F2" w:rsidP="007D59F2">
            <w:pPr>
              <w:spacing w:after="0" w:line="240" w:lineRule="auto"/>
              <w:jc w:val="right"/>
              <w:rPr>
                <w:rFonts w:ascii="Times New Roman" w:hAnsi="Times New Roman" w:cs="Times New Roman"/>
                <w:b/>
                <w:color w:val="000000"/>
              </w:rPr>
            </w:pPr>
            <w:r w:rsidRPr="005F7B58">
              <w:rPr>
                <w:rFonts w:ascii="Times New Roman" w:hAnsi="Times New Roman" w:cs="Times New Roman"/>
                <w:b/>
              </w:rPr>
              <w:t>34,43</w:t>
            </w:r>
          </w:p>
        </w:tc>
      </w:tr>
      <w:tr w:rsidR="007D59F2" w:rsidRPr="009F2998" w14:paraId="772D2845" w14:textId="77777777" w:rsidTr="005F7B58">
        <w:trPr>
          <w:trHeight w:val="281"/>
        </w:trPr>
        <w:tc>
          <w:tcPr>
            <w:tcW w:w="894"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1EEDA41" w14:textId="77777777" w:rsidR="007D59F2" w:rsidRPr="009F2998" w:rsidRDefault="007D59F2" w:rsidP="007D59F2">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Verejný sektor</w:t>
            </w:r>
          </w:p>
        </w:tc>
        <w:tc>
          <w:tcPr>
            <w:tcW w:w="587" w:type="pct"/>
            <w:tcBorders>
              <w:top w:val="single" w:sz="4" w:space="0" w:color="auto"/>
              <w:left w:val="single" w:sz="4" w:space="0" w:color="auto"/>
              <w:bottom w:val="single" w:sz="4" w:space="0" w:color="auto"/>
              <w:right w:val="single" w:sz="4" w:space="0" w:color="auto"/>
            </w:tcBorders>
            <w:vAlign w:val="center"/>
          </w:tcPr>
          <w:p w14:paraId="1337A471" w14:textId="74E0B009" w:rsidR="007D59F2" w:rsidRPr="00951485" w:rsidRDefault="007D59F2" w:rsidP="007D59F2">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163</w:t>
            </w:r>
          </w:p>
        </w:tc>
        <w:tc>
          <w:tcPr>
            <w:tcW w:w="694" w:type="pct"/>
            <w:tcBorders>
              <w:top w:val="single" w:sz="4" w:space="0" w:color="auto"/>
              <w:left w:val="single" w:sz="4" w:space="0" w:color="auto"/>
              <w:bottom w:val="single" w:sz="4" w:space="0" w:color="auto"/>
              <w:right w:val="single" w:sz="8" w:space="0" w:color="auto"/>
            </w:tcBorders>
            <w:shd w:val="clear" w:color="auto" w:fill="auto"/>
            <w:vAlign w:val="center"/>
          </w:tcPr>
          <w:p w14:paraId="58AC38B3" w14:textId="6ACE4559" w:rsidR="007D59F2" w:rsidRPr="00951485" w:rsidRDefault="007D59F2" w:rsidP="007D59F2">
            <w:pPr>
              <w:spacing w:after="0" w:line="240" w:lineRule="auto"/>
              <w:jc w:val="right"/>
              <w:rPr>
                <w:rFonts w:ascii="Times New Roman" w:hAnsi="Times New Roman" w:cs="Times New Roman"/>
                <w:b/>
                <w:color w:val="000000"/>
              </w:rPr>
            </w:pPr>
            <w:r w:rsidRPr="00AF5415">
              <w:rPr>
                <w:rFonts w:ascii="Times New Roman" w:hAnsi="Times New Roman" w:cs="Times New Roman"/>
                <w:b/>
              </w:rPr>
              <w:t>45,22</w:t>
            </w:r>
          </w:p>
        </w:tc>
        <w:tc>
          <w:tcPr>
            <w:tcW w:w="694" w:type="pct"/>
            <w:tcBorders>
              <w:top w:val="single" w:sz="4" w:space="0" w:color="auto"/>
              <w:left w:val="single" w:sz="8" w:space="0" w:color="auto"/>
              <w:bottom w:val="single" w:sz="4" w:space="0" w:color="auto"/>
              <w:right w:val="single" w:sz="4" w:space="0" w:color="auto"/>
            </w:tcBorders>
          </w:tcPr>
          <w:p w14:paraId="620806F6" w14:textId="3AAFE969" w:rsidR="007D59F2" w:rsidRPr="00AF28E9" w:rsidRDefault="007D59F2" w:rsidP="007D59F2">
            <w:pPr>
              <w:spacing w:after="0" w:line="240" w:lineRule="auto"/>
              <w:jc w:val="right"/>
              <w:rPr>
                <w:rFonts w:ascii="Times New Roman" w:hAnsi="Times New Roman" w:cs="Times New Roman"/>
                <w:color w:val="000000"/>
              </w:rPr>
            </w:pPr>
            <w:r w:rsidRPr="005F7B58">
              <w:rPr>
                <w:rFonts w:ascii="Times New Roman" w:hAnsi="Times New Roman" w:cs="Times New Roman"/>
              </w:rPr>
              <w:t>409</w:t>
            </w:r>
          </w:p>
        </w:tc>
        <w:tc>
          <w:tcPr>
            <w:tcW w:w="695" w:type="pct"/>
            <w:tcBorders>
              <w:top w:val="single" w:sz="4" w:space="0" w:color="auto"/>
              <w:left w:val="single" w:sz="4" w:space="0" w:color="auto"/>
              <w:bottom w:val="single" w:sz="4" w:space="0" w:color="auto"/>
              <w:right w:val="single" w:sz="8" w:space="0" w:color="auto"/>
            </w:tcBorders>
            <w:shd w:val="clear" w:color="auto" w:fill="auto"/>
          </w:tcPr>
          <w:p w14:paraId="690006B2" w14:textId="099A463A" w:rsidR="007D59F2" w:rsidRPr="00AF28E9" w:rsidRDefault="007D59F2" w:rsidP="007D59F2">
            <w:pPr>
              <w:spacing w:after="0" w:line="240" w:lineRule="auto"/>
              <w:jc w:val="right"/>
              <w:rPr>
                <w:rFonts w:ascii="Times New Roman" w:hAnsi="Times New Roman" w:cs="Times New Roman"/>
                <w:b/>
                <w:color w:val="000000"/>
              </w:rPr>
            </w:pPr>
            <w:r w:rsidRPr="005F7B58">
              <w:rPr>
                <w:rFonts w:ascii="Times New Roman" w:hAnsi="Times New Roman" w:cs="Times New Roman"/>
                <w:b/>
              </w:rPr>
              <w:t>113,65</w:t>
            </w:r>
          </w:p>
        </w:tc>
        <w:tc>
          <w:tcPr>
            <w:tcW w:w="694" w:type="pct"/>
            <w:tcBorders>
              <w:top w:val="single" w:sz="4" w:space="0" w:color="auto"/>
              <w:left w:val="single" w:sz="8" w:space="0" w:color="auto"/>
              <w:bottom w:val="single" w:sz="4" w:space="0" w:color="auto"/>
              <w:right w:val="single" w:sz="4" w:space="0" w:color="auto"/>
            </w:tcBorders>
            <w:shd w:val="clear" w:color="auto" w:fill="auto"/>
            <w:noWrap/>
          </w:tcPr>
          <w:p w14:paraId="410DDA1E" w14:textId="7E84D3D1" w:rsidR="007D59F2" w:rsidRPr="00AF28E9" w:rsidRDefault="007D59F2" w:rsidP="007D59F2">
            <w:pPr>
              <w:spacing w:after="0" w:line="240" w:lineRule="auto"/>
              <w:jc w:val="right"/>
              <w:rPr>
                <w:rFonts w:ascii="Times New Roman" w:hAnsi="Times New Roman" w:cs="Times New Roman"/>
                <w:color w:val="000000"/>
              </w:rPr>
            </w:pPr>
            <w:r w:rsidRPr="005F7B58">
              <w:rPr>
                <w:rFonts w:ascii="Times New Roman" w:hAnsi="Times New Roman" w:cs="Times New Roman"/>
              </w:rPr>
              <w:t>219</w:t>
            </w:r>
          </w:p>
        </w:tc>
        <w:tc>
          <w:tcPr>
            <w:tcW w:w="743" w:type="pct"/>
            <w:tcBorders>
              <w:top w:val="single" w:sz="4" w:space="0" w:color="auto"/>
              <w:left w:val="single" w:sz="4" w:space="0" w:color="auto"/>
              <w:bottom w:val="single" w:sz="4" w:space="0" w:color="auto"/>
              <w:right w:val="single" w:sz="8" w:space="0" w:color="auto"/>
            </w:tcBorders>
            <w:shd w:val="clear" w:color="auto" w:fill="auto"/>
          </w:tcPr>
          <w:p w14:paraId="4B75899D" w14:textId="48BEF455" w:rsidR="007D59F2" w:rsidRPr="00AF28E9" w:rsidRDefault="007D59F2" w:rsidP="007D59F2">
            <w:pPr>
              <w:spacing w:after="0" w:line="240" w:lineRule="auto"/>
              <w:jc w:val="right"/>
              <w:rPr>
                <w:rFonts w:ascii="Times New Roman" w:hAnsi="Times New Roman" w:cs="Times New Roman"/>
                <w:b/>
                <w:color w:val="000000"/>
              </w:rPr>
            </w:pPr>
            <w:r w:rsidRPr="005F7B58">
              <w:rPr>
                <w:rFonts w:ascii="Times New Roman" w:hAnsi="Times New Roman" w:cs="Times New Roman"/>
                <w:b/>
              </w:rPr>
              <w:t>60,88</w:t>
            </w:r>
          </w:p>
        </w:tc>
      </w:tr>
      <w:tr w:rsidR="007D59F2" w:rsidRPr="009F2998" w14:paraId="460AD024" w14:textId="77777777" w:rsidTr="005F7B58">
        <w:trPr>
          <w:trHeight w:val="267"/>
        </w:trPr>
        <w:tc>
          <w:tcPr>
            <w:tcW w:w="894"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A6ECFE9" w14:textId="77777777" w:rsidR="007D59F2" w:rsidRPr="009F2998" w:rsidRDefault="007D59F2" w:rsidP="007D59F2">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 xml:space="preserve">Doprava </w:t>
            </w:r>
          </w:p>
        </w:tc>
        <w:tc>
          <w:tcPr>
            <w:tcW w:w="587" w:type="pct"/>
            <w:tcBorders>
              <w:top w:val="single" w:sz="4" w:space="0" w:color="auto"/>
              <w:left w:val="single" w:sz="4" w:space="0" w:color="auto"/>
              <w:bottom w:val="single" w:sz="4" w:space="0" w:color="auto"/>
              <w:right w:val="single" w:sz="4" w:space="0" w:color="auto"/>
            </w:tcBorders>
            <w:vAlign w:val="center"/>
          </w:tcPr>
          <w:p w14:paraId="282AE667" w14:textId="5AE2861D" w:rsidR="007D59F2" w:rsidRPr="00951485" w:rsidRDefault="007D59F2" w:rsidP="007D59F2">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77</w:t>
            </w:r>
          </w:p>
        </w:tc>
        <w:tc>
          <w:tcPr>
            <w:tcW w:w="694" w:type="pct"/>
            <w:tcBorders>
              <w:top w:val="single" w:sz="4" w:space="0" w:color="auto"/>
              <w:left w:val="single" w:sz="4" w:space="0" w:color="auto"/>
              <w:bottom w:val="single" w:sz="4" w:space="0" w:color="auto"/>
              <w:right w:val="single" w:sz="8" w:space="0" w:color="auto"/>
            </w:tcBorders>
            <w:shd w:val="clear" w:color="auto" w:fill="auto"/>
            <w:vAlign w:val="center"/>
          </w:tcPr>
          <w:p w14:paraId="10D5BF35" w14:textId="3F3FE7B8" w:rsidR="007D59F2" w:rsidRPr="00951485" w:rsidRDefault="007D59F2" w:rsidP="007D59F2">
            <w:pPr>
              <w:spacing w:after="0" w:line="240" w:lineRule="auto"/>
              <w:jc w:val="right"/>
              <w:rPr>
                <w:rFonts w:ascii="Times New Roman" w:hAnsi="Times New Roman" w:cs="Times New Roman"/>
                <w:b/>
                <w:color w:val="000000"/>
              </w:rPr>
            </w:pPr>
            <w:r w:rsidRPr="00AF5415">
              <w:rPr>
                <w:rFonts w:ascii="Times New Roman" w:hAnsi="Times New Roman" w:cs="Times New Roman"/>
                <w:b/>
              </w:rPr>
              <w:t>21,39</w:t>
            </w:r>
          </w:p>
        </w:tc>
        <w:tc>
          <w:tcPr>
            <w:tcW w:w="694" w:type="pct"/>
            <w:tcBorders>
              <w:top w:val="single" w:sz="4" w:space="0" w:color="auto"/>
              <w:left w:val="single" w:sz="8" w:space="0" w:color="auto"/>
              <w:bottom w:val="single" w:sz="4" w:space="0" w:color="auto"/>
              <w:right w:val="single" w:sz="4" w:space="0" w:color="auto"/>
            </w:tcBorders>
          </w:tcPr>
          <w:p w14:paraId="73151A29" w14:textId="60B04103" w:rsidR="007D59F2" w:rsidRPr="00AF28E9" w:rsidRDefault="007D59F2" w:rsidP="007D59F2">
            <w:pPr>
              <w:spacing w:after="0" w:line="240" w:lineRule="auto"/>
              <w:jc w:val="right"/>
              <w:rPr>
                <w:rFonts w:ascii="Times New Roman" w:hAnsi="Times New Roman" w:cs="Times New Roman"/>
                <w:color w:val="000000"/>
              </w:rPr>
            </w:pPr>
            <w:r w:rsidRPr="005F7B58">
              <w:rPr>
                <w:rFonts w:ascii="Times New Roman" w:hAnsi="Times New Roman" w:cs="Times New Roman"/>
              </w:rPr>
              <w:t>706</w:t>
            </w:r>
          </w:p>
        </w:tc>
        <w:tc>
          <w:tcPr>
            <w:tcW w:w="695" w:type="pct"/>
            <w:tcBorders>
              <w:top w:val="single" w:sz="4" w:space="0" w:color="auto"/>
              <w:left w:val="single" w:sz="4" w:space="0" w:color="auto"/>
              <w:bottom w:val="single" w:sz="4" w:space="0" w:color="auto"/>
              <w:right w:val="single" w:sz="8" w:space="0" w:color="auto"/>
            </w:tcBorders>
            <w:shd w:val="clear" w:color="auto" w:fill="auto"/>
          </w:tcPr>
          <w:p w14:paraId="0B9982CB" w14:textId="64BAEBA6" w:rsidR="007D59F2" w:rsidRPr="00AF28E9" w:rsidRDefault="007D59F2" w:rsidP="007D59F2">
            <w:pPr>
              <w:spacing w:after="0" w:line="240" w:lineRule="auto"/>
              <w:jc w:val="right"/>
              <w:rPr>
                <w:rFonts w:ascii="Times New Roman" w:hAnsi="Times New Roman" w:cs="Times New Roman"/>
                <w:b/>
                <w:color w:val="000000"/>
              </w:rPr>
            </w:pPr>
            <w:r w:rsidRPr="005F7B58">
              <w:rPr>
                <w:rFonts w:ascii="Times New Roman" w:hAnsi="Times New Roman" w:cs="Times New Roman"/>
                <w:b/>
              </w:rPr>
              <w:t>196,16</w:t>
            </w:r>
          </w:p>
        </w:tc>
        <w:tc>
          <w:tcPr>
            <w:tcW w:w="694" w:type="pct"/>
            <w:tcBorders>
              <w:top w:val="single" w:sz="4" w:space="0" w:color="auto"/>
              <w:left w:val="single" w:sz="8" w:space="0" w:color="auto"/>
              <w:bottom w:val="single" w:sz="4" w:space="0" w:color="auto"/>
              <w:right w:val="single" w:sz="4" w:space="0" w:color="auto"/>
            </w:tcBorders>
            <w:shd w:val="clear" w:color="auto" w:fill="auto"/>
            <w:noWrap/>
          </w:tcPr>
          <w:p w14:paraId="1B3B6ECE" w14:textId="71EF3E28" w:rsidR="007D59F2" w:rsidRPr="00AF28E9" w:rsidRDefault="007D59F2" w:rsidP="007D59F2">
            <w:pPr>
              <w:spacing w:after="0" w:line="240" w:lineRule="auto"/>
              <w:jc w:val="right"/>
              <w:rPr>
                <w:rFonts w:ascii="Times New Roman" w:hAnsi="Times New Roman" w:cs="Times New Roman"/>
                <w:color w:val="000000"/>
              </w:rPr>
            </w:pPr>
            <w:r w:rsidRPr="005F7B58">
              <w:rPr>
                <w:rFonts w:ascii="Times New Roman" w:hAnsi="Times New Roman" w:cs="Times New Roman"/>
              </w:rPr>
              <w:t>113</w:t>
            </w:r>
          </w:p>
        </w:tc>
        <w:tc>
          <w:tcPr>
            <w:tcW w:w="743" w:type="pct"/>
            <w:tcBorders>
              <w:top w:val="single" w:sz="4" w:space="0" w:color="auto"/>
              <w:left w:val="single" w:sz="4" w:space="0" w:color="auto"/>
              <w:bottom w:val="single" w:sz="4" w:space="0" w:color="auto"/>
              <w:right w:val="single" w:sz="8" w:space="0" w:color="auto"/>
            </w:tcBorders>
            <w:shd w:val="clear" w:color="auto" w:fill="auto"/>
          </w:tcPr>
          <w:p w14:paraId="52168C22" w14:textId="0230723B" w:rsidR="007D59F2" w:rsidRPr="00AF28E9" w:rsidRDefault="007D59F2" w:rsidP="007D59F2">
            <w:pPr>
              <w:spacing w:after="0" w:line="240" w:lineRule="auto"/>
              <w:jc w:val="right"/>
              <w:rPr>
                <w:rFonts w:ascii="Times New Roman" w:hAnsi="Times New Roman" w:cs="Times New Roman"/>
                <w:b/>
                <w:color w:val="000000"/>
              </w:rPr>
            </w:pPr>
            <w:r w:rsidRPr="005F7B58">
              <w:rPr>
                <w:rFonts w:ascii="Times New Roman" w:hAnsi="Times New Roman" w:cs="Times New Roman"/>
                <w:b/>
              </w:rPr>
              <w:t>31,48</w:t>
            </w:r>
          </w:p>
        </w:tc>
      </w:tr>
      <w:tr w:rsidR="007D59F2" w:rsidRPr="009F2998" w14:paraId="30482023" w14:textId="77777777" w:rsidTr="005F7B58">
        <w:trPr>
          <w:trHeight w:val="267"/>
        </w:trPr>
        <w:tc>
          <w:tcPr>
            <w:tcW w:w="894" w:type="pct"/>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27DFBC1D" w14:textId="77777777" w:rsidR="007D59F2" w:rsidRPr="009F2998" w:rsidRDefault="007D59F2" w:rsidP="007D59F2">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Spotrebiče</w:t>
            </w:r>
          </w:p>
        </w:tc>
        <w:tc>
          <w:tcPr>
            <w:tcW w:w="587" w:type="pct"/>
            <w:tcBorders>
              <w:top w:val="single" w:sz="4" w:space="0" w:color="auto"/>
              <w:left w:val="single" w:sz="4" w:space="0" w:color="auto"/>
              <w:bottom w:val="single" w:sz="8" w:space="0" w:color="auto"/>
              <w:right w:val="single" w:sz="4" w:space="0" w:color="auto"/>
            </w:tcBorders>
            <w:vAlign w:val="center"/>
          </w:tcPr>
          <w:p w14:paraId="4D405F81" w14:textId="6CAACAB5" w:rsidR="007D59F2" w:rsidRPr="00951485" w:rsidRDefault="007D59F2" w:rsidP="007D59F2">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141</w:t>
            </w:r>
          </w:p>
        </w:tc>
        <w:tc>
          <w:tcPr>
            <w:tcW w:w="694" w:type="pct"/>
            <w:tcBorders>
              <w:top w:val="single" w:sz="4" w:space="0" w:color="auto"/>
              <w:left w:val="single" w:sz="4" w:space="0" w:color="auto"/>
              <w:bottom w:val="single" w:sz="8" w:space="0" w:color="auto"/>
              <w:right w:val="single" w:sz="8" w:space="0" w:color="auto"/>
            </w:tcBorders>
            <w:shd w:val="clear" w:color="auto" w:fill="auto"/>
            <w:vAlign w:val="center"/>
          </w:tcPr>
          <w:p w14:paraId="399CAFD4" w14:textId="6F2F80C1" w:rsidR="007D59F2" w:rsidRPr="00951485" w:rsidRDefault="007D59F2" w:rsidP="007D59F2">
            <w:pPr>
              <w:spacing w:after="0" w:line="240" w:lineRule="auto"/>
              <w:jc w:val="right"/>
              <w:rPr>
                <w:rFonts w:ascii="Times New Roman" w:hAnsi="Times New Roman" w:cs="Times New Roman"/>
                <w:b/>
                <w:color w:val="000000"/>
              </w:rPr>
            </w:pPr>
            <w:r w:rsidRPr="00AF5415">
              <w:rPr>
                <w:rFonts w:ascii="Times New Roman" w:hAnsi="Times New Roman" w:cs="Times New Roman"/>
                <w:b/>
              </w:rPr>
              <w:t>39,29</w:t>
            </w:r>
          </w:p>
        </w:tc>
        <w:tc>
          <w:tcPr>
            <w:tcW w:w="694" w:type="pct"/>
            <w:tcBorders>
              <w:top w:val="single" w:sz="4" w:space="0" w:color="auto"/>
              <w:left w:val="single" w:sz="8" w:space="0" w:color="auto"/>
              <w:bottom w:val="single" w:sz="8" w:space="0" w:color="auto"/>
              <w:right w:val="single" w:sz="4" w:space="0" w:color="auto"/>
            </w:tcBorders>
          </w:tcPr>
          <w:p w14:paraId="4B123B4C" w14:textId="179AF1EA" w:rsidR="007D59F2" w:rsidRPr="00AF28E9" w:rsidRDefault="007D59F2" w:rsidP="007D59F2">
            <w:pPr>
              <w:spacing w:after="0" w:line="240" w:lineRule="auto"/>
              <w:jc w:val="right"/>
              <w:rPr>
                <w:rFonts w:ascii="Times New Roman" w:hAnsi="Times New Roman" w:cs="Times New Roman"/>
                <w:color w:val="000000"/>
              </w:rPr>
            </w:pPr>
            <w:r w:rsidRPr="005F7B58">
              <w:rPr>
                <w:rFonts w:ascii="Times New Roman" w:hAnsi="Times New Roman" w:cs="Times New Roman"/>
              </w:rPr>
              <w:t>190</w:t>
            </w:r>
          </w:p>
        </w:tc>
        <w:tc>
          <w:tcPr>
            <w:tcW w:w="695" w:type="pct"/>
            <w:tcBorders>
              <w:top w:val="single" w:sz="4" w:space="0" w:color="auto"/>
              <w:left w:val="single" w:sz="4" w:space="0" w:color="auto"/>
              <w:bottom w:val="single" w:sz="8" w:space="0" w:color="auto"/>
              <w:right w:val="single" w:sz="8" w:space="0" w:color="auto"/>
            </w:tcBorders>
            <w:shd w:val="clear" w:color="auto" w:fill="auto"/>
          </w:tcPr>
          <w:p w14:paraId="15799FF0" w14:textId="2E3F657E" w:rsidR="007D59F2" w:rsidRPr="00AF28E9" w:rsidRDefault="007D59F2" w:rsidP="007D59F2">
            <w:pPr>
              <w:spacing w:after="0" w:line="240" w:lineRule="auto"/>
              <w:jc w:val="right"/>
              <w:rPr>
                <w:rFonts w:ascii="Times New Roman" w:hAnsi="Times New Roman" w:cs="Times New Roman"/>
                <w:b/>
                <w:color w:val="000000"/>
              </w:rPr>
            </w:pPr>
            <w:r w:rsidRPr="005F7B58">
              <w:rPr>
                <w:rFonts w:ascii="Times New Roman" w:hAnsi="Times New Roman" w:cs="Times New Roman"/>
                <w:b/>
              </w:rPr>
              <w:t>52,77</w:t>
            </w:r>
          </w:p>
        </w:tc>
        <w:tc>
          <w:tcPr>
            <w:tcW w:w="694" w:type="pct"/>
            <w:tcBorders>
              <w:top w:val="single" w:sz="4" w:space="0" w:color="auto"/>
              <w:left w:val="single" w:sz="8" w:space="0" w:color="auto"/>
              <w:bottom w:val="single" w:sz="8" w:space="0" w:color="auto"/>
              <w:right w:val="single" w:sz="4" w:space="0" w:color="auto"/>
            </w:tcBorders>
            <w:shd w:val="clear" w:color="auto" w:fill="auto"/>
            <w:noWrap/>
          </w:tcPr>
          <w:p w14:paraId="75F97F0B" w14:textId="51256831" w:rsidR="007D59F2" w:rsidRPr="00AF28E9" w:rsidRDefault="007D59F2" w:rsidP="007D59F2">
            <w:pPr>
              <w:spacing w:after="0" w:line="240" w:lineRule="auto"/>
              <w:jc w:val="right"/>
              <w:rPr>
                <w:rFonts w:ascii="Times New Roman" w:hAnsi="Times New Roman" w:cs="Times New Roman"/>
                <w:color w:val="000000"/>
              </w:rPr>
            </w:pPr>
            <w:r w:rsidRPr="005F7B58">
              <w:rPr>
                <w:rFonts w:ascii="Times New Roman" w:hAnsi="Times New Roman" w:cs="Times New Roman"/>
              </w:rPr>
              <w:t>234</w:t>
            </w:r>
          </w:p>
        </w:tc>
        <w:tc>
          <w:tcPr>
            <w:tcW w:w="743" w:type="pct"/>
            <w:tcBorders>
              <w:top w:val="single" w:sz="4" w:space="0" w:color="auto"/>
              <w:left w:val="single" w:sz="4" w:space="0" w:color="auto"/>
              <w:bottom w:val="single" w:sz="8" w:space="0" w:color="auto"/>
              <w:right w:val="single" w:sz="8" w:space="0" w:color="auto"/>
            </w:tcBorders>
            <w:shd w:val="clear" w:color="auto" w:fill="auto"/>
          </w:tcPr>
          <w:p w14:paraId="7F8BC66C" w14:textId="231AFC57" w:rsidR="007D59F2" w:rsidRPr="00AF28E9" w:rsidRDefault="007D59F2" w:rsidP="007D59F2">
            <w:pPr>
              <w:spacing w:after="0" w:line="240" w:lineRule="auto"/>
              <w:jc w:val="right"/>
              <w:rPr>
                <w:rFonts w:ascii="Times New Roman" w:hAnsi="Times New Roman" w:cs="Times New Roman"/>
                <w:b/>
                <w:color w:val="000000"/>
              </w:rPr>
            </w:pPr>
            <w:r w:rsidRPr="005F7B58">
              <w:rPr>
                <w:rFonts w:ascii="Times New Roman" w:hAnsi="Times New Roman" w:cs="Times New Roman"/>
                <w:b/>
              </w:rPr>
              <w:t>64,99</w:t>
            </w:r>
          </w:p>
        </w:tc>
      </w:tr>
      <w:tr w:rsidR="007D59F2" w:rsidRPr="009F2998" w14:paraId="284BC582" w14:textId="77777777" w:rsidTr="005F7B58">
        <w:trPr>
          <w:trHeight w:val="281"/>
        </w:trPr>
        <w:tc>
          <w:tcPr>
            <w:tcW w:w="894"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A059EC7" w14:textId="77777777" w:rsidR="007D59F2" w:rsidRPr="009F2998" w:rsidRDefault="007D59F2" w:rsidP="007D59F2">
            <w:pPr>
              <w:spacing w:after="0" w:line="240" w:lineRule="auto"/>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SPOLU</w:t>
            </w:r>
          </w:p>
        </w:tc>
        <w:tc>
          <w:tcPr>
            <w:tcW w:w="587" w:type="pct"/>
            <w:tcBorders>
              <w:top w:val="single" w:sz="8" w:space="0" w:color="auto"/>
              <w:left w:val="single" w:sz="4" w:space="0" w:color="auto"/>
              <w:bottom w:val="single" w:sz="4" w:space="0" w:color="auto"/>
              <w:right w:val="single" w:sz="4" w:space="0" w:color="auto"/>
            </w:tcBorders>
            <w:vAlign w:val="center"/>
          </w:tcPr>
          <w:p w14:paraId="24A91DBF" w14:textId="3CD629F7" w:rsidR="007D59F2" w:rsidRPr="00951485" w:rsidRDefault="007D59F2" w:rsidP="007D59F2">
            <w:pPr>
              <w:spacing w:after="0" w:line="240" w:lineRule="auto"/>
              <w:jc w:val="right"/>
              <w:rPr>
                <w:rFonts w:ascii="Times New Roman" w:hAnsi="Times New Roman" w:cs="Times New Roman"/>
                <w:color w:val="000000"/>
              </w:rPr>
            </w:pPr>
            <w:r w:rsidRPr="00AF5415">
              <w:rPr>
                <w:rFonts w:ascii="Times New Roman" w:hAnsi="Times New Roman" w:cs="Times New Roman"/>
              </w:rPr>
              <w:t>3 013</w:t>
            </w:r>
          </w:p>
        </w:tc>
        <w:tc>
          <w:tcPr>
            <w:tcW w:w="694" w:type="pct"/>
            <w:tcBorders>
              <w:top w:val="single" w:sz="8" w:space="0" w:color="auto"/>
              <w:left w:val="single" w:sz="4" w:space="0" w:color="auto"/>
              <w:bottom w:val="single" w:sz="4" w:space="0" w:color="auto"/>
              <w:right w:val="single" w:sz="8" w:space="0" w:color="auto"/>
            </w:tcBorders>
            <w:shd w:val="clear" w:color="auto" w:fill="auto"/>
            <w:vAlign w:val="center"/>
          </w:tcPr>
          <w:p w14:paraId="06E6FFFB" w14:textId="7F14C0D8" w:rsidR="007D59F2" w:rsidRPr="00951485" w:rsidRDefault="007D59F2" w:rsidP="007D59F2">
            <w:pPr>
              <w:spacing w:after="0" w:line="240" w:lineRule="auto"/>
              <w:jc w:val="right"/>
              <w:rPr>
                <w:rFonts w:ascii="Times New Roman" w:hAnsi="Times New Roman" w:cs="Times New Roman"/>
                <w:b/>
                <w:color w:val="000000"/>
              </w:rPr>
            </w:pPr>
            <w:r w:rsidRPr="00AF5415">
              <w:rPr>
                <w:rFonts w:ascii="Times New Roman" w:hAnsi="Times New Roman" w:cs="Times New Roman"/>
                <w:b/>
              </w:rPr>
              <w:t>836,98</w:t>
            </w:r>
          </w:p>
        </w:tc>
        <w:tc>
          <w:tcPr>
            <w:tcW w:w="694" w:type="pct"/>
            <w:tcBorders>
              <w:top w:val="single" w:sz="8" w:space="0" w:color="auto"/>
              <w:left w:val="single" w:sz="8" w:space="0" w:color="auto"/>
              <w:bottom w:val="single" w:sz="4" w:space="0" w:color="auto"/>
              <w:right w:val="single" w:sz="4" w:space="0" w:color="auto"/>
            </w:tcBorders>
          </w:tcPr>
          <w:p w14:paraId="66F7009F" w14:textId="5D4F5598" w:rsidR="007D59F2" w:rsidRPr="00AF28E9" w:rsidRDefault="007D59F2" w:rsidP="007D59F2">
            <w:pPr>
              <w:spacing w:after="0" w:line="240" w:lineRule="auto"/>
              <w:jc w:val="right"/>
              <w:rPr>
                <w:rFonts w:ascii="Times New Roman" w:hAnsi="Times New Roman" w:cs="Times New Roman"/>
                <w:color w:val="000000"/>
              </w:rPr>
            </w:pPr>
            <w:r w:rsidRPr="005F7B58">
              <w:rPr>
                <w:rFonts w:ascii="Times New Roman" w:hAnsi="Times New Roman" w:cs="Times New Roman"/>
              </w:rPr>
              <w:t>4 712</w:t>
            </w:r>
          </w:p>
        </w:tc>
        <w:tc>
          <w:tcPr>
            <w:tcW w:w="695" w:type="pct"/>
            <w:tcBorders>
              <w:top w:val="single" w:sz="8" w:space="0" w:color="auto"/>
              <w:left w:val="single" w:sz="4" w:space="0" w:color="auto"/>
              <w:bottom w:val="single" w:sz="4" w:space="0" w:color="auto"/>
              <w:right w:val="single" w:sz="8" w:space="0" w:color="auto"/>
            </w:tcBorders>
            <w:shd w:val="clear" w:color="auto" w:fill="auto"/>
          </w:tcPr>
          <w:p w14:paraId="2CDFB5B2" w14:textId="479386B4" w:rsidR="007D59F2" w:rsidRPr="00AF28E9" w:rsidRDefault="007D59F2" w:rsidP="007D59F2">
            <w:pPr>
              <w:spacing w:after="0" w:line="240" w:lineRule="auto"/>
              <w:jc w:val="right"/>
              <w:rPr>
                <w:rFonts w:ascii="Times New Roman" w:hAnsi="Times New Roman" w:cs="Times New Roman"/>
                <w:b/>
                <w:color w:val="000000"/>
              </w:rPr>
            </w:pPr>
            <w:r w:rsidRPr="005F7B58">
              <w:rPr>
                <w:rFonts w:ascii="Times New Roman" w:hAnsi="Times New Roman" w:cs="Times New Roman"/>
                <w:b/>
              </w:rPr>
              <w:t>1 308,78</w:t>
            </w:r>
          </w:p>
        </w:tc>
        <w:tc>
          <w:tcPr>
            <w:tcW w:w="694" w:type="pct"/>
            <w:tcBorders>
              <w:top w:val="single" w:sz="8" w:space="0" w:color="auto"/>
              <w:left w:val="single" w:sz="8" w:space="0" w:color="auto"/>
              <w:bottom w:val="single" w:sz="4" w:space="0" w:color="auto"/>
              <w:right w:val="single" w:sz="4" w:space="0" w:color="auto"/>
            </w:tcBorders>
            <w:shd w:val="clear" w:color="auto" w:fill="auto"/>
            <w:noWrap/>
          </w:tcPr>
          <w:p w14:paraId="1D4A30A7" w14:textId="01A3831B" w:rsidR="007D59F2" w:rsidRPr="00AF28E9" w:rsidRDefault="007D59F2" w:rsidP="007D59F2">
            <w:pPr>
              <w:spacing w:after="0" w:line="240" w:lineRule="auto"/>
              <w:jc w:val="right"/>
              <w:rPr>
                <w:rFonts w:ascii="Times New Roman" w:hAnsi="Times New Roman" w:cs="Times New Roman"/>
                <w:color w:val="000000"/>
              </w:rPr>
            </w:pPr>
            <w:r w:rsidRPr="005F7B58">
              <w:rPr>
                <w:rFonts w:ascii="Times New Roman" w:hAnsi="Times New Roman" w:cs="Times New Roman"/>
              </w:rPr>
              <w:t>2 352</w:t>
            </w:r>
          </w:p>
        </w:tc>
        <w:tc>
          <w:tcPr>
            <w:tcW w:w="743" w:type="pct"/>
            <w:tcBorders>
              <w:top w:val="single" w:sz="8" w:space="0" w:color="auto"/>
              <w:left w:val="single" w:sz="4" w:space="0" w:color="auto"/>
              <w:bottom w:val="single" w:sz="4" w:space="0" w:color="auto"/>
              <w:right w:val="single" w:sz="8" w:space="0" w:color="auto"/>
            </w:tcBorders>
            <w:shd w:val="clear" w:color="auto" w:fill="auto"/>
          </w:tcPr>
          <w:p w14:paraId="423938FB" w14:textId="78E962DE" w:rsidR="007D59F2" w:rsidRPr="00AF28E9" w:rsidRDefault="007D59F2" w:rsidP="007D59F2">
            <w:pPr>
              <w:spacing w:after="0" w:line="240" w:lineRule="auto"/>
              <w:jc w:val="right"/>
              <w:rPr>
                <w:rFonts w:ascii="Times New Roman" w:hAnsi="Times New Roman" w:cs="Times New Roman"/>
                <w:b/>
                <w:color w:val="000000"/>
              </w:rPr>
            </w:pPr>
            <w:r w:rsidRPr="005F7B58">
              <w:rPr>
                <w:rFonts w:ascii="Times New Roman" w:hAnsi="Times New Roman" w:cs="Times New Roman"/>
                <w:b/>
              </w:rPr>
              <w:t>653,21</w:t>
            </w:r>
          </w:p>
        </w:tc>
      </w:tr>
    </w:tbl>
    <w:p w14:paraId="4C8723E6" w14:textId="77777777" w:rsidR="0078371A" w:rsidRDefault="0078371A" w:rsidP="00B81032">
      <w:pPr>
        <w:jc w:val="both"/>
        <w:rPr>
          <w:rFonts w:ascii="Times New Roman" w:hAnsi="Times New Roman" w:cs="Times New Roman"/>
          <w:sz w:val="24"/>
          <w:szCs w:val="24"/>
        </w:rPr>
      </w:pPr>
    </w:p>
    <w:p w14:paraId="623F2097" w14:textId="606FD0B2" w:rsidR="00B81032" w:rsidRDefault="00B81032" w:rsidP="00B81032">
      <w:pPr>
        <w:jc w:val="both"/>
        <w:rPr>
          <w:rFonts w:ascii="Times New Roman" w:hAnsi="Times New Roman" w:cs="Times New Roman"/>
          <w:sz w:val="24"/>
          <w:szCs w:val="24"/>
        </w:rPr>
      </w:pPr>
      <w:r w:rsidRPr="000745A8">
        <w:rPr>
          <w:rFonts w:ascii="Times New Roman" w:hAnsi="Times New Roman" w:cs="Times New Roman"/>
          <w:sz w:val="24"/>
          <w:szCs w:val="24"/>
        </w:rPr>
        <w:lastRenderedPageBreak/>
        <w:t>Na základe týchto predbežných výsledkov pristúpila SR k prehodnoteniu výšky cieľa pre plánované obdobie rokov 2017 až 2020, a to tak, aby bola dosiahnutá celková kumul</w:t>
      </w:r>
      <w:r w:rsidR="00BF3E63">
        <w:rPr>
          <w:rFonts w:ascii="Times New Roman" w:hAnsi="Times New Roman" w:cs="Times New Roman"/>
          <w:sz w:val="24"/>
          <w:szCs w:val="24"/>
        </w:rPr>
        <w:t>atívna</w:t>
      </w:r>
      <w:r w:rsidRPr="000745A8">
        <w:rPr>
          <w:rFonts w:ascii="Times New Roman" w:hAnsi="Times New Roman" w:cs="Times New Roman"/>
          <w:sz w:val="24"/>
          <w:szCs w:val="24"/>
        </w:rPr>
        <w:t xml:space="preserve"> úspora energie v období rokov 2014 až 2020 vo výške 26 565 GWh. Trend úspor energie je uvedený v tabuľke č. </w:t>
      </w:r>
      <w:r w:rsidR="00BF3E63">
        <w:rPr>
          <w:rFonts w:ascii="Times New Roman" w:hAnsi="Times New Roman" w:cs="Times New Roman"/>
          <w:sz w:val="24"/>
          <w:szCs w:val="24"/>
        </w:rPr>
        <w:t>13</w:t>
      </w:r>
      <w:r w:rsidRPr="000745A8">
        <w:rPr>
          <w:rFonts w:ascii="Times New Roman" w:hAnsi="Times New Roman" w:cs="Times New Roman"/>
          <w:sz w:val="24"/>
          <w:szCs w:val="24"/>
        </w:rPr>
        <w:t>.</w:t>
      </w:r>
    </w:p>
    <w:tbl>
      <w:tblPr>
        <w:tblpPr w:leftFromText="141" w:rightFromText="141" w:vertAnchor="text" w:tblpY="364"/>
        <w:tblW w:w="5000" w:type="pct"/>
        <w:tblLayout w:type="fixed"/>
        <w:tblCellMar>
          <w:left w:w="70" w:type="dxa"/>
          <w:right w:w="70" w:type="dxa"/>
        </w:tblCellMar>
        <w:tblLook w:val="04A0" w:firstRow="1" w:lastRow="0" w:firstColumn="1" w:lastColumn="0" w:noHBand="0" w:noVBand="1"/>
      </w:tblPr>
      <w:tblGrid>
        <w:gridCol w:w="2686"/>
        <w:gridCol w:w="783"/>
        <w:gridCol w:w="930"/>
        <w:gridCol w:w="931"/>
        <w:gridCol w:w="929"/>
        <w:gridCol w:w="931"/>
        <w:gridCol w:w="931"/>
        <w:gridCol w:w="931"/>
      </w:tblGrid>
      <w:tr w:rsidR="00D555FE" w:rsidRPr="009F2998" w14:paraId="30BAF859" w14:textId="77777777" w:rsidTr="00D555FE">
        <w:trPr>
          <w:trHeight w:val="130"/>
        </w:trPr>
        <w:tc>
          <w:tcPr>
            <w:tcW w:w="1484" w:type="pct"/>
            <w:tcBorders>
              <w:top w:val="single" w:sz="8" w:space="0" w:color="auto"/>
              <w:left w:val="single" w:sz="8" w:space="0" w:color="auto"/>
              <w:bottom w:val="single" w:sz="8" w:space="0" w:color="auto"/>
              <w:right w:val="single" w:sz="4" w:space="0" w:color="auto"/>
            </w:tcBorders>
            <w:shd w:val="clear" w:color="auto" w:fill="BFBFBF" w:themeFill="background1" w:themeFillShade="BF"/>
            <w:noWrap/>
            <w:vAlign w:val="bottom"/>
          </w:tcPr>
          <w:p w14:paraId="2E340F7A" w14:textId="77777777" w:rsidR="00D555FE" w:rsidRDefault="00D555FE" w:rsidP="00D555FE">
            <w:pPr>
              <w:spacing w:after="0" w:line="240" w:lineRule="auto"/>
              <w:rPr>
                <w:rFonts w:ascii="Times New Roman" w:eastAsia="Times New Roman" w:hAnsi="Times New Roman" w:cs="Times New Roman"/>
                <w:b/>
                <w:lang w:eastAsia="sk-SK"/>
              </w:rPr>
            </w:pPr>
            <w:r w:rsidRPr="009F2998">
              <w:rPr>
                <w:rFonts w:ascii="Times New Roman" w:eastAsia="Times New Roman" w:hAnsi="Times New Roman" w:cs="Times New Roman"/>
                <w:b/>
                <w:lang w:eastAsia="sk-SK"/>
              </w:rPr>
              <w:t>Cieľ úspor energie</w:t>
            </w:r>
          </w:p>
          <w:p w14:paraId="1E428534" w14:textId="77777777" w:rsidR="00D555FE" w:rsidRPr="000745A8" w:rsidRDefault="00D555FE" w:rsidP="00D555FE">
            <w:pPr>
              <w:spacing w:after="0" w:line="240" w:lineRule="auto"/>
              <w:rPr>
                <w:rFonts w:ascii="Times New Roman" w:eastAsia="Times New Roman" w:hAnsi="Times New Roman" w:cs="Times New Roman"/>
                <w:b/>
                <w:lang w:eastAsia="sk-SK"/>
              </w:rPr>
            </w:pPr>
            <w:r w:rsidRPr="009F2998">
              <w:rPr>
                <w:rFonts w:ascii="Times New Roman" w:eastAsia="Times New Roman" w:hAnsi="Times New Roman" w:cs="Times New Roman"/>
                <w:b/>
                <w:lang w:eastAsia="sk-SK"/>
              </w:rPr>
              <w:t xml:space="preserve"> (GWh)</w:t>
            </w:r>
          </w:p>
        </w:tc>
        <w:tc>
          <w:tcPr>
            <w:tcW w:w="433" w:type="pct"/>
            <w:tcBorders>
              <w:top w:val="single" w:sz="8" w:space="0" w:color="auto"/>
              <w:left w:val="single" w:sz="4" w:space="0" w:color="auto"/>
              <w:bottom w:val="single" w:sz="8" w:space="0" w:color="auto"/>
              <w:right w:val="single" w:sz="4" w:space="0" w:color="auto"/>
            </w:tcBorders>
            <w:shd w:val="clear" w:color="auto" w:fill="BFBFBF" w:themeFill="background1" w:themeFillShade="BF"/>
            <w:noWrap/>
            <w:vAlign w:val="center"/>
          </w:tcPr>
          <w:p w14:paraId="78FCD31C" w14:textId="77777777" w:rsidR="00D555FE" w:rsidRPr="009F2998" w:rsidRDefault="00D555FE" w:rsidP="00D555FE">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2014</w:t>
            </w:r>
          </w:p>
        </w:tc>
        <w:tc>
          <w:tcPr>
            <w:tcW w:w="514" w:type="pct"/>
            <w:tcBorders>
              <w:top w:val="single" w:sz="8" w:space="0" w:color="auto"/>
              <w:left w:val="single" w:sz="4" w:space="0" w:color="auto"/>
              <w:bottom w:val="single" w:sz="8" w:space="0" w:color="auto"/>
              <w:right w:val="single" w:sz="4" w:space="0" w:color="auto"/>
            </w:tcBorders>
            <w:shd w:val="clear" w:color="auto" w:fill="BFBFBF" w:themeFill="background1" w:themeFillShade="BF"/>
            <w:noWrap/>
            <w:vAlign w:val="center"/>
          </w:tcPr>
          <w:p w14:paraId="163BD45B" w14:textId="77777777" w:rsidR="00D555FE" w:rsidRPr="009F2998" w:rsidRDefault="00D555FE" w:rsidP="00D555FE">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2015</w:t>
            </w:r>
          </w:p>
        </w:tc>
        <w:tc>
          <w:tcPr>
            <w:tcW w:w="514" w:type="pct"/>
            <w:tcBorders>
              <w:top w:val="single" w:sz="8" w:space="0" w:color="auto"/>
              <w:left w:val="single" w:sz="4" w:space="0" w:color="auto"/>
              <w:bottom w:val="single" w:sz="8" w:space="0" w:color="auto"/>
              <w:right w:val="single" w:sz="4" w:space="0" w:color="auto"/>
            </w:tcBorders>
            <w:shd w:val="clear" w:color="auto" w:fill="BFBFBF" w:themeFill="background1" w:themeFillShade="BF"/>
            <w:noWrap/>
            <w:vAlign w:val="center"/>
          </w:tcPr>
          <w:p w14:paraId="104E7237" w14:textId="77777777" w:rsidR="00D555FE" w:rsidRPr="009F2998" w:rsidRDefault="00D555FE" w:rsidP="00D555FE">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2016</w:t>
            </w:r>
          </w:p>
        </w:tc>
        <w:tc>
          <w:tcPr>
            <w:tcW w:w="513" w:type="pct"/>
            <w:tcBorders>
              <w:top w:val="single" w:sz="8" w:space="0" w:color="auto"/>
              <w:left w:val="single" w:sz="4" w:space="0" w:color="auto"/>
              <w:bottom w:val="single" w:sz="8" w:space="0" w:color="auto"/>
              <w:right w:val="single" w:sz="4" w:space="0" w:color="auto"/>
            </w:tcBorders>
            <w:shd w:val="clear" w:color="auto" w:fill="BFBFBF" w:themeFill="background1" w:themeFillShade="BF"/>
            <w:noWrap/>
            <w:vAlign w:val="center"/>
          </w:tcPr>
          <w:p w14:paraId="2C806293" w14:textId="77777777" w:rsidR="00D555FE" w:rsidRPr="009F2998" w:rsidRDefault="00D555FE" w:rsidP="00D555FE">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2017</w:t>
            </w:r>
          </w:p>
        </w:tc>
        <w:tc>
          <w:tcPr>
            <w:tcW w:w="514" w:type="pct"/>
            <w:tcBorders>
              <w:top w:val="single" w:sz="8" w:space="0" w:color="auto"/>
              <w:left w:val="single" w:sz="4" w:space="0" w:color="auto"/>
              <w:bottom w:val="single" w:sz="8" w:space="0" w:color="auto"/>
              <w:right w:val="single" w:sz="4" w:space="0" w:color="auto"/>
            </w:tcBorders>
            <w:shd w:val="clear" w:color="auto" w:fill="BFBFBF" w:themeFill="background1" w:themeFillShade="BF"/>
            <w:noWrap/>
            <w:vAlign w:val="center"/>
          </w:tcPr>
          <w:p w14:paraId="54527CE4" w14:textId="77777777" w:rsidR="00D555FE" w:rsidRPr="009F2998" w:rsidRDefault="00D555FE" w:rsidP="00D555FE">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2018</w:t>
            </w:r>
          </w:p>
        </w:tc>
        <w:tc>
          <w:tcPr>
            <w:tcW w:w="514" w:type="pct"/>
            <w:tcBorders>
              <w:top w:val="single" w:sz="8" w:space="0" w:color="auto"/>
              <w:left w:val="single" w:sz="4" w:space="0" w:color="auto"/>
              <w:bottom w:val="single" w:sz="8" w:space="0" w:color="auto"/>
              <w:right w:val="single" w:sz="4" w:space="0" w:color="auto"/>
            </w:tcBorders>
            <w:shd w:val="clear" w:color="auto" w:fill="BFBFBF" w:themeFill="background1" w:themeFillShade="BF"/>
            <w:noWrap/>
            <w:vAlign w:val="center"/>
          </w:tcPr>
          <w:p w14:paraId="7B8E0859" w14:textId="77777777" w:rsidR="00D555FE" w:rsidRPr="009F2998" w:rsidRDefault="00D555FE" w:rsidP="00D555FE">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2019</w:t>
            </w:r>
          </w:p>
        </w:tc>
        <w:tc>
          <w:tcPr>
            <w:tcW w:w="514" w:type="pct"/>
            <w:tcBorders>
              <w:top w:val="single" w:sz="8" w:space="0" w:color="auto"/>
              <w:left w:val="single" w:sz="4" w:space="0" w:color="auto"/>
              <w:bottom w:val="single" w:sz="8" w:space="0" w:color="auto"/>
              <w:right w:val="single" w:sz="8" w:space="0" w:color="auto"/>
            </w:tcBorders>
            <w:shd w:val="clear" w:color="auto" w:fill="BFBFBF" w:themeFill="background1" w:themeFillShade="BF"/>
            <w:noWrap/>
            <w:vAlign w:val="center"/>
          </w:tcPr>
          <w:p w14:paraId="12E33027" w14:textId="77777777" w:rsidR="00D555FE" w:rsidRPr="009F2998" w:rsidRDefault="00D555FE" w:rsidP="00D555FE">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2020</w:t>
            </w:r>
          </w:p>
        </w:tc>
      </w:tr>
      <w:tr w:rsidR="00951485" w:rsidRPr="009F2998" w14:paraId="2488BE91" w14:textId="77777777" w:rsidTr="00AF5415">
        <w:trPr>
          <w:trHeight w:val="130"/>
        </w:trPr>
        <w:tc>
          <w:tcPr>
            <w:tcW w:w="1484" w:type="pct"/>
            <w:tcBorders>
              <w:top w:val="single" w:sz="8" w:space="0" w:color="auto"/>
              <w:left w:val="single" w:sz="8" w:space="0" w:color="auto"/>
              <w:bottom w:val="single" w:sz="4" w:space="0" w:color="auto"/>
              <w:right w:val="single" w:sz="4" w:space="0" w:color="auto"/>
            </w:tcBorders>
            <w:shd w:val="clear" w:color="auto" w:fill="auto"/>
            <w:noWrap/>
            <w:vAlign w:val="center"/>
          </w:tcPr>
          <w:p w14:paraId="0FD6404F" w14:textId="77777777" w:rsidR="00951485" w:rsidRPr="009F2998" w:rsidRDefault="00951485" w:rsidP="00951485">
            <w:pPr>
              <w:spacing w:after="0" w:line="240" w:lineRule="auto"/>
              <w:rPr>
                <w:rFonts w:ascii="Times New Roman" w:eastAsia="Times New Roman" w:hAnsi="Times New Roman" w:cs="Times New Roman"/>
                <w:b/>
                <w:lang w:eastAsia="sk-SK"/>
              </w:rPr>
            </w:pPr>
            <w:r w:rsidRPr="009F2998">
              <w:rPr>
                <w:rFonts w:ascii="Times New Roman" w:hAnsi="Times New Roman" w:cs="Times New Roman"/>
              </w:rPr>
              <w:t>Pôvodný cieľ pre čl. 7</w:t>
            </w:r>
          </w:p>
        </w:tc>
        <w:tc>
          <w:tcPr>
            <w:tcW w:w="433" w:type="pct"/>
            <w:tcBorders>
              <w:top w:val="single" w:sz="8" w:space="0" w:color="auto"/>
              <w:left w:val="single" w:sz="4" w:space="0" w:color="auto"/>
              <w:bottom w:val="single" w:sz="4" w:space="0" w:color="auto"/>
              <w:right w:val="single" w:sz="4" w:space="0" w:color="auto"/>
            </w:tcBorders>
            <w:shd w:val="clear" w:color="auto" w:fill="auto"/>
            <w:noWrap/>
            <w:vAlign w:val="center"/>
          </w:tcPr>
          <w:p w14:paraId="296DBF3D" w14:textId="64CC213F" w:rsidR="00951485" w:rsidRPr="00951485" w:rsidRDefault="00951485" w:rsidP="00FC1022">
            <w:pPr>
              <w:spacing w:after="0" w:line="240" w:lineRule="auto"/>
              <w:jc w:val="right"/>
              <w:rPr>
                <w:rFonts w:ascii="Times New Roman" w:eastAsia="Times New Roman" w:hAnsi="Times New Roman" w:cs="Times New Roman"/>
                <w:b/>
                <w:color w:val="000000"/>
                <w:lang w:eastAsia="sk-SK"/>
              </w:rPr>
            </w:pPr>
            <w:r w:rsidRPr="00AF5415">
              <w:rPr>
                <w:rFonts w:ascii="Times New Roman" w:hAnsi="Times New Roman" w:cs="Times New Roman"/>
              </w:rPr>
              <w:t>948,75</w:t>
            </w:r>
          </w:p>
        </w:tc>
        <w:tc>
          <w:tcPr>
            <w:tcW w:w="514" w:type="pct"/>
            <w:tcBorders>
              <w:top w:val="single" w:sz="8" w:space="0" w:color="auto"/>
              <w:left w:val="single" w:sz="4" w:space="0" w:color="auto"/>
              <w:bottom w:val="single" w:sz="4" w:space="0" w:color="auto"/>
              <w:right w:val="single" w:sz="4" w:space="0" w:color="auto"/>
            </w:tcBorders>
            <w:shd w:val="clear" w:color="auto" w:fill="auto"/>
            <w:noWrap/>
            <w:vAlign w:val="center"/>
          </w:tcPr>
          <w:p w14:paraId="724E44E6" w14:textId="06246613" w:rsidR="00951485" w:rsidRPr="00951485" w:rsidRDefault="00951485" w:rsidP="00AE42A2">
            <w:pPr>
              <w:spacing w:after="0" w:line="240" w:lineRule="auto"/>
              <w:jc w:val="right"/>
              <w:rPr>
                <w:rFonts w:ascii="Times New Roman" w:eastAsia="Times New Roman" w:hAnsi="Times New Roman" w:cs="Times New Roman"/>
                <w:b/>
                <w:color w:val="000000"/>
                <w:lang w:eastAsia="sk-SK"/>
              </w:rPr>
            </w:pPr>
            <w:r w:rsidRPr="00AF5415">
              <w:rPr>
                <w:rFonts w:ascii="Times New Roman" w:hAnsi="Times New Roman" w:cs="Times New Roman"/>
              </w:rPr>
              <w:t>948,75</w:t>
            </w:r>
          </w:p>
        </w:tc>
        <w:tc>
          <w:tcPr>
            <w:tcW w:w="514" w:type="pct"/>
            <w:tcBorders>
              <w:top w:val="single" w:sz="8" w:space="0" w:color="auto"/>
              <w:left w:val="single" w:sz="4" w:space="0" w:color="auto"/>
              <w:bottom w:val="single" w:sz="4" w:space="0" w:color="auto"/>
              <w:right w:val="single" w:sz="4" w:space="0" w:color="auto"/>
            </w:tcBorders>
            <w:shd w:val="clear" w:color="auto" w:fill="auto"/>
            <w:noWrap/>
            <w:vAlign w:val="center"/>
          </w:tcPr>
          <w:p w14:paraId="3FB61F2B" w14:textId="3D6CA7DE" w:rsidR="00951485" w:rsidRPr="00951485" w:rsidRDefault="00951485" w:rsidP="00AE42A2">
            <w:pPr>
              <w:spacing w:after="0" w:line="240" w:lineRule="auto"/>
              <w:jc w:val="right"/>
              <w:rPr>
                <w:rFonts w:ascii="Times New Roman" w:eastAsia="Times New Roman" w:hAnsi="Times New Roman" w:cs="Times New Roman"/>
                <w:b/>
                <w:color w:val="000000"/>
                <w:lang w:eastAsia="sk-SK"/>
              </w:rPr>
            </w:pPr>
            <w:r w:rsidRPr="00AF5415">
              <w:rPr>
                <w:rFonts w:ascii="Times New Roman" w:hAnsi="Times New Roman" w:cs="Times New Roman"/>
              </w:rPr>
              <w:t>948,75</w:t>
            </w:r>
          </w:p>
        </w:tc>
        <w:tc>
          <w:tcPr>
            <w:tcW w:w="513" w:type="pct"/>
            <w:tcBorders>
              <w:top w:val="single" w:sz="8" w:space="0" w:color="auto"/>
              <w:left w:val="single" w:sz="4" w:space="0" w:color="auto"/>
              <w:bottom w:val="single" w:sz="4" w:space="0" w:color="auto"/>
              <w:right w:val="single" w:sz="4" w:space="0" w:color="auto"/>
            </w:tcBorders>
            <w:shd w:val="clear" w:color="auto" w:fill="auto"/>
            <w:noWrap/>
            <w:vAlign w:val="center"/>
          </w:tcPr>
          <w:p w14:paraId="48D698F3" w14:textId="0C70B5A3" w:rsidR="00951485" w:rsidRPr="00951485" w:rsidRDefault="00951485" w:rsidP="00AE42A2">
            <w:pPr>
              <w:spacing w:after="0" w:line="240" w:lineRule="auto"/>
              <w:jc w:val="right"/>
              <w:rPr>
                <w:rFonts w:ascii="Times New Roman" w:eastAsia="Times New Roman" w:hAnsi="Times New Roman" w:cs="Times New Roman"/>
                <w:b/>
                <w:color w:val="000000"/>
                <w:lang w:eastAsia="sk-SK"/>
              </w:rPr>
            </w:pPr>
            <w:r w:rsidRPr="00AF5415">
              <w:rPr>
                <w:rFonts w:ascii="Times New Roman" w:hAnsi="Times New Roman" w:cs="Times New Roman"/>
              </w:rPr>
              <w:t>948,75</w:t>
            </w:r>
          </w:p>
        </w:tc>
        <w:tc>
          <w:tcPr>
            <w:tcW w:w="514" w:type="pct"/>
            <w:tcBorders>
              <w:top w:val="single" w:sz="8" w:space="0" w:color="auto"/>
              <w:left w:val="single" w:sz="4" w:space="0" w:color="auto"/>
              <w:bottom w:val="single" w:sz="4" w:space="0" w:color="auto"/>
              <w:right w:val="single" w:sz="4" w:space="0" w:color="auto"/>
            </w:tcBorders>
            <w:shd w:val="clear" w:color="auto" w:fill="auto"/>
            <w:noWrap/>
            <w:vAlign w:val="center"/>
          </w:tcPr>
          <w:p w14:paraId="6BB6846E" w14:textId="5AF4D45A" w:rsidR="00951485" w:rsidRPr="00951485" w:rsidRDefault="00951485" w:rsidP="00AE42A2">
            <w:pPr>
              <w:spacing w:after="0" w:line="240" w:lineRule="auto"/>
              <w:jc w:val="right"/>
              <w:rPr>
                <w:rFonts w:ascii="Times New Roman" w:eastAsia="Times New Roman" w:hAnsi="Times New Roman" w:cs="Times New Roman"/>
                <w:b/>
                <w:color w:val="000000"/>
                <w:lang w:eastAsia="sk-SK"/>
              </w:rPr>
            </w:pPr>
            <w:r w:rsidRPr="00AF5415">
              <w:rPr>
                <w:rFonts w:ascii="Times New Roman" w:hAnsi="Times New Roman" w:cs="Times New Roman"/>
              </w:rPr>
              <w:t>948,75</w:t>
            </w:r>
          </w:p>
        </w:tc>
        <w:tc>
          <w:tcPr>
            <w:tcW w:w="514" w:type="pct"/>
            <w:tcBorders>
              <w:top w:val="single" w:sz="8" w:space="0" w:color="auto"/>
              <w:left w:val="single" w:sz="4" w:space="0" w:color="auto"/>
              <w:bottom w:val="single" w:sz="4" w:space="0" w:color="auto"/>
              <w:right w:val="single" w:sz="4" w:space="0" w:color="auto"/>
            </w:tcBorders>
            <w:shd w:val="clear" w:color="auto" w:fill="auto"/>
            <w:noWrap/>
            <w:vAlign w:val="center"/>
          </w:tcPr>
          <w:p w14:paraId="54036E37" w14:textId="7D836BFD" w:rsidR="00951485" w:rsidRPr="00951485" w:rsidRDefault="00951485" w:rsidP="00AF5415">
            <w:pPr>
              <w:spacing w:after="0" w:line="240" w:lineRule="auto"/>
              <w:jc w:val="right"/>
              <w:rPr>
                <w:rFonts w:ascii="Times New Roman" w:eastAsia="Times New Roman" w:hAnsi="Times New Roman" w:cs="Times New Roman"/>
                <w:b/>
                <w:color w:val="000000"/>
                <w:lang w:eastAsia="sk-SK"/>
              </w:rPr>
            </w:pPr>
            <w:r w:rsidRPr="00AF5415">
              <w:rPr>
                <w:rFonts w:ascii="Times New Roman" w:hAnsi="Times New Roman" w:cs="Times New Roman"/>
              </w:rPr>
              <w:t>948,75</w:t>
            </w:r>
          </w:p>
        </w:tc>
        <w:tc>
          <w:tcPr>
            <w:tcW w:w="514" w:type="pct"/>
            <w:tcBorders>
              <w:top w:val="single" w:sz="8" w:space="0" w:color="auto"/>
              <w:left w:val="single" w:sz="4" w:space="0" w:color="auto"/>
              <w:bottom w:val="single" w:sz="4" w:space="0" w:color="auto"/>
              <w:right w:val="single" w:sz="8" w:space="0" w:color="auto"/>
            </w:tcBorders>
            <w:shd w:val="clear" w:color="auto" w:fill="auto"/>
            <w:noWrap/>
            <w:vAlign w:val="center"/>
          </w:tcPr>
          <w:p w14:paraId="22A8105F" w14:textId="35D2CD4F" w:rsidR="00951485" w:rsidRPr="00951485" w:rsidRDefault="00951485" w:rsidP="00AF5415">
            <w:pPr>
              <w:spacing w:after="0" w:line="240" w:lineRule="auto"/>
              <w:jc w:val="right"/>
              <w:rPr>
                <w:rFonts w:ascii="Times New Roman" w:eastAsia="Times New Roman" w:hAnsi="Times New Roman" w:cs="Times New Roman"/>
                <w:b/>
                <w:color w:val="000000"/>
                <w:lang w:eastAsia="sk-SK"/>
              </w:rPr>
            </w:pPr>
            <w:r w:rsidRPr="00AF5415">
              <w:rPr>
                <w:rFonts w:ascii="Times New Roman" w:hAnsi="Times New Roman" w:cs="Times New Roman"/>
              </w:rPr>
              <w:t>948,75</w:t>
            </w:r>
          </w:p>
        </w:tc>
      </w:tr>
      <w:tr w:rsidR="00951485" w:rsidRPr="009F2998" w14:paraId="56E0AAD9" w14:textId="77777777" w:rsidTr="00AF5415">
        <w:trPr>
          <w:trHeight w:val="130"/>
        </w:trPr>
        <w:tc>
          <w:tcPr>
            <w:tcW w:w="1484" w:type="pct"/>
            <w:tcBorders>
              <w:top w:val="single" w:sz="4" w:space="0" w:color="auto"/>
              <w:left w:val="single" w:sz="8" w:space="0" w:color="auto"/>
              <w:bottom w:val="single" w:sz="4" w:space="0" w:color="auto"/>
              <w:right w:val="single" w:sz="4" w:space="0" w:color="auto"/>
            </w:tcBorders>
            <w:shd w:val="clear" w:color="auto" w:fill="auto"/>
            <w:noWrap/>
            <w:vAlign w:val="center"/>
          </w:tcPr>
          <w:p w14:paraId="2D03810A" w14:textId="77777777" w:rsidR="00951485" w:rsidRPr="009F2998" w:rsidRDefault="00951485" w:rsidP="00951485">
            <w:pPr>
              <w:spacing w:after="0" w:line="240" w:lineRule="auto"/>
              <w:rPr>
                <w:rFonts w:ascii="Times New Roman" w:hAnsi="Times New Roman" w:cs="Times New Roman"/>
              </w:rPr>
            </w:pPr>
            <w:r w:rsidRPr="009F2998">
              <w:rPr>
                <w:rFonts w:ascii="Times New Roman" w:hAnsi="Times New Roman" w:cs="Times New Roman"/>
              </w:rPr>
              <w:t>Aktualizovaný cieľ v r. 2016</w:t>
            </w:r>
          </w:p>
        </w:tc>
        <w:tc>
          <w:tcPr>
            <w:tcW w:w="4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7A3798" w14:textId="77777777" w:rsidR="00951485" w:rsidRPr="00951485" w:rsidRDefault="00951485" w:rsidP="00FC1022">
            <w:pPr>
              <w:spacing w:after="0" w:line="240" w:lineRule="auto"/>
              <w:jc w:val="right"/>
              <w:rPr>
                <w:rFonts w:ascii="Times New Roman" w:eastAsia="Times New Roman" w:hAnsi="Times New Roman" w:cs="Times New Roman"/>
                <w:color w:val="000000"/>
                <w:lang w:eastAsia="sk-SK"/>
              </w:rPr>
            </w:pPr>
          </w:p>
        </w:tc>
        <w:tc>
          <w:tcPr>
            <w:tcW w:w="5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B3AFB1" w14:textId="77777777" w:rsidR="00951485" w:rsidRPr="00951485" w:rsidRDefault="00951485" w:rsidP="00AE42A2">
            <w:pPr>
              <w:spacing w:after="0" w:line="240" w:lineRule="auto"/>
              <w:jc w:val="right"/>
              <w:rPr>
                <w:rFonts w:ascii="Times New Roman" w:eastAsia="Times New Roman" w:hAnsi="Times New Roman" w:cs="Times New Roman"/>
                <w:color w:val="000000"/>
                <w:lang w:eastAsia="sk-SK"/>
              </w:rPr>
            </w:pPr>
          </w:p>
        </w:tc>
        <w:tc>
          <w:tcPr>
            <w:tcW w:w="5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67DB50" w14:textId="64EA7020" w:rsidR="00951485" w:rsidRPr="00951485" w:rsidRDefault="00951485" w:rsidP="00AE42A2">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959,84</w:t>
            </w:r>
          </w:p>
        </w:tc>
        <w:tc>
          <w:tcPr>
            <w:tcW w:w="5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5566DF" w14:textId="731B2809" w:rsidR="00951485" w:rsidRPr="00951485" w:rsidRDefault="00951485" w:rsidP="00AE42A2">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959,84</w:t>
            </w:r>
          </w:p>
        </w:tc>
        <w:tc>
          <w:tcPr>
            <w:tcW w:w="5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587EE8" w14:textId="73DBE763" w:rsidR="00951485" w:rsidRPr="00951485" w:rsidRDefault="00951485" w:rsidP="00AE42A2">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959,84</w:t>
            </w:r>
          </w:p>
        </w:tc>
        <w:tc>
          <w:tcPr>
            <w:tcW w:w="5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097AE7" w14:textId="5648C690" w:rsidR="00951485" w:rsidRPr="00951485" w:rsidRDefault="00951485" w:rsidP="00AF5415">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959,84</w:t>
            </w:r>
          </w:p>
        </w:tc>
        <w:tc>
          <w:tcPr>
            <w:tcW w:w="514" w:type="pct"/>
            <w:tcBorders>
              <w:top w:val="single" w:sz="4" w:space="0" w:color="auto"/>
              <w:left w:val="single" w:sz="4" w:space="0" w:color="auto"/>
              <w:bottom w:val="single" w:sz="4" w:space="0" w:color="auto"/>
              <w:right w:val="single" w:sz="8" w:space="0" w:color="auto"/>
            </w:tcBorders>
            <w:shd w:val="clear" w:color="auto" w:fill="auto"/>
            <w:noWrap/>
            <w:vAlign w:val="center"/>
          </w:tcPr>
          <w:p w14:paraId="63BCA3B1" w14:textId="40F6570F" w:rsidR="00951485" w:rsidRPr="00951485" w:rsidRDefault="00951485" w:rsidP="00AF5415">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959,79</w:t>
            </w:r>
          </w:p>
        </w:tc>
      </w:tr>
      <w:tr w:rsidR="00A62581" w:rsidRPr="009F2998" w14:paraId="25AC533F" w14:textId="77777777" w:rsidTr="005F7B58">
        <w:trPr>
          <w:trHeight w:val="130"/>
        </w:trPr>
        <w:tc>
          <w:tcPr>
            <w:tcW w:w="1484" w:type="pct"/>
            <w:tcBorders>
              <w:top w:val="single" w:sz="4" w:space="0" w:color="auto"/>
              <w:left w:val="single" w:sz="8" w:space="0" w:color="auto"/>
              <w:bottom w:val="single" w:sz="4" w:space="0" w:color="auto"/>
              <w:right w:val="single" w:sz="4" w:space="0" w:color="auto"/>
            </w:tcBorders>
            <w:shd w:val="clear" w:color="auto" w:fill="auto"/>
            <w:noWrap/>
            <w:vAlign w:val="center"/>
          </w:tcPr>
          <w:p w14:paraId="04071B35" w14:textId="77777777" w:rsidR="00A62581" w:rsidRPr="009F2998" w:rsidRDefault="00A62581" w:rsidP="00A62581">
            <w:pPr>
              <w:spacing w:after="0" w:line="240" w:lineRule="auto"/>
              <w:rPr>
                <w:rFonts w:ascii="Times New Roman" w:eastAsia="Times New Roman" w:hAnsi="Times New Roman" w:cs="Times New Roman"/>
                <w:b/>
                <w:lang w:eastAsia="sk-SK"/>
              </w:rPr>
            </w:pPr>
            <w:r w:rsidRPr="009F2998">
              <w:rPr>
                <w:rFonts w:ascii="Times New Roman" w:hAnsi="Times New Roman" w:cs="Times New Roman"/>
              </w:rPr>
              <w:t>Aktuálne plnenie cieľa (</w:t>
            </w:r>
            <w:r>
              <w:rPr>
                <w:rFonts w:ascii="Times New Roman" w:hAnsi="Times New Roman" w:cs="Times New Roman"/>
              </w:rPr>
              <w:t>01/</w:t>
            </w:r>
            <w:r w:rsidRPr="009F2998">
              <w:rPr>
                <w:rFonts w:ascii="Times New Roman" w:hAnsi="Times New Roman" w:cs="Times New Roman"/>
              </w:rPr>
              <w:t>2017)</w:t>
            </w:r>
          </w:p>
        </w:tc>
        <w:tc>
          <w:tcPr>
            <w:tcW w:w="4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AB6199" w14:textId="45769EA2" w:rsidR="00A62581" w:rsidRPr="00951485" w:rsidRDefault="00A62581" w:rsidP="00A62581">
            <w:pPr>
              <w:spacing w:after="0" w:line="240" w:lineRule="auto"/>
              <w:jc w:val="right"/>
              <w:rPr>
                <w:rFonts w:ascii="Times New Roman" w:eastAsia="Times New Roman" w:hAnsi="Times New Roman" w:cs="Times New Roman"/>
                <w:b/>
                <w:color w:val="000000"/>
                <w:lang w:eastAsia="sk-SK"/>
              </w:rPr>
            </w:pPr>
            <w:r w:rsidRPr="00AF5415">
              <w:rPr>
                <w:rFonts w:ascii="Times New Roman" w:hAnsi="Times New Roman" w:cs="Times New Roman"/>
              </w:rPr>
              <w:t>837,67</w:t>
            </w:r>
          </w:p>
        </w:tc>
        <w:tc>
          <w:tcPr>
            <w:tcW w:w="5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CBFDE8" w14:textId="3569BA5D" w:rsidR="00A62581" w:rsidRPr="00951485" w:rsidRDefault="00A62581" w:rsidP="00CE39CC">
            <w:pPr>
              <w:spacing w:after="0" w:line="240" w:lineRule="auto"/>
              <w:jc w:val="right"/>
              <w:rPr>
                <w:rFonts w:ascii="Times New Roman" w:eastAsia="Times New Roman" w:hAnsi="Times New Roman" w:cs="Times New Roman"/>
                <w:b/>
                <w:color w:val="000000"/>
                <w:lang w:eastAsia="sk-SK"/>
              </w:rPr>
            </w:pPr>
            <w:r w:rsidRPr="00AF5415">
              <w:rPr>
                <w:rFonts w:ascii="Times New Roman" w:hAnsi="Times New Roman" w:cs="Times New Roman"/>
              </w:rPr>
              <w:t>1 30</w:t>
            </w:r>
            <w:r w:rsidR="00CE39CC">
              <w:rPr>
                <w:rFonts w:ascii="Times New Roman" w:hAnsi="Times New Roman" w:cs="Times New Roman"/>
              </w:rPr>
              <w:t>8</w:t>
            </w:r>
            <w:r w:rsidRPr="00AF5415">
              <w:rPr>
                <w:rFonts w:ascii="Times New Roman" w:hAnsi="Times New Roman" w:cs="Times New Roman"/>
              </w:rPr>
              <w:t>,</w:t>
            </w:r>
            <w:r w:rsidR="00CE39CC">
              <w:rPr>
                <w:rFonts w:ascii="Times New Roman" w:hAnsi="Times New Roman" w:cs="Times New Roman"/>
              </w:rPr>
              <w:t>78</w:t>
            </w:r>
          </w:p>
        </w:tc>
        <w:tc>
          <w:tcPr>
            <w:tcW w:w="5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D86029" w14:textId="341F412D" w:rsidR="00A62581" w:rsidRPr="00AF28E9" w:rsidRDefault="00A62581" w:rsidP="008A2E6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653,21</w:t>
            </w:r>
          </w:p>
        </w:tc>
        <w:tc>
          <w:tcPr>
            <w:tcW w:w="5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EDC52E" w14:textId="77777777" w:rsidR="00A62581" w:rsidRPr="00A62581" w:rsidRDefault="00A62581" w:rsidP="00DB18C0">
            <w:pPr>
              <w:spacing w:after="0" w:line="240" w:lineRule="auto"/>
              <w:jc w:val="right"/>
              <w:rPr>
                <w:rFonts w:ascii="Times New Roman" w:eastAsia="Times New Roman" w:hAnsi="Times New Roman" w:cs="Times New Roman"/>
                <w:color w:val="000000"/>
                <w:lang w:eastAsia="sk-SK"/>
              </w:rPr>
            </w:pPr>
          </w:p>
        </w:tc>
        <w:tc>
          <w:tcPr>
            <w:tcW w:w="5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B27012" w14:textId="77777777" w:rsidR="00A62581" w:rsidRPr="00A62581" w:rsidRDefault="00A62581" w:rsidP="000D1519">
            <w:pPr>
              <w:spacing w:after="0" w:line="240" w:lineRule="auto"/>
              <w:jc w:val="right"/>
              <w:rPr>
                <w:rFonts w:ascii="Times New Roman" w:eastAsia="Times New Roman" w:hAnsi="Times New Roman" w:cs="Times New Roman"/>
                <w:color w:val="000000"/>
                <w:lang w:eastAsia="sk-SK"/>
              </w:rPr>
            </w:pPr>
          </w:p>
        </w:tc>
        <w:tc>
          <w:tcPr>
            <w:tcW w:w="5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822DD7" w14:textId="77777777" w:rsidR="00A62581" w:rsidRPr="00A62581" w:rsidRDefault="00A62581" w:rsidP="000D2B77">
            <w:pPr>
              <w:spacing w:after="0" w:line="240" w:lineRule="auto"/>
              <w:jc w:val="right"/>
              <w:rPr>
                <w:rFonts w:ascii="Times New Roman" w:eastAsia="Times New Roman" w:hAnsi="Times New Roman" w:cs="Times New Roman"/>
                <w:color w:val="000000"/>
                <w:lang w:eastAsia="sk-SK"/>
              </w:rPr>
            </w:pPr>
          </w:p>
        </w:tc>
        <w:tc>
          <w:tcPr>
            <w:tcW w:w="514" w:type="pct"/>
            <w:tcBorders>
              <w:top w:val="single" w:sz="4" w:space="0" w:color="auto"/>
              <w:left w:val="single" w:sz="4" w:space="0" w:color="auto"/>
              <w:bottom w:val="single" w:sz="4" w:space="0" w:color="auto"/>
              <w:right w:val="single" w:sz="8" w:space="0" w:color="auto"/>
            </w:tcBorders>
            <w:shd w:val="clear" w:color="auto" w:fill="auto"/>
            <w:noWrap/>
            <w:vAlign w:val="center"/>
          </w:tcPr>
          <w:p w14:paraId="5C257FFF" w14:textId="77777777" w:rsidR="00A62581" w:rsidRPr="00A62581" w:rsidRDefault="00A62581" w:rsidP="004F0D91">
            <w:pPr>
              <w:spacing w:after="0" w:line="240" w:lineRule="auto"/>
              <w:jc w:val="right"/>
              <w:rPr>
                <w:rFonts w:ascii="Times New Roman" w:eastAsia="Times New Roman" w:hAnsi="Times New Roman" w:cs="Times New Roman"/>
                <w:color w:val="000000"/>
                <w:lang w:eastAsia="sk-SK"/>
              </w:rPr>
            </w:pPr>
          </w:p>
        </w:tc>
      </w:tr>
      <w:tr w:rsidR="00A62581" w:rsidRPr="009F2998" w14:paraId="318C90D2" w14:textId="77777777" w:rsidTr="005F7B58">
        <w:trPr>
          <w:trHeight w:val="130"/>
        </w:trPr>
        <w:tc>
          <w:tcPr>
            <w:tcW w:w="1484" w:type="pct"/>
            <w:tcBorders>
              <w:top w:val="single" w:sz="4" w:space="0" w:color="auto"/>
              <w:left w:val="single" w:sz="8" w:space="0" w:color="auto"/>
              <w:bottom w:val="single" w:sz="8" w:space="0" w:color="auto"/>
              <w:right w:val="single" w:sz="4" w:space="0" w:color="auto"/>
            </w:tcBorders>
            <w:shd w:val="clear" w:color="auto" w:fill="auto"/>
            <w:noWrap/>
            <w:vAlign w:val="center"/>
          </w:tcPr>
          <w:p w14:paraId="5F026A28" w14:textId="77777777" w:rsidR="00A62581" w:rsidRPr="009F2998" w:rsidRDefault="00A62581" w:rsidP="00A62581">
            <w:pPr>
              <w:spacing w:after="0" w:line="240" w:lineRule="auto"/>
              <w:rPr>
                <w:rFonts w:ascii="Times New Roman" w:eastAsia="Times New Roman" w:hAnsi="Times New Roman" w:cs="Times New Roman"/>
                <w:color w:val="000000"/>
                <w:lang w:eastAsia="sk-SK"/>
              </w:rPr>
            </w:pPr>
            <w:r w:rsidRPr="009F2998">
              <w:rPr>
                <w:rFonts w:ascii="Times New Roman" w:hAnsi="Times New Roman" w:cs="Times New Roman"/>
              </w:rPr>
              <w:t>Aktualizovaný cieľ v r. 2017</w:t>
            </w:r>
          </w:p>
        </w:tc>
        <w:tc>
          <w:tcPr>
            <w:tcW w:w="43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7AAF6B4D" w14:textId="77777777" w:rsidR="00A62581" w:rsidRPr="00951485" w:rsidRDefault="00A62581" w:rsidP="00A62581">
            <w:pPr>
              <w:spacing w:after="0" w:line="240" w:lineRule="auto"/>
              <w:jc w:val="right"/>
              <w:rPr>
                <w:rFonts w:ascii="Times New Roman" w:eastAsia="Times New Roman" w:hAnsi="Times New Roman" w:cs="Times New Roman"/>
                <w:b/>
                <w:color w:val="000000"/>
                <w:lang w:eastAsia="sk-SK"/>
              </w:rPr>
            </w:pPr>
          </w:p>
        </w:tc>
        <w:tc>
          <w:tcPr>
            <w:tcW w:w="514" w:type="pct"/>
            <w:tcBorders>
              <w:top w:val="single" w:sz="4" w:space="0" w:color="auto"/>
              <w:left w:val="single" w:sz="4" w:space="0" w:color="auto"/>
              <w:bottom w:val="single" w:sz="8" w:space="0" w:color="auto"/>
              <w:right w:val="single" w:sz="4" w:space="0" w:color="auto"/>
            </w:tcBorders>
            <w:shd w:val="clear" w:color="auto" w:fill="auto"/>
            <w:noWrap/>
            <w:vAlign w:val="center"/>
          </w:tcPr>
          <w:p w14:paraId="36B462F5" w14:textId="77777777" w:rsidR="00A62581" w:rsidRPr="00951485" w:rsidRDefault="00A62581" w:rsidP="00A62581">
            <w:pPr>
              <w:spacing w:after="0" w:line="240" w:lineRule="auto"/>
              <w:jc w:val="right"/>
              <w:rPr>
                <w:rFonts w:ascii="Times New Roman" w:eastAsia="Times New Roman" w:hAnsi="Times New Roman" w:cs="Times New Roman"/>
                <w:b/>
                <w:color w:val="000000"/>
                <w:lang w:eastAsia="sk-SK"/>
              </w:rPr>
            </w:pPr>
          </w:p>
        </w:tc>
        <w:tc>
          <w:tcPr>
            <w:tcW w:w="514" w:type="pct"/>
            <w:tcBorders>
              <w:top w:val="single" w:sz="4" w:space="0" w:color="auto"/>
              <w:left w:val="single" w:sz="4" w:space="0" w:color="auto"/>
              <w:bottom w:val="single" w:sz="8" w:space="0" w:color="auto"/>
              <w:right w:val="single" w:sz="4" w:space="0" w:color="auto"/>
            </w:tcBorders>
            <w:shd w:val="clear" w:color="auto" w:fill="auto"/>
            <w:noWrap/>
            <w:vAlign w:val="center"/>
          </w:tcPr>
          <w:p w14:paraId="41451FC1" w14:textId="77777777" w:rsidR="00A62581" w:rsidRPr="008A2E69" w:rsidRDefault="00A62581" w:rsidP="008A2E69">
            <w:pPr>
              <w:spacing w:after="0" w:line="240" w:lineRule="auto"/>
              <w:jc w:val="right"/>
              <w:rPr>
                <w:rFonts w:ascii="Times New Roman" w:eastAsia="Times New Roman" w:hAnsi="Times New Roman" w:cs="Times New Roman"/>
                <w:bCs/>
                <w:color w:val="000000"/>
                <w:lang w:eastAsia="sk-SK"/>
              </w:rPr>
            </w:pPr>
          </w:p>
        </w:tc>
        <w:tc>
          <w:tcPr>
            <w:tcW w:w="51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13E00549" w14:textId="2E142873" w:rsidR="00A62581" w:rsidRPr="00AF28E9" w:rsidRDefault="00A62581" w:rsidP="00AF28E9">
            <w:pPr>
              <w:jc w:val="right"/>
              <w:rPr>
                <w:rFonts w:ascii="Times New Roman" w:hAnsi="Times New Roman" w:cs="Times New Roman"/>
                <w:bCs/>
                <w:lang w:eastAsia="sk-SK"/>
              </w:rPr>
            </w:pPr>
            <w:r w:rsidRPr="005F7B58">
              <w:rPr>
                <w:rFonts w:ascii="Times New Roman" w:hAnsi="Times New Roman" w:cs="Times New Roman"/>
              </w:rPr>
              <w:t>1 019,49</w:t>
            </w:r>
          </w:p>
        </w:tc>
        <w:tc>
          <w:tcPr>
            <w:tcW w:w="514" w:type="pct"/>
            <w:tcBorders>
              <w:top w:val="single" w:sz="4" w:space="0" w:color="auto"/>
              <w:left w:val="single" w:sz="4" w:space="0" w:color="auto"/>
              <w:bottom w:val="single" w:sz="8" w:space="0" w:color="auto"/>
              <w:right w:val="single" w:sz="4" w:space="0" w:color="auto"/>
            </w:tcBorders>
            <w:shd w:val="clear" w:color="auto" w:fill="auto"/>
            <w:noWrap/>
            <w:vAlign w:val="center"/>
          </w:tcPr>
          <w:p w14:paraId="143770A7" w14:textId="56609A18" w:rsidR="00A62581" w:rsidRPr="00AF28E9" w:rsidRDefault="00A62581" w:rsidP="00AF28E9">
            <w:pPr>
              <w:jc w:val="right"/>
              <w:rPr>
                <w:rFonts w:ascii="Times New Roman" w:hAnsi="Times New Roman" w:cs="Times New Roman"/>
                <w:bCs/>
                <w:lang w:eastAsia="sk-SK"/>
              </w:rPr>
            </w:pPr>
            <w:r w:rsidRPr="005F7B58">
              <w:rPr>
                <w:rFonts w:ascii="Times New Roman" w:hAnsi="Times New Roman" w:cs="Times New Roman"/>
              </w:rPr>
              <w:t>1 019,49</w:t>
            </w:r>
          </w:p>
        </w:tc>
        <w:tc>
          <w:tcPr>
            <w:tcW w:w="514" w:type="pct"/>
            <w:tcBorders>
              <w:top w:val="single" w:sz="4" w:space="0" w:color="auto"/>
              <w:left w:val="single" w:sz="4" w:space="0" w:color="auto"/>
              <w:bottom w:val="single" w:sz="8" w:space="0" w:color="auto"/>
              <w:right w:val="single" w:sz="4" w:space="0" w:color="auto"/>
            </w:tcBorders>
            <w:shd w:val="clear" w:color="auto" w:fill="auto"/>
            <w:noWrap/>
            <w:vAlign w:val="center"/>
          </w:tcPr>
          <w:p w14:paraId="2DE973D0" w14:textId="53046E26" w:rsidR="00A62581" w:rsidRPr="00AF28E9" w:rsidRDefault="00A62581" w:rsidP="00DB18C0">
            <w:pPr>
              <w:jc w:val="right"/>
              <w:rPr>
                <w:rFonts w:ascii="Times New Roman" w:hAnsi="Times New Roman" w:cs="Times New Roman"/>
                <w:bCs/>
                <w:lang w:eastAsia="sk-SK"/>
              </w:rPr>
            </w:pPr>
            <w:r w:rsidRPr="005F7B58">
              <w:rPr>
                <w:rFonts w:ascii="Times New Roman" w:hAnsi="Times New Roman" w:cs="Times New Roman"/>
              </w:rPr>
              <w:t>1 019,49</w:t>
            </w:r>
          </w:p>
        </w:tc>
        <w:tc>
          <w:tcPr>
            <w:tcW w:w="514" w:type="pct"/>
            <w:tcBorders>
              <w:top w:val="single" w:sz="4" w:space="0" w:color="auto"/>
              <w:left w:val="single" w:sz="4" w:space="0" w:color="auto"/>
              <w:bottom w:val="single" w:sz="8" w:space="0" w:color="auto"/>
              <w:right w:val="single" w:sz="8" w:space="0" w:color="auto"/>
            </w:tcBorders>
            <w:shd w:val="clear" w:color="auto" w:fill="auto"/>
            <w:noWrap/>
            <w:vAlign w:val="center"/>
          </w:tcPr>
          <w:p w14:paraId="700CAE6D" w14:textId="376B0628" w:rsidR="00A62581" w:rsidRPr="00AF28E9" w:rsidRDefault="00A62581" w:rsidP="00DB18C0">
            <w:pPr>
              <w:jc w:val="right"/>
              <w:rPr>
                <w:rFonts w:ascii="Times New Roman" w:hAnsi="Times New Roman" w:cs="Times New Roman"/>
                <w:bCs/>
                <w:lang w:eastAsia="sk-SK"/>
              </w:rPr>
            </w:pPr>
            <w:r w:rsidRPr="005F7B58">
              <w:rPr>
                <w:rFonts w:ascii="Times New Roman" w:hAnsi="Times New Roman" w:cs="Times New Roman"/>
              </w:rPr>
              <w:t>1 019,4</w:t>
            </w:r>
            <w:r w:rsidR="00D9171B">
              <w:rPr>
                <w:rFonts w:ascii="Times New Roman" w:hAnsi="Times New Roman" w:cs="Times New Roman"/>
              </w:rPr>
              <w:t>9</w:t>
            </w:r>
          </w:p>
        </w:tc>
      </w:tr>
    </w:tbl>
    <w:p w14:paraId="562CF63F" w14:textId="5A788DA1" w:rsidR="007325B5" w:rsidRPr="000578FE" w:rsidRDefault="00D555FE">
      <w:pPr>
        <w:rPr>
          <w:rFonts w:ascii="Times New Roman" w:hAnsi="Times New Roman" w:cs="Times New Roman"/>
          <w:sz w:val="24"/>
          <w:szCs w:val="24"/>
        </w:rPr>
      </w:pPr>
      <w:r w:rsidRPr="00BF3E63">
        <w:rPr>
          <w:rFonts w:ascii="Times New Roman" w:hAnsi="Times New Roman" w:cs="Times New Roman"/>
          <w:sz w:val="24"/>
          <w:szCs w:val="24"/>
        </w:rPr>
        <w:t xml:space="preserve"> </w:t>
      </w:r>
      <w:r w:rsidR="00BF3E63" w:rsidRPr="00BF3E63">
        <w:rPr>
          <w:rFonts w:ascii="Times New Roman" w:hAnsi="Times New Roman" w:cs="Times New Roman"/>
          <w:sz w:val="24"/>
          <w:szCs w:val="24"/>
        </w:rPr>
        <w:t xml:space="preserve">Tabuľka č. 13: </w:t>
      </w:r>
      <w:r w:rsidR="00BF3E63" w:rsidRPr="000578FE">
        <w:rPr>
          <w:rFonts w:ascii="Times New Roman" w:hAnsi="Times New Roman" w:cs="Times New Roman"/>
          <w:sz w:val="24"/>
          <w:szCs w:val="24"/>
        </w:rPr>
        <w:t>Trend úspor energie</w:t>
      </w:r>
      <w:r w:rsidR="001A7A74">
        <w:rPr>
          <w:rFonts w:ascii="Times New Roman" w:hAnsi="Times New Roman" w:cs="Times New Roman"/>
          <w:sz w:val="24"/>
          <w:szCs w:val="24"/>
        </w:rPr>
        <w:t xml:space="preserve"> v rokoch 2014-2020</w:t>
      </w:r>
    </w:p>
    <w:p w14:paraId="18BD2C68" w14:textId="23D3542C" w:rsidR="00655038" w:rsidRDefault="00655038" w:rsidP="00933491">
      <w:pPr>
        <w:spacing w:after="200" w:line="276" w:lineRule="auto"/>
        <w:jc w:val="both"/>
        <w:rPr>
          <w:rFonts w:ascii="Times New Roman" w:eastAsia="Calibri" w:hAnsi="Times New Roman" w:cs="Times New Roman"/>
          <w:sz w:val="24"/>
          <w:szCs w:val="24"/>
        </w:rPr>
      </w:pPr>
    </w:p>
    <w:p w14:paraId="5CD24F63" w14:textId="18EC6E30" w:rsidR="00B81032" w:rsidRDefault="00B81032" w:rsidP="00933491">
      <w:pPr>
        <w:spacing w:after="200" w:line="276" w:lineRule="auto"/>
        <w:jc w:val="both"/>
        <w:rPr>
          <w:rFonts w:ascii="Times New Roman" w:eastAsia="Calibri" w:hAnsi="Times New Roman" w:cs="Times New Roman"/>
          <w:sz w:val="24"/>
          <w:szCs w:val="24"/>
        </w:rPr>
      </w:pPr>
      <w:r w:rsidRPr="000745A8">
        <w:rPr>
          <w:rFonts w:ascii="Times New Roman" w:eastAsia="Calibri" w:hAnsi="Times New Roman" w:cs="Times New Roman"/>
          <w:sz w:val="24"/>
          <w:szCs w:val="24"/>
        </w:rPr>
        <w:t>Vzhľadom na to, že cieľ pre účely čl. 7 smernice 2012/27/EÚ o energetickej efektívnosti sa vyjadruje v kumulovanej hodnote, údaje o úsporách energie, ktoré boli dosiahnuté v rokoch 2014 až 2016, sú uvedené vo forme matice s vývojom do roku 2020 (</w:t>
      </w:r>
      <w:r w:rsidR="00A67637" w:rsidRPr="000745A8">
        <w:rPr>
          <w:rFonts w:ascii="Times New Roman" w:eastAsia="Calibri" w:hAnsi="Times New Roman" w:cs="Times New Roman"/>
          <w:sz w:val="24"/>
          <w:szCs w:val="24"/>
        </w:rPr>
        <w:t>pozri</w:t>
      </w:r>
      <w:r w:rsidRPr="000745A8">
        <w:rPr>
          <w:rFonts w:ascii="Times New Roman" w:eastAsia="Calibri" w:hAnsi="Times New Roman" w:cs="Times New Roman"/>
          <w:sz w:val="24"/>
          <w:szCs w:val="24"/>
        </w:rPr>
        <w:t xml:space="preserve"> tabuľk</w:t>
      </w:r>
      <w:r w:rsidR="00A67637" w:rsidRPr="000745A8">
        <w:rPr>
          <w:rFonts w:ascii="Times New Roman" w:eastAsia="Calibri" w:hAnsi="Times New Roman" w:cs="Times New Roman"/>
          <w:sz w:val="24"/>
          <w:szCs w:val="24"/>
        </w:rPr>
        <w:t>u</w:t>
      </w:r>
      <w:r w:rsidRPr="000745A8">
        <w:rPr>
          <w:rFonts w:ascii="Times New Roman" w:eastAsia="Calibri" w:hAnsi="Times New Roman" w:cs="Times New Roman"/>
          <w:sz w:val="24"/>
          <w:szCs w:val="24"/>
        </w:rPr>
        <w:t xml:space="preserve"> č. </w:t>
      </w:r>
      <w:r w:rsidR="00BF3E63">
        <w:rPr>
          <w:rFonts w:ascii="Times New Roman" w:hAnsi="Times New Roman" w:cs="Times New Roman"/>
          <w:sz w:val="24"/>
          <w:szCs w:val="24"/>
        </w:rPr>
        <w:t>14</w:t>
      </w:r>
      <w:r w:rsidRPr="000745A8">
        <w:rPr>
          <w:rFonts w:ascii="Times New Roman" w:eastAsia="Calibri" w:hAnsi="Times New Roman" w:cs="Times New Roman"/>
          <w:sz w:val="24"/>
          <w:szCs w:val="24"/>
        </w:rPr>
        <w:t xml:space="preserve">). </w:t>
      </w:r>
      <w:r w:rsidRPr="007577DE">
        <w:rPr>
          <w:rFonts w:ascii="Times New Roman" w:eastAsia="Calibri" w:hAnsi="Times New Roman" w:cs="Times New Roman"/>
          <w:sz w:val="24"/>
          <w:szCs w:val="24"/>
        </w:rPr>
        <w:t>Zníženie úspor energie</w:t>
      </w:r>
      <w:r w:rsidRPr="000745A8">
        <w:rPr>
          <w:rFonts w:ascii="Times New Roman" w:eastAsia="Calibri" w:hAnsi="Times New Roman" w:cs="Times New Roman"/>
          <w:sz w:val="24"/>
          <w:szCs w:val="24"/>
        </w:rPr>
        <w:t xml:space="preserve"> v posledných rokov vychádza zo životnosti jednotlivých realizovaných aktivít v rámci opatrení. Celkovo sa za doterajšie obdobie platnosti čl. 7 smernice 2012/27/EÚ dosiah</w:t>
      </w:r>
      <w:r w:rsidR="00FF1C74" w:rsidRPr="000745A8">
        <w:rPr>
          <w:rFonts w:ascii="Times New Roman" w:eastAsia="Calibri" w:hAnsi="Times New Roman" w:cs="Times New Roman"/>
          <w:sz w:val="24"/>
          <w:szCs w:val="24"/>
        </w:rPr>
        <w:t>o</w:t>
      </w:r>
      <w:r w:rsidRPr="000745A8">
        <w:rPr>
          <w:rFonts w:ascii="Times New Roman" w:eastAsia="Calibri" w:hAnsi="Times New Roman" w:cs="Times New Roman"/>
          <w:sz w:val="24"/>
          <w:szCs w:val="24"/>
        </w:rPr>
        <w:t>l</w:t>
      </w:r>
      <w:r w:rsidR="00FF1C74" w:rsidRPr="000745A8">
        <w:rPr>
          <w:rFonts w:ascii="Times New Roman" w:eastAsia="Calibri" w:hAnsi="Times New Roman" w:cs="Times New Roman"/>
          <w:sz w:val="24"/>
          <w:szCs w:val="24"/>
        </w:rPr>
        <w:t xml:space="preserve"> príspevok </w:t>
      </w:r>
      <w:r w:rsidR="004E720D" w:rsidRPr="000745A8">
        <w:rPr>
          <w:rFonts w:ascii="Times New Roman" w:eastAsia="Calibri" w:hAnsi="Times New Roman" w:cs="Times New Roman"/>
          <w:sz w:val="24"/>
          <w:szCs w:val="24"/>
        </w:rPr>
        <w:t>ku</w:t>
      </w:r>
      <w:r w:rsidRPr="000745A8">
        <w:rPr>
          <w:rFonts w:ascii="Times New Roman" w:eastAsia="Calibri" w:hAnsi="Times New Roman" w:cs="Times New Roman"/>
          <w:sz w:val="24"/>
          <w:szCs w:val="24"/>
        </w:rPr>
        <w:t xml:space="preserve"> kumulatívn</w:t>
      </w:r>
      <w:r w:rsidR="00FF1C74" w:rsidRPr="000745A8">
        <w:rPr>
          <w:rFonts w:ascii="Times New Roman" w:eastAsia="Calibri" w:hAnsi="Times New Roman" w:cs="Times New Roman"/>
          <w:sz w:val="24"/>
          <w:szCs w:val="24"/>
        </w:rPr>
        <w:t>y</w:t>
      </w:r>
      <w:r w:rsidR="004E720D" w:rsidRPr="000745A8">
        <w:rPr>
          <w:rFonts w:ascii="Times New Roman" w:eastAsia="Calibri" w:hAnsi="Times New Roman" w:cs="Times New Roman"/>
          <w:sz w:val="24"/>
          <w:szCs w:val="24"/>
        </w:rPr>
        <w:t>m</w:t>
      </w:r>
      <w:r w:rsidRPr="000745A8">
        <w:rPr>
          <w:rFonts w:ascii="Times New Roman" w:eastAsia="Calibri" w:hAnsi="Times New Roman" w:cs="Times New Roman"/>
          <w:sz w:val="24"/>
          <w:szCs w:val="24"/>
        </w:rPr>
        <w:t xml:space="preserve"> úspor</w:t>
      </w:r>
      <w:r w:rsidR="004E720D" w:rsidRPr="000745A8">
        <w:rPr>
          <w:rFonts w:ascii="Times New Roman" w:eastAsia="Calibri" w:hAnsi="Times New Roman" w:cs="Times New Roman"/>
          <w:sz w:val="24"/>
          <w:szCs w:val="24"/>
        </w:rPr>
        <w:t>ám</w:t>
      </w:r>
      <w:r w:rsidR="00FF1C74" w:rsidRPr="000745A8">
        <w:rPr>
          <w:rFonts w:ascii="Times New Roman" w:eastAsia="Calibri" w:hAnsi="Times New Roman" w:cs="Times New Roman"/>
          <w:sz w:val="24"/>
          <w:szCs w:val="24"/>
        </w:rPr>
        <w:t xml:space="preserve"> </w:t>
      </w:r>
      <w:r w:rsidRPr="000745A8">
        <w:rPr>
          <w:rFonts w:ascii="Times New Roman" w:eastAsia="Calibri" w:hAnsi="Times New Roman" w:cs="Times New Roman"/>
          <w:sz w:val="24"/>
          <w:szCs w:val="24"/>
        </w:rPr>
        <w:t xml:space="preserve">energie </w:t>
      </w:r>
      <w:r w:rsidR="00FF1C74" w:rsidRPr="000745A8">
        <w:rPr>
          <w:rFonts w:ascii="Times New Roman" w:eastAsia="Calibri" w:hAnsi="Times New Roman" w:cs="Times New Roman"/>
          <w:sz w:val="24"/>
          <w:szCs w:val="24"/>
        </w:rPr>
        <w:t xml:space="preserve">vyčíslený </w:t>
      </w:r>
      <w:r w:rsidR="004E720D" w:rsidRPr="000745A8">
        <w:rPr>
          <w:rFonts w:ascii="Times New Roman" w:eastAsia="Calibri" w:hAnsi="Times New Roman" w:cs="Times New Roman"/>
          <w:sz w:val="24"/>
          <w:szCs w:val="24"/>
        </w:rPr>
        <w:t xml:space="preserve">do </w:t>
      </w:r>
      <w:r w:rsidR="00FF1C74" w:rsidRPr="000745A8">
        <w:rPr>
          <w:rFonts w:ascii="Times New Roman" w:eastAsia="Calibri" w:hAnsi="Times New Roman" w:cs="Times New Roman"/>
          <w:sz w:val="24"/>
          <w:szCs w:val="24"/>
        </w:rPr>
        <w:t xml:space="preserve">roku 2020 </w:t>
      </w:r>
      <w:r w:rsidR="005A1C5F">
        <w:rPr>
          <w:rFonts w:ascii="Times New Roman" w:eastAsia="Calibri" w:hAnsi="Times New Roman" w:cs="Times New Roman"/>
          <w:sz w:val="24"/>
          <w:szCs w:val="24"/>
        </w:rPr>
        <w:br/>
      </w:r>
      <w:r w:rsidRPr="000745A8">
        <w:rPr>
          <w:rFonts w:ascii="Times New Roman" w:eastAsia="Calibri" w:hAnsi="Times New Roman" w:cs="Times New Roman"/>
          <w:sz w:val="24"/>
          <w:szCs w:val="24"/>
        </w:rPr>
        <w:t xml:space="preserve">vo výške </w:t>
      </w:r>
      <w:r w:rsidR="00CA22D1" w:rsidRPr="005F7B58">
        <w:rPr>
          <w:rFonts w:ascii="Times New Roman" w:eastAsia="Calibri" w:hAnsi="Times New Roman" w:cs="Times New Roman"/>
          <w:b/>
          <w:sz w:val="24"/>
          <w:szCs w:val="24"/>
        </w:rPr>
        <w:t>16 3</w:t>
      </w:r>
      <w:r w:rsidR="00B055FF" w:rsidRPr="005F7B58">
        <w:rPr>
          <w:rFonts w:ascii="Times New Roman" w:eastAsia="Calibri" w:hAnsi="Times New Roman" w:cs="Times New Roman"/>
          <w:b/>
          <w:sz w:val="24"/>
          <w:szCs w:val="24"/>
        </w:rPr>
        <w:t>70</w:t>
      </w:r>
      <w:r w:rsidR="00CA22D1" w:rsidRPr="005F7B58">
        <w:rPr>
          <w:rFonts w:ascii="Times New Roman" w:eastAsia="Calibri" w:hAnsi="Times New Roman" w:cs="Times New Roman"/>
          <w:b/>
          <w:sz w:val="24"/>
          <w:szCs w:val="24"/>
        </w:rPr>
        <w:t>,</w:t>
      </w:r>
      <w:r w:rsidR="00B055FF" w:rsidRPr="005F7B58">
        <w:rPr>
          <w:rFonts w:ascii="Times New Roman" w:eastAsia="Calibri" w:hAnsi="Times New Roman" w:cs="Times New Roman"/>
          <w:b/>
          <w:sz w:val="24"/>
          <w:szCs w:val="24"/>
        </w:rPr>
        <w:t>14</w:t>
      </w:r>
      <w:r w:rsidR="00CA22D1" w:rsidRPr="005F7B58">
        <w:rPr>
          <w:rFonts w:ascii="Times New Roman" w:eastAsia="Calibri" w:hAnsi="Times New Roman" w:cs="Times New Roman"/>
          <w:b/>
          <w:sz w:val="24"/>
          <w:szCs w:val="24"/>
        </w:rPr>
        <w:t xml:space="preserve"> </w:t>
      </w:r>
      <w:r w:rsidRPr="004E746F">
        <w:rPr>
          <w:rFonts w:ascii="Times New Roman" w:eastAsia="Calibri" w:hAnsi="Times New Roman" w:cs="Times New Roman"/>
          <w:b/>
          <w:sz w:val="24"/>
          <w:szCs w:val="24"/>
        </w:rPr>
        <w:t>GWh</w:t>
      </w:r>
      <w:r w:rsidRPr="000745A8">
        <w:rPr>
          <w:rFonts w:ascii="Times New Roman" w:eastAsia="Calibri" w:hAnsi="Times New Roman" w:cs="Times New Roman"/>
          <w:sz w:val="24"/>
          <w:szCs w:val="24"/>
        </w:rPr>
        <w:t xml:space="preserve">. </w:t>
      </w:r>
    </w:p>
    <w:p w14:paraId="1931BC0D" w14:textId="269AECCC" w:rsidR="00BF3E63" w:rsidRPr="00BF3E63" w:rsidRDefault="00BF3E63" w:rsidP="00933491">
      <w:pPr>
        <w:spacing w:after="200" w:line="276" w:lineRule="auto"/>
        <w:jc w:val="both"/>
        <w:rPr>
          <w:rFonts w:ascii="Times New Roman" w:eastAsia="Calibri" w:hAnsi="Times New Roman" w:cs="Times New Roman"/>
          <w:sz w:val="24"/>
          <w:szCs w:val="24"/>
        </w:rPr>
      </w:pPr>
      <w:r w:rsidRPr="00BF3E63">
        <w:rPr>
          <w:rFonts w:ascii="Times New Roman" w:eastAsia="Calibri" w:hAnsi="Times New Roman" w:cs="Times New Roman"/>
          <w:sz w:val="24"/>
          <w:szCs w:val="24"/>
        </w:rPr>
        <w:t xml:space="preserve">Tabuľka č. 14: </w:t>
      </w:r>
      <w:r w:rsidRPr="000578FE">
        <w:rPr>
          <w:rFonts w:ascii="Times New Roman" w:hAnsi="Times New Roman" w:cs="Times New Roman"/>
          <w:sz w:val="24"/>
          <w:szCs w:val="24"/>
        </w:rPr>
        <w:t>Úspory energie pre plnenie článku 7 smernice alternatívnymi opatreniami  za obdobie 2014 - 2016</w:t>
      </w:r>
    </w:p>
    <w:tbl>
      <w:tblPr>
        <w:tblW w:w="5000" w:type="pct"/>
        <w:tblCellMar>
          <w:left w:w="70" w:type="dxa"/>
          <w:right w:w="70" w:type="dxa"/>
        </w:tblCellMar>
        <w:tblLook w:val="04A0" w:firstRow="1" w:lastRow="0" w:firstColumn="1" w:lastColumn="0" w:noHBand="0" w:noVBand="1"/>
      </w:tblPr>
      <w:tblGrid>
        <w:gridCol w:w="2005"/>
        <w:gridCol w:w="1910"/>
        <w:gridCol w:w="1680"/>
        <w:gridCol w:w="1848"/>
        <w:gridCol w:w="1599"/>
      </w:tblGrid>
      <w:tr w:rsidR="00B81032" w:rsidRPr="00655038" w14:paraId="6A6C4B0A" w14:textId="77777777" w:rsidTr="005F7B58">
        <w:trPr>
          <w:trHeight w:val="315"/>
          <w:tblHeader/>
        </w:trPr>
        <w:tc>
          <w:tcPr>
            <w:tcW w:w="1109" w:type="pct"/>
            <w:vMerge w:val="restart"/>
            <w:tcBorders>
              <w:top w:val="single" w:sz="12" w:space="0" w:color="auto"/>
              <w:left w:val="single" w:sz="12" w:space="0" w:color="auto"/>
              <w:bottom w:val="single" w:sz="6" w:space="0" w:color="auto"/>
              <w:right w:val="single" w:sz="6" w:space="0" w:color="auto"/>
            </w:tcBorders>
            <w:shd w:val="clear" w:color="auto" w:fill="BFBFBF"/>
            <w:noWrap/>
            <w:vAlign w:val="center"/>
            <w:hideMark/>
          </w:tcPr>
          <w:p w14:paraId="0B3C6355" w14:textId="77777777" w:rsidR="00B81032" w:rsidRPr="00655038" w:rsidRDefault="00B81032" w:rsidP="000745A8">
            <w:pPr>
              <w:spacing w:after="0" w:line="240" w:lineRule="auto"/>
              <w:jc w:val="center"/>
              <w:rPr>
                <w:rFonts w:ascii="Times New Roman" w:eastAsia="Times New Roman" w:hAnsi="Times New Roman" w:cs="Times New Roman"/>
                <w:color w:val="000000"/>
                <w:lang w:eastAsia="sk-SK"/>
              </w:rPr>
            </w:pPr>
            <w:r w:rsidRPr="00655038">
              <w:rPr>
                <w:rFonts w:ascii="Times New Roman" w:eastAsia="Times New Roman" w:hAnsi="Times New Roman" w:cs="Times New Roman"/>
                <w:color w:val="000000"/>
                <w:lang w:eastAsia="sk-SK"/>
              </w:rPr>
              <w:t>Rok</w:t>
            </w:r>
          </w:p>
        </w:tc>
        <w:tc>
          <w:tcPr>
            <w:tcW w:w="3891" w:type="pct"/>
            <w:gridSpan w:val="4"/>
            <w:tcBorders>
              <w:top w:val="single" w:sz="12" w:space="0" w:color="auto"/>
              <w:left w:val="single" w:sz="6" w:space="0" w:color="auto"/>
              <w:bottom w:val="single" w:sz="6" w:space="0" w:color="auto"/>
              <w:right w:val="single" w:sz="12" w:space="0" w:color="auto"/>
            </w:tcBorders>
            <w:shd w:val="clear" w:color="auto" w:fill="BFBFBF"/>
            <w:noWrap/>
            <w:vAlign w:val="center"/>
          </w:tcPr>
          <w:p w14:paraId="26BB699B" w14:textId="7533C8B0" w:rsidR="00B81032" w:rsidRPr="00655038" w:rsidRDefault="00B81032">
            <w:pPr>
              <w:spacing w:after="0" w:line="240" w:lineRule="auto"/>
              <w:jc w:val="center"/>
              <w:rPr>
                <w:rFonts w:ascii="Times New Roman" w:eastAsia="Times New Roman" w:hAnsi="Times New Roman" w:cs="Times New Roman"/>
                <w:b/>
                <w:color w:val="000000"/>
                <w:lang w:eastAsia="sk-SK"/>
              </w:rPr>
            </w:pPr>
            <w:r w:rsidRPr="00655038">
              <w:rPr>
                <w:rFonts w:ascii="Times New Roman" w:eastAsia="Times New Roman" w:hAnsi="Times New Roman" w:cs="Times New Roman"/>
                <w:b/>
                <w:color w:val="000000"/>
                <w:lang w:eastAsia="sk-SK"/>
              </w:rPr>
              <w:t>Kumulatívne úspory energie</w:t>
            </w:r>
            <w:r w:rsidR="004E720D" w:rsidRPr="00655038">
              <w:rPr>
                <w:rFonts w:ascii="Times New Roman" w:eastAsia="Times New Roman" w:hAnsi="Times New Roman" w:cs="Times New Roman"/>
                <w:b/>
                <w:color w:val="000000"/>
                <w:lang w:eastAsia="sk-SK"/>
              </w:rPr>
              <w:t xml:space="preserve"> do roku 2020</w:t>
            </w:r>
          </w:p>
          <w:p w14:paraId="7ECF1BD9" w14:textId="77777777" w:rsidR="00B81032" w:rsidRPr="00655038" w:rsidRDefault="00B81032">
            <w:pPr>
              <w:spacing w:after="0" w:line="240" w:lineRule="auto"/>
              <w:jc w:val="center"/>
              <w:rPr>
                <w:rFonts w:ascii="Times New Roman" w:eastAsia="Times New Roman" w:hAnsi="Times New Roman" w:cs="Times New Roman"/>
                <w:b/>
                <w:color w:val="000000"/>
                <w:lang w:eastAsia="sk-SK"/>
              </w:rPr>
            </w:pPr>
            <w:r w:rsidRPr="00655038">
              <w:rPr>
                <w:rFonts w:ascii="Times New Roman" w:eastAsia="Times New Roman" w:hAnsi="Times New Roman" w:cs="Times New Roman"/>
                <w:b/>
                <w:color w:val="000000"/>
                <w:lang w:val="en-GB" w:eastAsia="sk-SK"/>
              </w:rPr>
              <w:t>[GWh]</w:t>
            </w:r>
          </w:p>
        </w:tc>
      </w:tr>
      <w:tr w:rsidR="00B81032" w:rsidRPr="00655038" w14:paraId="0007BD80" w14:textId="77777777" w:rsidTr="005F7B58">
        <w:trPr>
          <w:trHeight w:val="315"/>
          <w:tblHeader/>
        </w:trPr>
        <w:tc>
          <w:tcPr>
            <w:tcW w:w="1109" w:type="pct"/>
            <w:vMerge/>
            <w:tcBorders>
              <w:top w:val="single" w:sz="6" w:space="0" w:color="auto"/>
              <w:left w:val="single" w:sz="12" w:space="0" w:color="auto"/>
              <w:bottom w:val="single" w:sz="12" w:space="0" w:color="auto"/>
              <w:right w:val="single" w:sz="6" w:space="0" w:color="auto"/>
            </w:tcBorders>
            <w:shd w:val="clear" w:color="auto" w:fill="BFBFBF"/>
            <w:noWrap/>
            <w:vAlign w:val="center"/>
          </w:tcPr>
          <w:p w14:paraId="5787BE89" w14:textId="77777777" w:rsidR="00B81032" w:rsidRPr="00655038" w:rsidRDefault="00B81032">
            <w:pPr>
              <w:spacing w:after="0" w:line="240" w:lineRule="auto"/>
              <w:jc w:val="center"/>
              <w:rPr>
                <w:rFonts w:ascii="Times New Roman" w:eastAsia="Times New Roman" w:hAnsi="Times New Roman" w:cs="Times New Roman"/>
                <w:color w:val="000000"/>
                <w:lang w:eastAsia="sk-SK"/>
              </w:rPr>
            </w:pPr>
          </w:p>
        </w:tc>
        <w:tc>
          <w:tcPr>
            <w:tcW w:w="1056" w:type="pct"/>
            <w:tcBorders>
              <w:top w:val="single" w:sz="6" w:space="0" w:color="auto"/>
              <w:left w:val="single" w:sz="6" w:space="0" w:color="auto"/>
              <w:bottom w:val="single" w:sz="12" w:space="0" w:color="auto"/>
              <w:right w:val="single" w:sz="6" w:space="0" w:color="auto"/>
            </w:tcBorders>
            <w:shd w:val="clear" w:color="auto" w:fill="BFBFBF"/>
            <w:noWrap/>
            <w:vAlign w:val="center"/>
          </w:tcPr>
          <w:p w14:paraId="0DA569EF" w14:textId="676B7D6B" w:rsidR="00B81032" w:rsidRPr="00655038" w:rsidRDefault="00B81032">
            <w:pPr>
              <w:spacing w:after="0" w:line="240" w:lineRule="auto"/>
              <w:jc w:val="center"/>
              <w:rPr>
                <w:rFonts w:ascii="Times New Roman" w:eastAsia="Times New Roman" w:hAnsi="Times New Roman" w:cs="Times New Roman"/>
                <w:color w:val="000000"/>
                <w:lang w:eastAsia="sk-SK"/>
              </w:rPr>
            </w:pPr>
            <w:r w:rsidRPr="00655038">
              <w:rPr>
                <w:rFonts w:ascii="Times New Roman" w:eastAsia="Times New Roman" w:hAnsi="Times New Roman" w:cs="Times New Roman"/>
                <w:color w:val="000000"/>
                <w:lang w:eastAsia="sk-SK"/>
              </w:rPr>
              <w:t>2014</w:t>
            </w:r>
            <w:r w:rsidR="00706F26" w:rsidRPr="00655038">
              <w:rPr>
                <w:rFonts w:ascii="Times New Roman" w:eastAsia="Times New Roman" w:hAnsi="Times New Roman" w:cs="Times New Roman"/>
                <w:color w:val="000000"/>
                <w:lang w:eastAsia="sk-SK"/>
              </w:rPr>
              <w:t xml:space="preserve"> (akt.)</w:t>
            </w:r>
          </w:p>
        </w:tc>
        <w:tc>
          <w:tcPr>
            <w:tcW w:w="929" w:type="pct"/>
            <w:tcBorders>
              <w:top w:val="single" w:sz="6" w:space="0" w:color="auto"/>
              <w:left w:val="single" w:sz="6" w:space="0" w:color="auto"/>
              <w:bottom w:val="single" w:sz="12" w:space="0" w:color="auto"/>
              <w:right w:val="single" w:sz="6" w:space="0" w:color="auto"/>
            </w:tcBorders>
            <w:shd w:val="clear" w:color="auto" w:fill="BFBFBF"/>
            <w:noWrap/>
            <w:vAlign w:val="center"/>
          </w:tcPr>
          <w:p w14:paraId="1DDDB956" w14:textId="6C9B5C65" w:rsidR="00B81032" w:rsidRPr="00655038" w:rsidRDefault="00B81032">
            <w:pPr>
              <w:spacing w:after="0" w:line="240" w:lineRule="auto"/>
              <w:jc w:val="center"/>
              <w:rPr>
                <w:rFonts w:ascii="Times New Roman" w:eastAsia="Times New Roman" w:hAnsi="Times New Roman" w:cs="Times New Roman"/>
                <w:color w:val="000000"/>
                <w:lang w:eastAsia="sk-SK"/>
              </w:rPr>
            </w:pPr>
            <w:r w:rsidRPr="00655038">
              <w:rPr>
                <w:rFonts w:ascii="Times New Roman" w:eastAsia="Times New Roman" w:hAnsi="Times New Roman" w:cs="Times New Roman"/>
                <w:color w:val="000000"/>
                <w:lang w:eastAsia="sk-SK"/>
              </w:rPr>
              <w:t>2015</w:t>
            </w:r>
            <w:r w:rsidR="00334CCC" w:rsidRPr="00655038">
              <w:rPr>
                <w:rFonts w:ascii="Times New Roman" w:eastAsia="Times New Roman" w:hAnsi="Times New Roman" w:cs="Times New Roman"/>
                <w:color w:val="000000"/>
                <w:lang w:eastAsia="sk-SK"/>
              </w:rPr>
              <w:t xml:space="preserve"> (akt.)</w:t>
            </w:r>
          </w:p>
        </w:tc>
        <w:tc>
          <w:tcPr>
            <w:tcW w:w="1022" w:type="pct"/>
            <w:tcBorders>
              <w:top w:val="single" w:sz="6" w:space="0" w:color="auto"/>
              <w:left w:val="single" w:sz="6" w:space="0" w:color="auto"/>
              <w:bottom w:val="single" w:sz="12" w:space="0" w:color="auto"/>
              <w:right w:val="single" w:sz="6" w:space="0" w:color="auto"/>
            </w:tcBorders>
            <w:shd w:val="clear" w:color="auto" w:fill="BFBFBF"/>
            <w:noWrap/>
            <w:vAlign w:val="center"/>
          </w:tcPr>
          <w:p w14:paraId="5E1BE4F8" w14:textId="77777777" w:rsidR="00B81032" w:rsidRPr="00655038" w:rsidRDefault="00B81032">
            <w:pPr>
              <w:spacing w:after="0" w:line="240" w:lineRule="auto"/>
              <w:jc w:val="center"/>
              <w:rPr>
                <w:rFonts w:ascii="Times New Roman" w:eastAsia="Times New Roman" w:hAnsi="Times New Roman" w:cs="Times New Roman"/>
                <w:color w:val="000000"/>
                <w:lang w:eastAsia="sk-SK"/>
              </w:rPr>
            </w:pPr>
            <w:r w:rsidRPr="00655038">
              <w:rPr>
                <w:rFonts w:ascii="Times New Roman" w:eastAsia="Times New Roman" w:hAnsi="Times New Roman" w:cs="Times New Roman"/>
                <w:color w:val="000000"/>
                <w:lang w:eastAsia="sk-SK"/>
              </w:rPr>
              <w:t>2016</w:t>
            </w:r>
          </w:p>
        </w:tc>
        <w:tc>
          <w:tcPr>
            <w:tcW w:w="884" w:type="pct"/>
            <w:tcBorders>
              <w:top w:val="single" w:sz="6" w:space="0" w:color="auto"/>
              <w:left w:val="single" w:sz="6" w:space="0" w:color="auto"/>
              <w:bottom w:val="single" w:sz="12" w:space="0" w:color="auto"/>
              <w:right w:val="single" w:sz="12" w:space="0" w:color="auto"/>
            </w:tcBorders>
            <w:shd w:val="clear" w:color="auto" w:fill="BFBFBF"/>
            <w:vAlign w:val="center"/>
          </w:tcPr>
          <w:p w14:paraId="6F2BD7EE" w14:textId="77777777" w:rsidR="00B81032" w:rsidRPr="00655038" w:rsidRDefault="00B81032">
            <w:pPr>
              <w:spacing w:after="0" w:line="240" w:lineRule="auto"/>
              <w:jc w:val="center"/>
              <w:rPr>
                <w:rFonts w:ascii="Times New Roman" w:eastAsia="Times New Roman" w:hAnsi="Times New Roman" w:cs="Times New Roman"/>
                <w:color w:val="000000"/>
                <w:lang w:eastAsia="sk-SK"/>
              </w:rPr>
            </w:pPr>
            <w:r w:rsidRPr="00655038">
              <w:rPr>
                <w:rFonts w:ascii="Times New Roman" w:eastAsia="Times New Roman" w:hAnsi="Times New Roman" w:cs="Times New Roman"/>
                <w:color w:val="000000"/>
                <w:lang w:eastAsia="sk-SK"/>
              </w:rPr>
              <w:t>Σ (2014-2016)</w:t>
            </w:r>
          </w:p>
        </w:tc>
      </w:tr>
      <w:tr w:rsidR="00CA22D1" w:rsidRPr="00655038" w14:paraId="15FF99C5" w14:textId="77777777" w:rsidTr="005F7B58">
        <w:trPr>
          <w:trHeight w:val="300"/>
        </w:trPr>
        <w:tc>
          <w:tcPr>
            <w:tcW w:w="1109" w:type="pct"/>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43FD8AAD" w14:textId="77777777" w:rsidR="00CA22D1" w:rsidRPr="00655038" w:rsidRDefault="00CA22D1" w:rsidP="00CA22D1">
            <w:pPr>
              <w:spacing w:after="0" w:line="240" w:lineRule="auto"/>
              <w:jc w:val="center"/>
              <w:rPr>
                <w:rFonts w:ascii="Times New Roman" w:eastAsia="Times New Roman" w:hAnsi="Times New Roman" w:cs="Times New Roman"/>
                <w:color w:val="000000"/>
                <w:lang w:eastAsia="sk-SK"/>
              </w:rPr>
            </w:pPr>
            <w:r w:rsidRPr="00655038">
              <w:rPr>
                <w:rFonts w:ascii="Times New Roman" w:eastAsia="Times New Roman" w:hAnsi="Times New Roman" w:cs="Times New Roman"/>
                <w:color w:val="000000"/>
                <w:lang w:eastAsia="sk-SK"/>
              </w:rPr>
              <w:t>2014</w:t>
            </w:r>
          </w:p>
        </w:tc>
        <w:tc>
          <w:tcPr>
            <w:tcW w:w="1056" w:type="pct"/>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70BDEB02" w14:textId="1529A8D3" w:rsidR="00CA22D1" w:rsidRPr="008B4CAD" w:rsidRDefault="00CA22D1" w:rsidP="00CA22D1">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837,67</w:t>
            </w:r>
          </w:p>
        </w:tc>
        <w:tc>
          <w:tcPr>
            <w:tcW w:w="929" w:type="pct"/>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40EDA33D" w14:textId="3AF5AFD3" w:rsidR="00CA22D1" w:rsidRPr="008A2E69" w:rsidRDefault="00CA22D1" w:rsidP="008A2E69">
            <w:pPr>
              <w:spacing w:after="0" w:line="240" w:lineRule="auto"/>
              <w:jc w:val="right"/>
              <w:rPr>
                <w:rFonts w:ascii="Times New Roman" w:eastAsia="Times New Roman" w:hAnsi="Times New Roman" w:cs="Times New Roman"/>
                <w:color w:val="000000"/>
                <w:lang w:eastAsia="sk-SK"/>
              </w:rPr>
            </w:pPr>
          </w:p>
        </w:tc>
        <w:tc>
          <w:tcPr>
            <w:tcW w:w="1022" w:type="pct"/>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779C2A35" w14:textId="7E67026C" w:rsidR="00CA22D1" w:rsidRPr="00CA22D1" w:rsidRDefault="00CA22D1">
            <w:pPr>
              <w:spacing w:after="0" w:line="240" w:lineRule="auto"/>
              <w:jc w:val="right"/>
              <w:rPr>
                <w:rFonts w:ascii="Times New Roman" w:eastAsia="Times New Roman" w:hAnsi="Times New Roman" w:cs="Times New Roman"/>
                <w:color w:val="000000"/>
                <w:lang w:eastAsia="sk-SK"/>
              </w:rPr>
            </w:pPr>
          </w:p>
        </w:tc>
        <w:tc>
          <w:tcPr>
            <w:tcW w:w="884" w:type="pct"/>
            <w:tcBorders>
              <w:top w:val="single" w:sz="12" w:space="0" w:color="auto"/>
              <w:left w:val="single" w:sz="4" w:space="0" w:color="auto"/>
              <w:bottom w:val="single" w:sz="4" w:space="0" w:color="auto"/>
              <w:right w:val="single" w:sz="12" w:space="0" w:color="auto"/>
            </w:tcBorders>
            <w:shd w:val="clear" w:color="auto" w:fill="auto"/>
            <w:vAlign w:val="center"/>
          </w:tcPr>
          <w:p w14:paraId="3D0C254C" w14:textId="414BDBAA" w:rsidR="00CA22D1" w:rsidRPr="00AF28E9" w:rsidRDefault="00CA22D1">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837,67</w:t>
            </w:r>
          </w:p>
        </w:tc>
      </w:tr>
      <w:tr w:rsidR="00CA22D1" w:rsidRPr="00655038" w14:paraId="22E856D9" w14:textId="77777777" w:rsidTr="005F7B58">
        <w:trPr>
          <w:trHeight w:val="300"/>
        </w:trPr>
        <w:tc>
          <w:tcPr>
            <w:tcW w:w="1109" w:type="pct"/>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09BAE726" w14:textId="77777777" w:rsidR="00CA22D1" w:rsidRPr="00655038" w:rsidRDefault="00CA22D1" w:rsidP="00CA22D1">
            <w:pPr>
              <w:spacing w:after="0" w:line="240" w:lineRule="auto"/>
              <w:jc w:val="center"/>
              <w:rPr>
                <w:rFonts w:ascii="Times New Roman" w:eastAsia="Times New Roman" w:hAnsi="Times New Roman" w:cs="Times New Roman"/>
                <w:color w:val="000000"/>
                <w:lang w:eastAsia="sk-SK"/>
              </w:rPr>
            </w:pPr>
            <w:r w:rsidRPr="00655038">
              <w:rPr>
                <w:rFonts w:ascii="Times New Roman" w:eastAsia="Times New Roman" w:hAnsi="Times New Roman" w:cs="Times New Roman"/>
                <w:color w:val="000000"/>
                <w:lang w:eastAsia="sk-SK"/>
              </w:rPr>
              <w:t>2015</w:t>
            </w:r>
          </w:p>
        </w:tc>
        <w:tc>
          <w:tcPr>
            <w:tcW w:w="10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24258" w14:textId="45B56E6B" w:rsidR="00CA22D1" w:rsidRPr="008B4CAD" w:rsidRDefault="00CA22D1" w:rsidP="00CA22D1">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837,67</w:t>
            </w:r>
          </w:p>
        </w:tc>
        <w:tc>
          <w:tcPr>
            <w:tcW w:w="9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F803E3" w14:textId="1636D364" w:rsidR="00CA22D1" w:rsidRPr="00AF28E9" w:rsidRDefault="00CA22D1" w:rsidP="008A2E69">
            <w:pPr>
              <w:spacing w:after="0" w:line="240" w:lineRule="auto"/>
              <w:jc w:val="right"/>
              <w:rPr>
                <w:rFonts w:ascii="Times New Roman" w:eastAsia="Times New Roman" w:hAnsi="Times New Roman" w:cs="Times New Roman"/>
                <w:color w:val="000000"/>
                <w:highlight w:val="yellow"/>
                <w:lang w:eastAsia="sk-SK"/>
              </w:rPr>
            </w:pPr>
            <w:r w:rsidRPr="005F7B58">
              <w:rPr>
                <w:rFonts w:ascii="Times New Roman" w:hAnsi="Times New Roman" w:cs="Times New Roman"/>
              </w:rPr>
              <w:t>1 308,78</w:t>
            </w:r>
          </w:p>
        </w:tc>
        <w:tc>
          <w:tcPr>
            <w:tcW w:w="10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9CDBE" w14:textId="131500CF" w:rsidR="00CA22D1" w:rsidRPr="00CA22D1" w:rsidRDefault="00CA22D1">
            <w:pPr>
              <w:spacing w:after="0" w:line="240" w:lineRule="auto"/>
              <w:jc w:val="right"/>
              <w:rPr>
                <w:rFonts w:ascii="Times New Roman" w:eastAsia="Times New Roman" w:hAnsi="Times New Roman" w:cs="Times New Roman"/>
                <w:color w:val="000000"/>
                <w:lang w:eastAsia="sk-SK"/>
              </w:rPr>
            </w:pPr>
          </w:p>
        </w:tc>
        <w:tc>
          <w:tcPr>
            <w:tcW w:w="884" w:type="pct"/>
            <w:tcBorders>
              <w:top w:val="single" w:sz="4" w:space="0" w:color="auto"/>
              <w:left w:val="single" w:sz="4" w:space="0" w:color="auto"/>
              <w:bottom w:val="single" w:sz="4" w:space="0" w:color="auto"/>
              <w:right w:val="single" w:sz="12" w:space="0" w:color="auto"/>
            </w:tcBorders>
            <w:shd w:val="clear" w:color="auto" w:fill="auto"/>
            <w:vAlign w:val="center"/>
          </w:tcPr>
          <w:p w14:paraId="3616C74B" w14:textId="50585382" w:rsidR="00CA22D1" w:rsidRPr="00AF28E9" w:rsidRDefault="00CA22D1">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2 146,45</w:t>
            </w:r>
          </w:p>
        </w:tc>
      </w:tr>
      <w:tr w:rsidR="00CA22D1" w:rsidRPr="00655038" w14:paraId="437BFC3B" w14:textId="77777777" w:rsidTr="005F7B58">
        <w:trPr>
          <w:trHeight w:val="300"/>
        </w:trPr>
        <w:tc>
          <w:tcPr>
            <w:tcW w:w="1109" w:type="pct"/>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46588B10" w14:textId="77777777" w:rsidR="00CA22D1" w:rsidRPr="00655038" w:rsidRDefault="00CA22D1" w:rsidP="00CA22D1">
            <w:pPr>
              <w:spacing w:after="0" w:line="240" w:lineRule="auto"/>
              <w:jc w:val="center"/>
              <w:rPr>
                <w:rFonts w:ascii="Times New Roman" w:eastAsia="Times New Roman" w:hAnsi="Times New Roman" w:cs="Times New Roman"/>
                <w:color w:val="000000"/>
                <w:lang w:eastAsia="sk-SK"/>
              </w:rPr>
            </w:pPr>
            <w:r w:rsidRPr="00655038">
              <w:rPr>
                <w:rFonts w:ascii="Times New Roman" w:eastAsia="Times New Roman" w:hAnsi="Times New Roman" w:cs="Times New Roman"/>
                <w:color w:val="000000"/>
                <w:lang w:eastAsia="sk-SK"/>
              </w:rPr>
              <w:t>2016</w:t>
            </w:r>
          </w:p>
        </w:tc>
        <w:tc>
          <w:tcPr>
            <w:tcW w:w="10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BC28C" w14:textId="3FDB1B16" w:rsidR="00CA22D1" w:rsidRPr="008B4CAD" w:rsidRDefault="00CA22D1" w:rsidP="00CA22D1">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837,67</w:t>
            </w:r>
          </w:p>
        </w:tc>
        <w:tc>
          <w:tcPr>
            <w:tcW w:w="9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C3579E" w14:textId="78DE976C" w:rsidR="00CA22D1" w:rsidRPr="00AF28E9" w:rsidRDefault="00CA22D1" w:rsidP="008A2E69">
            <w:pPr>
              <w:spacing w:after="0" w:line="240" w:lineRule="auto"/>
              <w:jc w:val="right"/>
              <w:rPr>
                <w:rFonts w:ascii="Times New Roman" w:eastAsia="Times New Roman" w:hAnsi="Times New Roman" w:cs="Times New Roman"/>
                <w:color w:val="000000"/>
                <w:highlight w:val="yellow"/>
                <w:lang w:eastAsia="sk-SK"/>
              </w:rPr>
            </w:pPr>
            <w:r w:rsidRPr="005F7B58">
              <w:rPr>
                <w:rFonts w:ascii="Times New Roman" w:hAnsi="Times New Roman" w:cs="Times New Roman"/>
              </w:rPr>
              <w:t>1 308,78</w:t>
            </w:r>
          </w:p>
        </w:tc>
        <w:tc>
          <w:tcPr>
            <w:tcW w:w="10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50B50" w14:textId="0E6414B5" w:rsidR="00CA22D1" w:rsidRPr="00AF28E9" w:rsidRDefault="00CA22D1" w:rsidP="00AF28E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653,21</w:t>
            </w:r>
          </w:p>
        </w:tc>
        <w:tc>
          <w:tcPr>
            <w:tcW w:w="884" w:type="pct"/>
            <w:tcBorders>
              <w:top w:val="single" w:sz="4" w:space="0" w:color="auto"/>
              <w:left w:val="single" w:sz="4" w:space="0" w:color="auto"/>
              <w:bottom w:val="single" w:sz="4" w:space="0" w:color="auto"/>
              <w:right w:val="single" w:sz="12" w:space="0" w:color="auto"/>
            </w:tcBorders>
            <w:shd w:val="clear" w:color="auto" w:fill="auto"/>
            <w:vAlign w:val="center"/>
          </w:tcPr>
          <w:p w14:paraId="2B8FB769" w14:textId="307B0AA5" w:rsidR="00CA22D1" w:rsidRPr="00AF28E9" w:rsidRDefault="00CA22D1" w:rsidP="00AF28E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2 799,66</w:t>
            </w:r>
          </w:p>
        </w:tc>
      </w:tr>
      <w:tr w:rsidR="00CA22D1" w:rsidRPr="00655038" w14:paraId="06358613" w14:textId="77777777" w:rsidTr="005F7B58">
        <w:trPr>
          <w:trHeight w:val="300"/>
        </w:trPr>
        <w:tc>
          <w:tcPr>
            <w:tcW w:w="1109" w:type="pct"/>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0688290C" w14:textId="77777777" w:rsidR="00CA22D1" w:rsidRPr="00655038" w:rsidRDefault="00CA22D1" w:rsidP="00CA22D1">
            <w:pPr>
              <w:spacing w:after="0" w:line="240" w:lineRule="auto"/>
              <w:jc w:val="center"/>
              <w:rPr>
                <w:rFonts w:ascii="Times New Roman" w:eastAsia="Times New Roman" w:hAnsi="Times New Roman" w:cs="Times New Roman"/>
                <w:color w:val="000000"/>
                <w:lang w:eastAsia="sk-SK"/>
              </w:rPr>
            </w:pPr>
            <w:r w:rsidRPr="00655038">
              <w:rPr>
                <w:rFonts w:ascii="Times New Roman" w:eastAsia="Times New Roman" w:hAnsi="Times New Roman" w:cs="Times New Roman"/>
                <w:color w:val="000000"/>
                <w:lang w:eastAsia="sk-SK"/>
              </w:rPr>
              <w:t>2017</w:t>
            </w:r>
          </w:p>
        </w:tc>
        <w:tc>
          <w:tcPr>
            <w:tcW w:w="10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B5B05" w14:textId="0D8E605F" w:rsidR="00CA22D1" w:rsidRPr="008B4CAD" w:rsidRDefault="00CA22D1" w:rsidP="00CA22D1">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837,67</w:t>
            </w:r>
          </w:p>
        </w:tc>
        <w:tc>
          <w:tcPr>
            <w:tcW w:w="9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FFA85B" w14:textId="7B5419D4" w:rsidR="00CA22D1" w:rsidRPr="00AF28E9" w:rsidRDefault="00CA22D1" w:rsidP="008A2E69">
            <w:pPr>
              <w:spacing w:after="0" w:line="240" w:lineRule="auto"/>
              <w:jc w:val="right"/>
              <w:rPr>
                <w:rFonts w:ascii="Times New Roman" w:eastAsia="Times New Roman" w:hAnsi="Times New Roman" w:cs="Times New Roman"/>
                <w:color w:val="000000"/>
                <w:highlight w:val="yellow"/>
                <w:lang w:eastAsia="sk-SK"/>
              </w:rPr>
            </w:pPr>
            <w:r w:rsidRPr="005F7B58">
              <w:rPr>
                <w:rFonts w:ascii="Times New Roman" w:hAnsi="Times New Roman" w:cs="Times New Roman"/>
              </w:rPr>
              <w:t>1 308,78</w:t>
            </w:r>
          </w:p>
        </w:tc>
        <w:tc>
          <w:tcPr>
            <w:tcW w:w="10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A8739" w14:textId="646FDB91" w:rsidR="00CA22D1" w:rsidRPr="00AF28E9" w:rsidRDefault="00CA22D1" w:rsidP="00AF28E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653,21</w:t>
            </w:r>
          </w:p>
        </w:tc>
        <w:tc>
          <w:tcPr>
            <w:tcW w:w="884" w:type="pct"/>
            <w:tcBorders>
              <w:top w:val="single" w:sz="4" w:space="0" w:color="auto"/>
              <w:left w:val="single" w:sz="4" w:space="0" w:color="auto"/>
              <w:bottom w:val="single" w:sz="4" w:space="0" w:color="auto"/>
              <w:right w:val="single" w:sz="12" w:space="0" w:color="auto"/>
            </w:tcBorders>
            <w:shd w:val="clear" w:color="auto" w:fill="auto"/>
            <w:vAlign w:val="center"/>
          </w:tcPr>
          <w:p w14:paraId="24525938" w14:textId="324725C4" w:rsidR="00CA22D1" w:rsidRPr="00AF28E9" w:rsidRDefault="00CA22D1" w:rsidP="00AF28E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2 799,66</w:t>
            </w:r>
          </w:p>
        </w:tc>
      </w:tr>
      <w:tr w:rsidR="00CA22D1" w:rsidRPr="00655038" w14:paraId="16E03CCF" w14:textId="77777777" w:rsidTr="005F7B58">
        <w:trPr>
          <w:trHeight w:val="300"/>
        </w:trPr>
        <w:tc>
          <w:tcPr>
            <w:tcW w:w="1109" w:type="pct"/>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4E653A61" w14:textId="77777777" w:rsidR="00CA22D1" w:rsidRPr="00655038" w:rsidRDefault="00CA22D1" w:rsidP="00CA22D1">
            <w:pPr>
              <w:spacing w:after="0" w:line="240" w:lineRule="auto"/>
              <w:jc w:val="center"/>
              <w:rPr>
                <w:rFonts w:ascii="Times New Roman" w:eastAsia="Times New Roman" w:hAnsi="Times New Roman" w:cs="Times New Roman"/>
                <w:color w:val="000000"/>
                <w:lang w:eastAsia="sk-SK"/>
              </w:rPr>
            </w:pPr>
            <w:r w:rsidRPr="00655038">
              <w:rPr>
                <w:rFonts w:ascii="Times New Roman" w:eastAsia="Times New Roman" w:hAnsi="Times New Roman" w:cs="Times New Roman"/>
                <w:color w:val="000000"/>
                <w:lang w:eastAsia="sk-SK"/>
              </w:rPr>
              <w:t>2018</w:t>
            </w:r>
          </w:p>
        </w:tc>
        <w:tc>
          <w:tcPr>
            <w:tcW w:w="10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D6CEA" w14:textId="40E97056" w:rsidR="00CA22D1" w:rsidRPr="008B4CAD" w:rsidRDefault="00CA22D1" w:rsidP="00CA22D1">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837,67</w:t>
            </w:r>
          </w:p>
        </w:tc>
        <w:tc>
          <w:tcPr>
            <w:tcW w:w="9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C80009" w14:textId="6E808CBE" w:rsidR="00CA22D1" w:rsidRPr="00AF28E9" w:rsidRDefault="00CA22D1" w:rsidP="008A2E69">
            <w:pPr>
              <w:spacing w:after="0" w:line="240" w:lineRule="auto"/>
              <w:jc w:val="right"/>
              <w:rPr>
                <w:rFonts w:ascii="Times New Roman" w:eastAsia="Times New Roman" w:hAnsi="Times New Roman" w:cs="Times New Roman"/>
                <w:color w:val="000000"/>
                <w:highlight w:val="yellow"/>
                <w:lang w:eastAsia="sk-SK"/>
              </w:rPr>
            </w:pPr>
            <w:r w:rsidRPr="005F7B58">
              <w:rPr>
                <w:rFonts w:ascii="Times New Roman" w:hAnsi="Times New Roman" w:cs="Times New Roman"/>
              </w:rPr>
              <w:t>1 308,78</w:t>
            </w:r>
          </w:p>
        </w:tc>
        <w:tc>
          <w:tcPr>
            <w:tcW w:w="10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6277F" w14:textId="54A44C3C" w:rsidR="00CA22D1" w:rsidRPr="00AF28E9" w:rsidRDefault="00CA22D1" w:rsidP="00AF28E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653,21</w:t>
            </w:r>
          </w:p>
        </w:tc>
        <w:tc>
          <w:tcPr>
            <w:tcW w:w="884" w:type="pct"/>
            <w:tcBorders>
              <w:top w:val="single" w:sz="4" w:space="0" w:color="auto"/>
              <w:left w:val="single" w:sz="4" w:space="0" w:color="auto"/>
              <w:bottom w:val="single" w:sz="4" w:space="0" w:color="auto"/>
              <w:right w:val="single" w:sz="12" w:space="0" w:color="auto"/>
            </w:tcBorders>
            <w:shd w:val="clear" w:color="auto" w:fill="auto"/>
            <w:vAlign w:val="center"/>
          </w:tcPr>
          <w:p w14:paraId="7015FEE3" w14:textId="3E0D7356" w:rsidR="00CA22D1" w:rsidRPr="00AF28E9" w:rsidRDefault="00CA22D1" w:rsidP="00AF28E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2 799,66</w:t>
            </w:r>
          </w:p>
        </w:tc>
      </w:tr>
      <w:tr w:rsidR="00CA22D1" w:rsidRPr="00655038" w14:paraId="5209EC42" w14:textId="77777777" w:rsidTr="005F7B58">
        <w:trPr>
          <w:trHeight w:val="300"/>
        </w:trPr>
        <w:tc>
          <w:tcPr>
            <w:tcW w:w="1109" w:type="pct"/>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33898BDF" w14:textId="77777777" w:rsidR="00CA22D1" w:rsidRPr="00655038" w:rsidRDefault="00CA22D1" w:rsidP="00CA22D1">
            <w:pPr>
              <w:spacing w:after="0" w:line="240" w:lineRule="auto"/>
              <w:jc w:val="center"/>
              <w:rPr>
                <w:rFonts w:ascii="Times New Roman" w:eastAsia="Times New Roman" w:hAnsi="Times New Roman" w:cs="Times New Roman"/>
                <w:color w:val="000000"/>
                <w:lang w:eastAsia="sk-SK"/>
              </w:rPr>
            </w:pPr>
            <w:r w:rsidRPr="00655038">
              <w:rPr>
                <w:rFonts w:ascii="Times New Roman" w:eastAsia="Times New Roman" w:hAnsi="Times New Roman" w:cs="Times New Roman"/>
                <w:color w:val="000000"/>
                <w:lang w:eastAsia="sk-SK"/>
              </w:rPr>
              <w:t>2019</w:t>
            </w:r>
          </w:p>
        </w:tc>
        <w:tc>
          <w:tcPr>
            <w:tcW w:w="10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7A61B" w14:textId="10F13B3E" w:rsidR="00CA22D1" w:rsidRPr="008B4CAD" w:rsidRDefault="00CA22D1" w:rsidP="00CA22D1">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652,94</w:t>
            </w:r>
          </w:p>
        </w:tc>
        <w:tc>
          <w:tcPr>
            <w:tcW w:w="9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3C2737" w14:textId="250E8668" w:rsidR="00CA22D1" w:rsidRPr="00AF28E9" w:rsidRDefault="00CA22D1" w:rsidP="008A2E69">
            <w:pPr>
              <w:spacing w:after="0" w:line="240" w:lineRule="auto"/>
              <w:jc w:val="right"/>
              <w:rPr>
                <w:rFonts w:ascii="Times New Roman" w:eastAsia="Times New Roman" w:hAnsi="Times New Roman" w:cs="Times New Roman"/>
                <w:color w:val="000000"/>
                <w:highlight w:val="yellow"/>
                <w:lang w:eastAsia="sk-SK"/>
              </w:rPr>
            </w:pPr>
            <w:r w:rsidRPr="005F7B58">
              <w:rPr>
                <w:rFonts w:ascii="Times New Roman" w:hAnsi="Times New Roman" w:cs="Times New Roman"/>
              </w:rPr>
              <w:t>1 308,78</w:t>
            </w:r>
          </w:p>
        </w:tc>
        <w:tc>
          <w:tcPr>
            <w:tcW w:w="10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90E71" w14:textId="3947074B" w:rsidR="00CA22D1" w:rsidRPr="00AF28E9" w:rsidRDefault="00CA22D1" w:rsidP="00AF28E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653,21</w:t>
            </w:r>
          </w:p>
        </w:tc>
        <w:tc>
          <w:tcPr>
            <w:tcW w:w="884" w:type="pct"/>
            <w:tcBorders>
              <w:top w:val="single" w:sz="4" w:space="0" w:color="auto"/>
              <w:left w:val="single" w:sz="4" w:space="0" w:color="auto"/>
              <w:bottom w:val="single" w:sz="4" w:space="0" w:color="auto"/>
              <w:right w:val="single" w:sz="12" w:space="0" w:color="auto"/>
            </w:tcBorders>
            <w:shd w:val="clear" w:color="auto" w:fill="auto"/>
            <w:vAlign w:val="center"/>
          </w:tcPr>
          <w:p w14:paraId="286BFE5D" w14:textId="74EF94F8" w:rsidR="00CA22D1" w:rsidRPr="00AF28E9" w:rsidRDefault="00CA22D1" w:rsidP="00AF28E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2 614,93</w:t>
            </w:r>
          </w:p>
        </w:tc>
      </w:tr>
      <w:tr w:rsidR="00CA22D1" w:rsidRPr="00655038" w14:paraId="0B5E45F8" w14:textId="77777777" w:rsidTr="005F7B58">
        <w:trPr>
          <w:trHeight w:val="315"/>
        </w:trPr>
        <w:tc>
          <w:tcPr>
            <w:tcW w:w="1109" w:type="pct"/>
            <w:tcBorders>
              <w:top w:val="single" w:sz="4" w:space="0" w:color="auto"/>
              <w:left w:val="single" w:sz="12" w:space="0" w:color="auto"/>
              <w:bottom w:val="single" w:sz="12" w:space="0" w:color="auto"/>
              <w:right w:val="single" w:sz="4" w:space="0" w:color="auto"/>
            </w:tcBorders>
            <w:shd w:val="clear" w:color="auto" w:fill="auto"/>
            <w:noWrap/>
            <w:vAlign w:val="center"/>
            <w:hideMark/>
          </w:tcPr>
          <w:p w14:paraId="61B97BD6" w14:textId="77777777" w:rsidR="00CA22D1" w:rsidRPr="00655038" w:rsidRDefault="00CA22D1" w:rsidP="00CA22D1">
            <w:pPr>
              <w:spacing w:after="0" w:line="240" w:lineRule="auto"/>
              <w:jc w:val="center"/>
              <w:rPr>
                <w:rFonts w:ascii="Times New Roman" w:eastAsia="Times New Roman" w:hAnsi="Times New Roman" w:cs="Times New Roman"/>
                <w:color w:val="000000"/>
                <w:lang w:eastAsia="sk-SK"/>
              </w:rPr>
            </w:pPr>
            <w:r w:rsidRPr="00655038">
              <w:rPr>
                <w:rFonts w:ascii="Times New Roman" w:eastAsia="Times New Roman" w:hAnsi="Times New Roman" w:cs="Times New Roman"/>
                <w:color w:val="000000"/>
                <w:lang w:eastAsia="sk-SK"/>
              </w:rPr>
              <w:t>2020</w:t>
            </w:r>
          </w:p>
        </w:tc>
        <w:tc>
          <w:tcPr>
            <w:tcW w:w="1056" w:type="pct"/>
            <w:tcBorders>
              <w:top w:val="single" w:sz="4" w:space="0" w:color="auto"/>
              <w:left w:val="single" w:sz="4" w:space="0" w:color="auto"/>
              <w:bottom w:val="single" w:sz="12" w:space="0" w:color="auto"/>
              <w:right w:val="single" w:sz="4" w:space="0" w:color="auto"/>
            </w:tcBorders>
            <w:shd w:val="clear" w:color="auto" w:fill="auto"/>
            <w:noWrap/>
            <w:vAlign w:val="center"/>
            <w:hideMark/>
          </w:tcPr>
          <w:p w14:paraId="23D0B51C" w14:textId="79CC2C47" w:rsidR="00CA22D1" w:rsidRPr="008B4CAD" w:rsidRDefault="00CA22D1" w:rsidP="00CA22D1">
            <w:pPr>
              <w:spacing w:after="0" w:line="240" w:lineRule="auto"/>
              <w:jc w:val="right"/>
              <w:rPr>
                <w:rFonts w:ascii="Times New Roman" w:eastAsia="Times New Roman" w:hAnsi="Times New Roman" w:cs="Times New Roman"/>
                <w:color w:val="000000"/>
                <w:lang w:eastAsia="sk-SK"/>
              </w:rPr>
            </w:pPr>
            <w:r w:rsidRPr="00AF5415">
              <w:rPr>
                <w:rFonts w:ascii="Times New Roman" w:hAnsi="Times New Roman" w:cs="Times New Roman"/>
              </w:rPr>
              <w:t>652,94</w:t>
            </w:r>
          </w:p>
        </w:tc>
        <w:tc>
          <w:tcPr>
            <w:tcW w:w="929" w:type="pct"/>
            <w:tcBorders>
              <w:top w:val="single" w:sz="4" w:space="0" w:color="auto"/>
              <w:left w:val="single" w:sz="4" w:space="0" w:color="auto"/>
              <w:bottom w:val="single" w:sz="12" w:space="0" w:color="auto"/>
              <w:right w:val="single" w:sz="4" w:space="0" w:color="auto"/>
            </w:tcBorders>
            <w:shd w:val="clear" w:color="auto" w:fill="auto"/>
            <w:noWrap/>
            <w:vAlign w:val="center"/>
          </w:tcPr>
          <w:p w14:paraId="18C0AA06" w14:textId="2632EE4C" w:rsidR="00CA22D1" w:rsidRPr="00AF28E9" w:rsidRDefault="00CA22D1" w:rsidP="008A2E69">
            <w:pPr>
              <w:spacing w:after="0" w:line="240" w:lineRule="auto"/>
              <w:jc w:val="right"/>
              <w:rPr>
                <w:rFonts w:ascii="Times New Roman" w:eastAsia="Times New Roman" w:hAnsi="Times New Roman" w:cs="Times New Roman"/>
                <w:color w:val="000000"/>
                <w:highlight w:val="yellow"/>
                <w:lang w:eastAsia="sk-SK"/>
              </w:rPr>
            </w:pPr>
            <w:r w:rsidRPr="005F7B58">
              <w:rPr>
                <w:rFonts w:ascii="Times New Roman" w:hAnsi="Times New Roman" w:cs="Times New Roman"/>
              </w:rPr>
              <w:t>1 065,94</w:t>
            </w:r>
          </w:p>
        </w:tc>
        <w:tc>
          <w:tcPr>
            <w:tcW w:w="1022" w:type="pct"/>
            <w:tcBorders>
              <w:top w:val="single" w:sz="4" w:space="0" w:color="auto"/>
              <w:left w:val="single" w:sz="4" w:space="0" w:color="auto"/>
              <w:bottom w:val="single" w:sz="12" w:space="0" w:color="auto"/>
              <w:right w:val="single" w:sz="4" w:space="0" w:color="auto"/>
            </w:tcBorders>
            <w:shd w:val="clear" w:color="auto" w:fill="auto"/>
            <w:noWrap/>
            <w:vAlign w:val="center"/>
            <w:hideMark/>
          </w:tcPr>
          <w:p w14:paraId="32475A28" w14:textId="0AECAB5C" w:rsidR="00CA22D1" w:rsidRPr="00AF28E9" w:rsidRDefault="00CA22D1" w:rsidP="00AF28E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653,21</w:t>
            </w:r>
          </w:p>
        </w:tc>
        <w:tc>
          <w:tcPr>
            <w:tcW w:w="884" w:type="pct"/>
            <w:tcBorders>
              <w:top w:val="single" w:sz="4" w:space="0" w:color="auto"/>
              <w:left w:val="single" w:sz="4" w:space="0" w:color="auto"/>
              <w:bottom w:val="single" w:sz="12" w:space="0" w:color="auto"/>
              <w:right w:val="single" w:sz="12" w:space="0" w:color="auto"/>
            </w:tcBorders>
            <w:shd w:val="clear" w:color="auto" w:fill="auto"/>
            <w:vAlign w:val="center"/>
          </w:tcPr>
          <w:p w14:paraId="765A9049" w14:textId="3476A26B" w:rsidR="00CA22D1" w:rsidRPr="00AF28E9" w:rsidRDefault="00CA22D1" w:rsidP="00AF28E9">
            <w:pPr>
              <w:spacing w:after="0" w:line="240" w:lineRule="auto"/>
              <w:jc w:val="right"/>
              <w:rPr>
                <w:rFonts w:ascii="Times New Roman" w:eastAsia="Times New Roman" w:hAnsi="Times New Roman" w:cs="Times New Roman"/>
                <w:color w:val="000000"/>
                <w:lang w:eastAsia="sk-SK"/>
              </w:rPr>
            </w:pPr>
            <w:r w:rsidRPr="005F7B58">
              <w:rPr>
                <w:rFonts w:ascii="Times New Roman" w:hAnsi="Times New Roman" w:cs="Times New Roman"/>
              </w:rPr>
              <w:t>2 372,09</w:t>
            </w:r>
          </w:p>
        </w:tc>
      </w:tr>
      <w:tr w:rsidR="00CA22D1" w:rsidRPr="00655038" w14:paraId="58CD781B" w14:textId="77777777" w:rsidTr="005F7B58">
        <w:trPr>
          <w:trHeight w:val="615"/>
        </w:trPr>
        <w:tc>
          <w:tcPr>
            <w:tcW w:w="1109" w:type="pct"/>
            <w:tcBorders>
              <w:top w:val="single" w:sz="12" w:space="0" w:color="auto"/>
              <w:left w:val="single" w:sz="12" w:space="0" w:color="auto"/>
              <w:bottom w:val="single" w:sz="12" w:space="0" w:color="auto"/>
              <w:right w:val="single" w:sz="6" w:space="0" w:color="auto"/>
            </w:tcBorders>
            <w:shd w:val="clear" w:color="auto" w:fill="auto"/>
            <w:vAlign w:val="center"/>
            <w:hideMark/>
          </w:tcPr>
          <w:p w14:paraId="3AAF01E7" w14:textId="77777777" w:rsidR="00CA22D1" w:rsidRPr="00655038" w:rsidRDefault="00CA22D1" w:rsidP="00CA22D1">
            <w:pPr>
              <w:spacing w:after="0" w:line="240" w:lineRule="auto"/>
              <w:jc w:val="center"/>
              <w:rPr>
                <w:rFonts w:ascii="Times New Roman" w:eastAsia="Times New Roman" w:hAnsi="Times New Roman" w:cs="Times New Roman"/>
                <w:color w:val="000000"/>
                <w:lang w:eastAsia="sk-SK"/>
              </w:rPr>
            </w:pPr>
            <w:r w:rsidRPr="00655038">
              <w:rPr>
                <w:rFonts w:ascii="Times New Roman" w:eastAsia="Times New Roman" w:hAnsi="Times New Roman" w:cs="Times New Roman"/>
                <w:color w:val="000000"/>
                <w:lang w:eastAsia="sk-SK"/>
              </w:rPr>
              <w:t>Kumulatívne za roky 2014-2020</w:t>
            </w:r>
          </w:p>
        </w:tc>
        <w:tc>
          <w:tcPr>
            <w:tcW w:w="1056" w:type="pct"/>
            <w:tcBorders>
              <w:top w:val="single" w:sz="12" w:space="0" w:color="auto"/>
              <w:left w:val="single" w:sz="6" w:space="0" w:color="auto"/>
              <w:bottom w:val="single" w:sz="12" w:space="0" w:color="auto"/>
              <w:right w:val="single" w:sz="6" w:space="0" w:color="auto"/>
            </w:tcBorders>
            <w:shd w:val="clear" w:color="auto" w:fill="auto"/>
            <w:noWrap/>
            <w:vAlign w:val="center"/>
            <w:hideMark/>
          </w:tcPr>
          <w:p w14:paraId="66E8C758" w14:textId="11E2DD39" w:rsidR="00CA22D1" w:rsidRPr="008B4CAD" w:rsidRDefault="00CA22D1" w:rsidP="00CA22D1">
            <w:pPr>
              <w:spacing w:after="0" w:line="240" w:lineRule="auto"/>
              <w:jc w:val="right"/>
              <w:rPr>
                <w:rFonts w:ascii="Times New Roman" w:eastAsia="Times New Roman" w:hAnsi="Times New Roman" w:cs="Times New Roman"/>
                <w:b/>
                <w:color w:val="000000"/>
                <w:lang w:eastAsia="sk-SK"/>
              </w:rPr>
            </w:pPr>
            <w:r w:rsidRPr="00AF5415">
              <w:rPr>
                <w:rFonts w:ascii="Times New Roman" w:hAnsi="Times New Roman" w:cs="Times New Roman"/>
                <w:b/>
              </w:rPr>
              <w:t>5 494,25</w:t>
            </w:r>
          </w:p>
        </w:tc>
        <w:tc>
          <w:tcPr>
            <w:tcW w:w="929" w:type="pct"/>
            <w:tcBorders>
              <w:top w:val="single" w:sz="12" w:space="0" w:color="auto"/>
              <w:left w:val="single" w:sz="6" w:space="0" w:color="auto"/>
              <w:bottom w:val="single" w:sz="12" w:space="0" w:color="auto"/>
              <w:right w:val="single" w:sz="6" w:space="0" w:color="auto"/>
            </w:tcBorders>
            <w:shd w:val="clear" w:color="auto" w:fill="auto"/>
            <w:noWrap/>
            <w:vAlign w:val="center"/>
          </w:tcPr>
          <w:p w14:paraId="0B345F4D" w14:textId="4641ACFA" w:rsidR="00CA22D1" w:rsidRPr="00AF28E9" w:rsidRDefault="00CA22D1" w:rsidP="008A2E69">
            <w:pPr>
              <w:spacing w:after="0" w:line="240" w:lineRule="auto"/>
              <w:jc w:val="right"/>
              <w:rPr>
                <w:rFonts w:ascii="Times New Roman" w:eastAsia="Times New Roman" w:hAnsi="Times New Roman" w:cs="Times New Roman"/>
                <w:b/>
                <w:color w:val="000000"/>
                <w:highlight w:val="yellow"/>
                <w:lang w:eastAsia="sk-SK"/>
              </w:rPr>
            </w:pPr>
            <w:r w:rsidRPr="005F7B58">
              <w:rPr>
                <w:rFonts w:ascii="Times New Roman" w:hAnsi="Times New Roman" w:cs="Times New Roman"/>
                <w:b/>
              </w:rPr>
              <w:t>7 609,85</w:t>
            </w:r>
          </w:p>
        </w:tc>
        <w:tc>
          <w:tcPr>
            <w:tcW w:w="1022" w:type="pct"/>
            <w:tcBorders>
              <w:top w:val="single" w:sz="12" w:space="0" w:color="auto"/>
              <w:left w:val="single" w:sz="6" w:space="0" w:color="auto"/>
              <w:bottom w:val="single" w:sz="12" w:space="0" w:color="auto"/>
              <w:right w:val="single" w:sz="6" w:space="0" w:color="auto"/>
            </w:tcBorders>
            <w:shd w:val="clear" w:color="auto" w:fill="auto"/>
            <w:noWrap/>
            <w:vAlign w:val="center"/>
            <w:hideMark/>
          </w:tcPr>
          <w:p w14:paraId="7338C8C3" w14:textId="6095BEF2" w:rsidR="00CA22D1" w:rsidRPr="00AF28E9" w:rsidRDefault="00CA22D1" w:rsidP="00AF28E9">
            <w:pPr>
              <w:spacing w:after="0" w:line="240" w:lineRule="auto"/>
              <w:jc w:val="right"/>
              <w:rPr>
                <w:rFonts w:ascii="Times New Roman" w:eastAsia="Times New Roman" w:hAnsi="Times New Roman" w:cs="Times New Roman"/>
                <w:b/>
                <w:color w:val="000000"/>
                <w:lang w:eastAsia="sk-SK"/>
              </w:rPr>
            </w:pPr>
            <w:r w:rsidRPr="005F7B58">
              <w:rPr>
                <w:rFonts w:ascii="Times New Roman" w:hAnsi="Times New Roman" w:cs="Times New Roman"/>
                <w:b/>
              </w:rPr>
              <w:t>3 266,04</w:t>
            </w:r>
          </w:p>
        </w:tc>
        <w:tc>
          <w:tcPr>
            <w:tcW w:w="884" w:type="pct"/>
            <w:tcBorders>
              <w:top w:val="single" w:sz="12" w:space="0" w:color="auto"/>
              <w:left w:val="single" w:sz="6" w:space="0" w:color="auto"/>
              <w:bottom w:val="single" w:sz="12" w:space="0" w:color="auto"/>
              <w:right w:val="single" w:sz="12" w:space="0" w:color="auto"/>
            </w:tcBorders>
            <w:shd w:val="clear" w:color="auto" w:fill="auto"/>
            <w:vAlign w:val="center"/>
          </w:tcPr>
          <w:p w14:paraId="647ADF18" w14:textId="6BCB38BB" w:rsidR="00CA22D1" w:rsidRPr="00AF28E9" w:rsidRDefault="00CA22D1" w:rsidP="00AF28E9">
            <w:pPr>
              <w:spacing w:after="0" w:line="240" w:lineRule="auto"/>
              <w:jc w:val="right"/>
              <w:rPr>
                <w:rFonts w:ascii="Times New Roman" w:eastAsia="Times New Roman" w:hAnsi="Times New Roman" w:cs="Times New Roman"/>
                <w:b/>
                <w:color w:val="000000"/>
                <w:lang w:eastAsia="sk-SK"/>
              </w:rPr>
            </w:pPr>
            <w:r w:rsidRPr="005F7B58">
              <w:rPr>
                <w:rFonts w:ascii="Times New Roman" w:hAnsi="Times New Roman" w:cs="Times New Roman"/>
                <w:b/>
              </w:rPr>
              <w:t>16 370,14</w:t>
            </w:r>
          </w:p>
        </w:tc>
      </w:tr>
    </w:tbl>
    <w:p w14:paraId="64334E7A" w14:textId="77777777" w:rsidR="00D51F59" w:rsidRPr="009F2998" w:rsidRDefault="00D51F59" w:rsidP="00902157">
      <w:pPr>
        <w:rPr>
          <w:rFonts w:ascii="Times New Roman" w:hAnsi="Times New Roman" w:cs="Times New Roman"/>
          <w:lang w:eastAsia="sk-SK"/>
        </w:rPr>
      </w:pPr>
    </w:p>
    <w:p w14:paraId="0043EA22" w14:textId="0E8D2CAD" w:rsidR="00902157" w:rsidRDefault="008A67DD" w:rsidP="007157D7">
      <w:pPr>
        <w:pStyle w:val="Nadpis4"/>
        <w:numPr>
          <w:ilvl w:val="3"/>
          <w:numId w:val="16"/>
        </w:numPr>
        <w:rPr>
          <w:rFonts w:ascii="Times New Roman" w:eastAsia="Times New Roman" w:hAnsi="Times New Roman" w:cs="Times New Roman"/>
          <w:i w:val="0"/>
          <w:color w:val="auto"/>
          <w:lang w:eastAsia="sk-SK"/>
        </w:rPr>
      </w:pPr>
      <w:bookmarkStart w:id="80" w:name="_Toc480547255"/>
      <w:r w:rsidRPr="000578FE">
        <w:rPr>
          <w:rFonts w:ascii="Times New Roman" w:eastAsia="Times New Roman" w:hAnsi="Times New Roman" w:cs="Times New Roman"/>
          <w:i w:val="0"/>
          <w:color w:val="auto"/>
          <w:lang w:eastAsia="sk-SK"/>
        </w:rPr>
        <w:t>P</w:t>
      </w:r>
      <w:r w:rsidR="00902157" w:rsidRPr="000578FE">
        <w:rPr>
          <w:rFonts w:ascii="Times New Roman" w:eastAsia="Times New Roman" w:hAnsi="Times New Roman" w:cs="Times New Roman"/>
          <w:i w:val="0"/>
          <w:color w:val="auto"/>
          <w:lang w:eastAsia="sk-SK"/>
        </w:rPr>
        <w:t>odrobnosti o vnútroštátnych koeficientoch zvolených podľa prílohy IV k</w:t>
      </w:r>
      <w:r w:rsidR="00EA4F55">
        <w:rPr>
          <w:rFonts w:ascii="Times New Roman" w:eastAsia="Times New Roman" w:hAnsi="Times New Roman" w:cs="Times New Roman"/>
          <w:i w:val="0"/>
          <w:color w:val="auto"/>
          <w:lang w:eastAsia="sk-SK"/>
        </w:rPr>
        <w:t> </w:t>
      </w:r>
      <w:r w:rsidR="00902157" w:rsidRPr="000578FE">
        <w:rPr>
          <w:rFonts w:ascii="Times New Roman" w:eastAsia="Times New Roman" w:hAnsi="Times New Roman" w:cs="Times New Roman"/>
          <w:i w:val="0"/>
          <w:color w:val="auto"/>
          <w:lang w:eastAsia="sk-SK"/>
        </w:rPr>
        <w:t>SEE</w:t>
      </w:r>
      <w:bookmarkEnd w:id="80"/>
    </w:p>
    <w:p w14:paraId="258B9B35" w14:textId="77777777" w:rsidR="00EA4F55" w:rsidRPr="000578FE" w:rsidRDefault="00EA4F55" w:rsidP="000578FE">
      <w:pPr>
        <w:rPr>
          <w:lang w:eastAsia="sk-SK"/>
        </w:rPr>
      </w:pPr>
    </w:p>
    <w:p w14:paraId="06133616" w14:textId="19055D83" w:rsidR="00902157" w:rsidRPr="000745A8" w:rsidRDefault="00902157" w:rsidP="00902157">
      <w:pPr>
        <w:rPr>
          <w:rFonts w:ascii="Times New Roman" w:hAnsi="Times New Roman" w:cs="Times New Roman"/>
          <w:sz w:val="24"/>
          <w:szCs w:val="24"/>
        </w:rPr>
      </w:pPr>
      <w:r w:rsidRPr="000745A8">
        <w:rPr>
          <w:rFonts w:ascii="Times New Roman" w:hAnsi="Times New Roman" w:cs="Times New Roman"/>
          <w:sz w:val="24"/>
          <w:szCs w:val="24"/>
        </w:rPr>
        <w:t xml:space="preserve">Národné prepočítavacie koeficienty celkovej spotreby energie na rovnakú fyzikálnu jednotku zvolené </w:t>
      </w:r>
      <w:r w:rsidR="009135F1" w:rsidRPr="000745A8">
        <w:rPr>
          <w:rFonts w:ascii="Times New Roman" w:hAnsi="Times New Roman" w:cs="Times New Roman"/>
          <w:sz w:val="24"/>
          <w:szCs w:val="24"/>
        </w:rPr>
        <w:t>v súlade s prílohou IV smernice sú uvedené vo vyhláške MH SR č. 327/2015</w:t>
      </w:r>
      <w:r w:rsidR="0089008D" w:rsidRPr="000745A8">
        <w:rPr>
          <w:rFonts w:ascii="Times New Roman" w:hAnsi="Times New Roman" w:cs="Times New Roman"/>
          <w:sz w:val="24"/>
          <w:szCs w:val="24"/>
        </w:rPr>
        <w:t> Z. z</w:t>
      </w:r>
      <w:r w:rsidRPr="000745A8">
        <w:rPr>
          <w:rFonts w:ascii="Times New Roman" w:hAnsi="Times New Roman" w:cs="Times New Roman"/>
          <w:sz w:val="24"/>
          <w:szCs w:val="24"/>
        </w:rPr>
        <w:t>.</w:t>
      </w:r>
    </w:p>
    <w:p w14:paraId="7DE1366A" w14:textId="77777777" w:rsidR="0089008D" w:rsidRPr="009F2998" w:rsidRDefault="0089008D" w:rsidP="00902157">
      <w:pPr>
        <w:rPr>
          <w:rFonts w:ascii="Times New Roman" w:hAnsi="Times New Roman" w:cs="Times New Roman"/>
        </w:rPr>
      </w:pPr>
    </w:p>
    <w:p w14:paraId="2A0EA111" w14:textId="3EDEEF2E" w:rsidR="00902157" w:rsidRPr="000578FE" w:rsidRDefault="008A67DD" w:rsidP="007157D7">
      <w:pPr>
        <w:pStyle w:val="Nadpis4"/>
        <w:numPr>
          <w:ilvl w:val="3"/>
          <w:numId w:val="16"/>
        </w:numPr>
        <w:rPr>
          <w:rFonts w:ascii="Times New Roman" w:eastAsia="Times New Roman" w:hAnsi="Times New Roman" w:cs="Times New Roman"/>
          <w:i w:val="0"/>
          <w:color w:val="auto"/>
          <w:lang w:eastAsia="sk-SK"/>
        </w:rPr>
      </w:pPr>
      <w:bookmarkStart w:id="81" w:name="_Toc480547256"/>
      <w:r w:rsidRPr="000578FE">
        <w:rPr>
          <w:rFonts w:ascii="Times New Roman" w:eastAsia="Times New Roman" w:hAnsi="Times New Roman" w:cs="Times New Roman"/>
          <w:i w:val="0"/>
          <w:color w:val="auto"/>
          <w:lang w:eastAsia="sk-SK"/>
        </w:rPr>
        <w:lastRenderedPageBreak/>
        <w:t>I</w:t>
      </w:r>
      <w:r w:rsidR="00902157" w:rsidRPr="000578FE">
        <w:rPr>
          <w:rFonts w:ascii="Times New Roman" w:eastAsia="Times New Roman" w:hAnsi="Times New Roman" w:cs="Times New Roman"/>
          <w:i w:val="0"/>
          <w:color w:val="auto"/>
          <w:lang w:eastAsia="sk-SK"/>
        </w:rPr>
        <w:t>nformácie o akýchkoľvek metódach, okrem metódy stanovenej v prílohe V časti 2  písm. e) k SEE, použitých na zohľadnenie životnosti úspor energie</w:t>
      </w:r>
      <w:bookmarkEnd w:id="81"/>
    </w:p>
    <w:p w14:paraId="6EA33729" w14:textId="3BFD1949" w:rsidR="009135F1" w:rsidRDefault="009135F1" w:rsidP="009135F1">
      <w:pPr>
        <w:rPr>
          <w:rFonts w:ascii="Times New Roman" w:hAnsi="Times New Roman" w:cs="Times New Roman"/>
          <w:sz w:val="24"/>
          <w:szCs w:val="24"/>
        </w:rPr>
      </w:pPr>
      <w:r w:rsidRPr="000745A8">
        <w:rPr>
          <w:rFonts w:ascii="Times New Roman" w:hAnsi="Times New Roman" w:cs="Times New Roman"/>
          <w:sz w:val="24"/>
          <w:szCs w:val="24"/>
        </w:rPr>
        <w:t>Životnosti opatrení, ktoré sa používajú pri vyhodnocovaní cieľa vyplývajúceho z čl. 7 smernice sú uvedené vo vyhláške MH SR č. 327/2015</w:t>
      </w:r>
      <w:r w:rsidR="00A914C9" w:rsidRPr="000745A8">
        <w:rPr>
          <w:rFonts w:ascii="Times New Roman" w:hAnsi="Times New Roman" w:cs="Times New Roman"/>
          <w:sz w:val="24"/>
          <w:szCs w:val="24"/>
        </w:rPr>
        <w:t> Z. z</w:t>
      </w:r>
      <w:r w:rsidRPr="000745A8">
        <w:rPr>
          <w:rFonts w:ascii="Times New Roman" w:hAnsi="Times New Roman" w:cs="Times New Roman"/>
          <w:sz w:val="24"/>
          <w:szCs w:val="24"/>
        </w:rPr>
        <w:t xml:space="preserve">. </w:t>
      </w:r>
    </w:p>
    <w:p w14:paraId="77BFDB3C" w14:textId="77777777" w:rsidR="00F77093" w:rsidRPr="000745A8" w:rsidRDefault="00F77093" w:rsidP="009135F1">
      <w:pPr>
        <w:rPr>
          <w:rFonts w:ascii="Times New Roman" w:hAnsi="Times New Roman" w:cs="Times New Roman"/>
          <w:sz w:val="24"/>
          <w:szCs w:val="24"/>
        </w:rPr>
      </w:pPr>
    </w:p>
    <w:p w14:paraId="1BB318AE" w14:textId="77777777" w:rsidR="00902157" w:rsidRPr="000578FE" w:rsidRDefault="00902157" w:rsidP="007157D7">
      <w:pPr>
        <w:pStyle w:val="Nadpis3"/>
        <w:keepNext w:val="0"/>
        <w:keepLines w:val="0"/>
        <w:numPr>
          <w:ilvl w:val="2"/>
          <w:numId w:val="16"/>
        </w:numPr>
        <w:ind w:left="1276" w:hanging="567"/>
        <w:rPr>
          <w:rFonts w:ascii="Times New Roman" w:hAnsi="Times New Roman" w:cs="Times New Roman"/>
          <w:color w:val="auto"/>
        </w:rPr>
      </w:pPr>
      <w:bookmarkStart w:id="82" w:name="_Toc480547257"/>
      <w:r w:rsidRPr="000578FE">
        <w:rPr>
          <w:rFonts w:ascii="Times New Roman" w:hAnsi="Times New Roman" w:cs="Times New Roman"/>
          <w:color w:val="auto"/>
        </w:rPr>
        <w:t>Energetické audity a systémy energetického manažérstva (článok 8 SEE)</w:t>
      </w:r>
      <w:bookmarkEnd w:id="82"/>
    </w:p>
    <w:p w14:paraId="40C68761" w14:textId="77777777" w:rsidR="00902157" w:rsidRPr="009F2998" w:rsidRDefault="00902157" w:rsidP="00902157">
      <w:pPr>
        <w:pStyle w:val="CM4"/>
        <w:spacing w:before="60" w:after="60"/>
        <w:jc w:val="both"/>
        <w:rPr>
          <w:rFonts w:ascii="Times New Roman" w:hAnsi="Times New Roman" w:cs="Times New Roman"/>
          <w:sz w:val="22"/>
          <w:szCs w:val="22"/>
        </w:rPr>
      </w:pPr>
    </w:p>
    <w:p w14:paraId="1B44689C" w14:textId="249AF3B1" w:rsidR="00902157" w:rsidRPr="000745A8" w:rsidRDefault="00902157" w:rsidP="00902157">
      <w:pPr>
        <w:pStyle w:val="CM4"/>
        <w:spacing w:before="60" w:after="60"/>
        <w:jc w:val="both"/>
        <w:rPr>
          <w:rFonts w:ascii="Times New Roman" w:hAnsi="Times New Roman" w:cs="Times New Roman"/>
        </w:rPr>
      </w:pPr>
      <w:r w:rsidRPr="000745A8">
        <w:rPr>
          <w:rFonts w:ascii="Times New Roman" w:hAnsi="Times New Roman" w:cs="Times New Roman"/>
        </w:rPr>
        <w:t>Slovenská republika zaviedla povinné energetické audity ako alternatívne politické opatrenie na plnenie cieľov úspor energie na úrovni KES zákonom č. 476/2008 Z. z. o efektívnosti pri používaní energie od 1. januára 2009. Povinnosť vykonať energetické audity bola stanovená pre priemyselné a poľnohospodárske podniky v závislosti od ich celkovej ročnej spotreby energie najneskôr do 31. 12. 2011 pre subjekty s celkovou ročnou spotrebou energie do 20 000 MWh a do 31.</w:t>
      </w:r>
      <w:r w:rsidR="00044016">
        <w:rPr>
          <w:rFonts w:ascii="Times New Roman" w:hAnsi="Times New Roman" w:cs="Times New Roman"/>
        </w:rPr>
        <w:t xml:space="preserve"> </w:t>
      </w:r>
      <w:r w:rsidRPr="000745A8">
        <w:rPr>
          <w:rFonts w:ascii="Times New Roman" w:hAnsi="Times New Roman" w:cs="Times New Roman"/>
        </w:rPr>
        <w:t>12.</w:t>
      </w:r>
      <w:r w:rsidR="00044016">
        <w:rPr>
          <w:rFonts w:ascii="Times New Roman" w:hAnsi="Times New Roman" w:cs="Times New Roman"/>
        </w:rPr>
        <w:t xml:space="preserve"> </w:t>
      </w:r>
      <w:r w:rsidRPr="000745A8">
        <w:rPr>
          <w:rFonts w:ascii="Times New Roman" w:hAnsi="Times New Roman" w:cs="Times New Roman"/>
        </w:rPr>
        <w:t xml:space="preserve">2013 pre subjekty s celkovou ročnou spotrebou energie viac ako 20 000 MWh s periodicitou opakovania päť rokov. Možnosť náhrady zavedením systémom energetického alebo environmentálneho manažérstva nebola prípustná. </w:t>
      </w:r>
    </w:p>
    <w:p w14:paraId="54F9441E" w14:textId="2B0315B5" w:rsidR="00A914C9" w:rsidRPr="000745A8" w:rsidRDefault="00A914C9" w:rsidP="00933491">
      <w:pPr>
        <w:jc w:val="both"/>
        <w:rPr>
          <w:rFonts w:ascii="Times New Roman" w:hAnsi="Times New Roman" w:cs="Times New Roman"/>
          <w:sz w:val="24"/>
          <w:szCs w:val="24"/>
        </w:rPr>
      </w:pPr>
    </w:p>
    <w:p w14:paraId="23287003" w14:textId="26670869" w:rsidR="00933491" w:rsidRPr="000745A8" w:rsidRDefault="009135F1" w:rsidP="00933491">
      <w:pPr>
        <w:jc w:val="both"/>
        <w:rPr>
          <w:rFonts w:ascii="Times New Roman" w:hAnsi="Times New Roman" w:cs="Times New Roman"/>
          <w:sz w:val="24"/>
          <w:szCs w:val="24"/>
        </w:rPr>
      </w:pPr>
      <w:r w:rsidRPr="000745A8">
        <w:rPr>
          <w:rFonts w:ascii="Times New Roman" w:hAnsi="Times New Roman" w:cs="Times New Roman"/>
          <w:sz w:val="24"/>
          <w:szCs w:val="24"/>
        </w:rPr>
        <w:t>S účinnosťou od 1. decembra 2014 majú povinnosť vykonávať energetický audit veľké podniky (článok 8 smernice 2012/27/EÚ). V zákone o energetickej efektívnosti je veľkým podnikom podnikateľ, ktorý nie je malým podnikateľom ani stredným podnikateľom definovaným podľa osobitného predpisu</w:t>
      </w:r>
      <w:r w:rsidRPr="000745A8">
        <w:rPr>
          <w:rStyle w:val="Odkaznapoznmkupodiarou"/>
          <w:rFonts w:ascii="Times New Roman" w:hAnsi="Times New Roman" w:cs="Times New Roman"/>
          <w:sz w:val="24"/>
          <w:szCs w:val="24"/>
        </w:rPr>
        <w:footnoteReference w:id="30"/>
      </w:r>
      <w:r w:rsidRPr="000745A8">
        <w:rPr>
          <w:rFonts w:ascii="Times New Roman" w:hAnsi="Times New Roman" w:cs="Times New Roman"/>
          <w:sz w:val="24"/>
          <w:szCs w:val="24"/>
        </w:rPr>
        <w:t>. V roku 2012 bolo v SR 614 takto vymedzených veľkých podnikov. Nakoľko sa veľkosť podniku v monitorovacom systéme energetickej efektívnosti doteraz nesledovala, nie je možné vyčísliť počet auditov vykonaných v predchádzajúcom období vo veľkých podnikoch podľa čl. 8 smernice. Podobne je to aj v prípade článku 8 odsek 5 smern</w:t>
      </w:r>
      <w:r w:rsidR="00933491" w:rsidRPr="000745A8">
        <w:rPr>
          <w:rFonts w:ascii="Times New Roman" w:hAnsi="Times New Roman" w:cs="Times New Roman"/>
          <w:sz w:val="24"/>
          <w:szCs w:val="24"/>
        </w:rPr>
        <w:t>ice 2012/27/EÚ.</w:t>
      </w:r>
    </w:p>
    <w:p w14:paraId="3ED77B68" w14:textId="77777777" w:rsidR="00BF3E63" w:rsidRPr="000745A8" w:rsidRDefault="00BF3E63" w:rsidP="00BF3E63">
      <w:pPr>
        <w:jc w:val="both"/>
        <w:rPr>
          <w:rFonts w:ascii="Times New Roman" w:hAnsi="Times New Roman" w:cs="Times New Roman"/>
          <w:sz w:val="24"/>
          <w:szCs w:val="24"/>
        </w:rPr>
      </w:pPr>
      <w:r w:rsidRPr="000745A8">
        <w:rPr>
          <w:rFonts w:ascii="Times New Roman" w:hAnsi="Times New Roman" w:cs="Times New Roman"/>
          <w:sz w:val="24"/>
          <w:szCs w:val="24"/>
        </w:rPr>
        <w:t>Veľký podnik je povinný do 30 dní po vykonaní energetického auditu zaslať prevádzkovateľovi monitorovacieho systému energetickej efektívnosti súhrnný informačný list so základnými údajmi o energetickom audite. Komplexnejšie údaje poskytuje energetický audítor najneskôr do 31. marca nasledujúceho kalendárneho roku. Údaje sa využívajú na monitorovanie potenciálu úspor energie v podnikoch.</w:t>
      </w:r>
    </w:p>
    <w:p w14:paraId="6BA60A8A" w14:textId="77777777" w:rsidR="00BF3E63" w:rsidRPr="000745A8" w:rsidRDefault="00BF3E63" w:rsidP="00BF3E63">
      <w:pPr>
        <w:jc w:val="both"/>
        <w:rPr>
          <w:rFonts w:ascii="Times New Roman" w:hAnsi="Times New Roman" w:cs="Times New Roman"/>
          <w:sz w:val="24"/>
          <w:szCs w:val="24"/>
        </w:rPr>
      </w:pPr>
      <w:r w:rsidRPr="000745A8">
        <w:rPr>
          <w:rFonts w:ascii="Times New Roman" w:hAnsi="Times New Roman" w:cs="Times New Roman"/>
          <w:sz w:val="24"/>
          <w:szCs w:val="24"/>
        </w:rPr>
        <w:t>Na základe praktických skúsenosti z minulosti odporúčame na úrovni EÚ prehodnotiť povinnosť energetických auditov podľa typu podniku,  na povinnosť podľa množstva energie, ktoré podnik využíva alebo podľa energetickej náročnosti podniku.</w:t>
      </w:r>
    </w:p>
    <w:p w14:paraId="5BEF2E17" w14:textId="77777777" w:rsidR="00BF3E63" w:rsidRPr="000745A8" w:rsidRDefault="00BF3E63" w:rsidP="00BF3E63">
      <w:pPr>
        <w:jc w:val="both"/>
        <w:rPr>
          <w:rFonts w:ascii="Times New Roman" w:hAnsi="Times New Roman" w:cs="Times New Roman"/>
          <w:sz w:val="24"/>
          <w:szCs w:val="24"/>
        </w:rPr>
      </w:pPr>
      <w:r w:rsidRPr="000745A8">
        <w:rPr>
          <w:rFonts w:ascii="Times New Roman" w:hAnsi="Times New Roman" w:cs="Times New Roman"/>
          <w:sz w:val="24"/>
          <w:szCs w:val="24"/>
        </w:rPr>
        <w:t>V prípade alternatívnej možnosti zavedenia certifikovaného systému energetického alebo environmentálneho manažérstva je z dôvodu sledovania realizovaných opatrení na úsporu energie vhodné ustanoviť povinnosť poskytovať s periodicitou aspoň 4 roky údaje o realizovaných opatreniach.</w:t>
      </w:r>
    </w:p>
    <w:p w14:paraId="74EFED58" w14:textId="77777777" w:rsidR="00BF3E63" w:rsidRDefault="00BF3E63">
      <w:pPr>
        <w:rPr>
          <w:rFonts w:ascii="Times New Roman" w:hAnsi="Times New Roman" w:cs="Times New Roman"/>
          <w:sz w:val="24"/>
          <w:szCs w:val="24"/>
        </w:rPr>
      </w:pPr>
    </w:p>
    <w:p w14:paraId="01C8202C" w14:textId="77777777" w:rsidR="00BF3E63" w:rsidRDefault="00BF3E63">
      <w:pPr>
        <w:rPr>
          <w:rFonts w:ascii="Times New Roman" w:hAnsi="Times New Roman" w:cs="Times New Roman"/>
          <w:sz w:val="24"/>
          <w:szCs w:val="24"/>
        </w:rPr>
      </w:pPr>
    </w:p>
    <w:p w14:paraId="616EEA81" w14:textId="3A19152D" w:rsidR="00933491" w:rsidRPr="000578FE" w:rsidRDefault="00BF3E63">
      <w:pPr>
        <w:rPr>
          <w:rFonts w:ascii="Times New Roman" w:hAnsi="Times New Roman" w:cs="Times New Roman"/>
          <w:sz w:val="24"/>
          <w:szCs w:val="24"/>
        </w:rPr>
      </w:pPr>
      <w:r w:rsidRPr="000578FE">
        <w:rPr>
          <w:rFonts w:ascii="Times New Roman" w:hAnsi="Times New Roman" w:cs="Times New Roman"/>
          <w:sz w:val="24"/>
          <w:szCs w:val="24"/>
        </w:rPr>
        <w:lastRenderedPageBreak/>
        <w:t xml:space="preserve">Tabuľka č. 15: Prehľad o vykonaných energetických auditoch </w:t>
      </w:r>
    </w:p>
    <w:tbl>
      <w:tblPr>
        <w:tblStyle w:val="Mriekatabuky"/>
        <w:tblW w:w="5000" w:type="pct"/>
        <w:tblLook w:val="04A0" w:firstRow="1" w:lastRow="0" w:firstColumn="1" w:lastColumn="0" w:noHBand="0" w:noVBand="1"/>
      </w:tblPr>
      <w:tblGrid>
        <w:gridCol w:w="3067"/>
        <w:gridCol w:w="1776"/>
        <w:gridCol w:w="4219"/>
      </w:tblGrid>
      <w:tr w:rsidR="00642064" w:rsidRPr="009F2998" w14:paraId="69300EB8" w14:textId="77777777" w:rsidTr="006A71E3">
        <w:trPr>
          <w:cantSplit/>
        </w:trPr>
        <w:tc>
          <w:tcPr>
            <w:tcW w:w="5000" w:type="pct"/>
            <w:gridSpan w:val="3"/>
            <w:shd w:val="pct10" w:color="auto" w:fill="auto"/>
          </w:tcPr>
          <w:p w14:paraId="72FE86F0" w14:textId="59BA76DD" w:rsidR="00642064" w:rsidRPr="000578FE" w:rsidRDefault="00642064" w:rsidP="002E3164">
            <w:pPr>
              <w:jc w:val="center"/>
              <w:rPr>
                <w:rFonts w:ascii="Times New Roman" w:hAnsi="Times New Roman" w:cs="Times New Roman"/>
                <w:b/>
                <w:i/>
              </w:rPr>
            </w:pPr>
            <w:r w:rsidRPr="000578FE">
              <w:rPr>
                <w:rFonts w:ascii="Times New Roman" w:hAnsi="Times New Roman" w:cs="Times New Roman"/>
                <w:b/>
                <w:i/>
              </w:rPr>
              <w:t>Energetické audity vykonané v období rokov 2011-2013</w:t>
            </w:r>
          </w:p>
          <w:p w14:paraId="298B89BE" w14:textId="77777777" w:rsidR="00642064" w:rsidRPr="000578FE" w:rsidRDefault="00642064" w:rsidP="002E3164">
            <w:pPr>
              <w:jc w:val="center"/>
              <w:rPr>
                <w:rFonts w:ascii="Times New Roman" w:hAnsi="Times New Roman" w:cs="Times New Roman"/>
                <w:b/>
                <w:i/>
              </w:rPr>
            </w:pPr>
          </w:p>
        </w:tc>
      </w:tr>
      <w:tr w:rsidR="00642064" w:rsidRPr="009F2998" w14:paraId="53ADF20D" w14:textId="77777777" w:rsidTr="006A71E3">
        <w:trPr>
          <w:cantSplit/>
        </w:trPr>
        <w:tc>
          <w:tcPr>
            <w:tcW w:w="1692" w:type="pct"/>
          </w:tcPr>
          <w:p w14:paraId="73B19ABB" w14:textId="77777777" w:rsidR="00642064" w:rsidRPr="000578FE" w:rsidRDefault="00642064" w:rsidP="002E3164">
            <w:pPr>
              <w:jc w:val="both"/>
              <w:rPr>
                <w:rFonts w:ascii="Times New Roman" w:hAnsi="Times New Roman" w:cs="Times New Roman"/>
              </w:rPr>
            </w:pPr>
            <w:r w:rsidRPr="000578FE">
              <w:rPr>
                <w:rFonts w:ascii="Times New Roman" w:hAnsi="Times New Roman" w:cs="Times New Roman"/>
              </w:rPr>
              <w:t>b) počet energetických auditov vykonaných v období 2011-2013</w:t>
            </w:r>
          </w:p>
        </w:tc>
        <w:tc>
          <w:tcPr>
            <w:tcW w:w="980" w:type="pct"/>
          </w:tcPr>
          <w:p w14:paraId="7F89FBBB" w14:textId="77777777" w:rsidR="00642064" w:rsidRPr="000578FE" w:rsidRDefault="00642064" w:rsidP="002E3164">
            <w:pPr>
              <w:jc w:val="both"/>
              <w:rPr>
                <w:rFonts w:ascii="Times New Roman" w:hAnsi="Times New Roman" w:cs="Times New Roman"/>
              </w:rPr>
            </w:pPr>
            <w:r w:rsidRPr="000578FE">
              <w:rPr>
                <w:rFonts w:ascii="Times New Roman" w:hAnsi="Times New Roman" w:cs="Times New Roman"/>
              </w:rPr>
              <w:t xml:space="preserve">210 </w:t>
            </w:r>
          </w:p>
        </w:tc>
        <w:tc>
          <w:tcPr>
            <w:tcW w:w="2328" w:type="pct"/>
          </w:tcPr>
          <w:p w14:paraId="6B8B2240" w14:textId="77777777" w:rsidR="00642064" w:rsidRPr="000578FE" w:rsidRDefault="00642064" w:rsidP="002E3164">
            <w:pPr>
              <w:jc w:val="both"/>
              <w:rPr>
                <w:rFonts w:ascii="Times New Roman" w:hAnsi="Times New Roman" w:cs="Times New Roman"/>
              </w:rPr>
            </w:pPr>
            <w:r w:rsidRPr="000578FE">
              <w:rPr>
                <w:rFonts w:ascii="Times New Roman" w:hAnsi="Times New Roman" w:cs="Times New Roman"/>
              </w:rPr>
              <w:t xml:space="preserve">Podľa § 8 zákona č. 476/2008 Z. z. </w:t>
            </w:r>
          </w:p>
        </w:tc>
      </w:tr>
      <w:tr w:rsidR="00642064" w:rsidRPr="009F2998" w14:paraId="6E4F258E" w14:textId="77777777" w:rsidTr="006A71E3">
        <w:trPr>
          <w:cantSplit/>
        </w:trPr>
        <w:tc>
          <w:tcPr>
            <w:tcW w:w="1692" w:type="pct"/>
          </w:tcPr>
          <w:p w14:paraId="532BBFDA" w14:textId="77777777" w:rsidR="00642064" w:rsidRPr="000578FE" w:rsidRDefault="00642064" w:rsidP="002E3164">
            <w:pPr>
              <w:jc w:val="both"/>
              <w:rPr>
                <w:rFonts w:ascii="Times New Roman" w:hAnsi="Times New Roman" w:cs="Times New Roman"/>
              </w:rPr>
            </w:pPr>
            <w:r w:rsidRPr="000578FE">
              <w:rPr>
                <w:rFonts w:ascii="Times New Roman" w:hAnsi="Times New Roman" w:cs="Times New Roman"/>
              </w:rPr>
              <w:t>b) počet energetických auditov vykonaných vo veľkých podnikoch v období 2011-2013</w:t>
            </w:r>
          </w:p>
        </w:tc>
        <w:tc>
          <w:tcPr>
            <w:tcW w:w="980" w:type="pct"/>
          </w:tcPr>
          <w:p w14:paraId="506BF3F2" w14:textId="77777777" w:rsidR="00642064" w:rsidRPr="000578FE" w:rsidRDefault="00642064" w:rsidP="002E3164">
            <w:pPr>
              <w:jc w:val="both"/>
              <w:rPr>
                <w:rFonts w:ascii="Times New Roman" w:hAnsi="Times New Roman" w:cs="Times New Roman"/>
              </w:rPr>
            </w:pPr>
            <w:r w:rsidRPr="000578FE">
              <w:rPr>
                <w:rFonts w:ascii="Times New Roman" w:hAnsi="Times New Roman" w:cs="Times New Roman"/>
              </w:rPr>
              <w:t>-</w:t>
            </w:r>
          </w:p>
        </w:tc>
        <w:tc>
          <w:tcPr>
            <w:tcW w:w="2328" w:type="pct"/>
          </w:tcPr>
          <w:p w14:paraId="587A7E61" w14:textId="12BB4EFC" w:rsidR="00642064" w:rsidRPr="000578FE" w:rsidRDefault="00642064" w:rsidP="002E3164">
            <w:pPr>
              <w:jc w:val="both"/>
              <w:rPr>
                <w:rFonts w:ascii="Times New Roman" w:hAnsi="Times New Roman" w:cs="Times New Roman"/>
              </w:rPr>
            </w:pPr>
            <w:r w:rsidRPr="000578FE">
              <w:rPr>
                <w:rFonts w:ascii="Times New Roman" w:hAnsi="Times New Roman" w:cs="Times New Roman"/>
              </w:rPr>
              <w:t xml:space="preserve">Nie je možné vyčleniť z celkového počtu, keďže údaje poskytované prevádzkovateľovi monitorovacieho systému </w:t>
            </w:r>
            <w:r w:rsidR="009927E4">
              <w:rPr>
                <w:rFonts w:ascii="Times New Roman" w:eastAsia="Times New Roman" w:hAnsi="Times New Roman" w:cs="Times New Roman"/>
                <w:lang w:eastAsia="sk-SK"/>
              </w:rPr>
              <w:t>energetickej efektívnosti</w:t>
            </w:r>
            <w:r w:rsidR="009927E4" w:rsidRPr="000578FE" w:rsidDel="009927E4">
              <w:rPr>
                <w:rFonts w:ascii="Times New Roman" w:hAnsi="Times New Roman" w:cs="Times New Roman"/>
              </w:rPr>
              <w:t xml:space="preserve"> </w:t>
            </w:r>
            <w:r w:rsidRPr="000578FE">
              <w:rPr>
                <w:rFonts w:ascii="Times New Roman" w:hAnsi="Times New Roman" w:cs="Times New Roman"/>
              </w:rPr>
              <w:t xml:space="preserve">obsahujú informácie o opatreniach </w:t>
            </w:r>
            <w:r w:rsidR="009927E4">
              <w:rPr>
                <w:rFonts w:ascii="Times New Roman" w:eastAsia="Times New Roman" w:hAnsi="Times New Roman" w:cs="Times New Roman"/>
                <w:lang w:eastAsia="sk-SK"/>
              </w:rPr>
              <w:t>energetickej efektívnosti</w:t>
            </w:r>
            <w:r w:rsidRPr="000578FE">
              <w:rPr>
                <w:rFonts w:ascii="Times New Roman" w:hAnsi="Times New Roman" w:cs="Times New Roman"/>
              </w:rPr>
              <w:t>, ale nie o type podniku</w:t>
            </w:r>
          </w:p>
        </w:tc>
      </w:tr>
      <w:tr w:rsidR="00642064" w:rsidRPr="009F2998" w14:paraId="7B702B82" w14:textId="77777777" w:rsidTr="006A71E3">
        <w:trPr>
          <w:cantSplit/>
        </w:trPr>
        <w:tc>
          <w:tcPr>
            <w:tcW w:w="1692" w:type="pct"/>
          </w:tcPr>
          <w:p w14:paraId="6D609C03" w14:textId="77777777" w:rsidR="00642064" w:rsidRPr="000578FE" w:rsidRDefault="00642064" w:rsidP="002E3164">
            <w:pPr>
              <w:jc w:val="both"/>
              <w:rPr>
                <w:rFonts w:ascii="Times New Roman" w:hAnsi="Times New Roman" w:cs="Times New Roman"/>
              </w:rPr>
            </w:pPr>
            <w:r w:rsidRPr="000578FE">
              <w:rPr>
                <w:rFonts w:ascii="Times New Roman" w:hAnsi="Times New Roman" w:cs="Times New Roman"/>
              </w:rPr>
              <w:t>b) počet energetických auditov vykonaných vo veľkých podnikoch v období 2014-2016</w:t>
            </w:r>
          </w:p>
        </w:tc>
        <w:tc>
          <w:tcPr>
            <w:tcW w:w="980" w:type="pct"/>
            <w:shd w:val="clear" w:color="auto" w:fill="auto"/>
          </w:tcPr>
          <w:p w14:paraId="2E4E20CB" w14:textId="00BBEDF3" w:rsidR="00642064" w:rsidRPr="000578FE" w:rsidRDefault="00AF28E9" w:rsidP="004B5768">
            <w:pPr>
              <w:jc w:val="both"/>
              <w:rPr>
                <w:rFonts w:ascii="Times New Roman" w:hAnsi="Times New Roman" w:cs="Times New Roman"/>
              </w:rPr>
            </w:pPr>
            <w:bookmarkStart w:id="83" w:name="_Ref473642699"/>
            <w:r>
              <w:rPr>
                <w:rFonts w:ascii="Times New Roman" w:hAnsi="Times New Roman" w:cs="Times New Roman"/>
              </w:rPr>
              <w:t>629</w:t>
            </w:r>
            <w:r w:rsidR="004A0796" w:rsidRPr="000578FE">
              <w:rPr>
                <w:rStyle w:val="Odkaznapoznmkupodiarou"/>
                <w:rFonts w:ascii="Times New Roman" w:hAnsi="Times New Roman" w:cs="Times New Roman"/>
              </w:rPr>
              <w:footnoteReference w:id="31"/>
            </w:r>
            <w:bookmarkEnd w:id="83"/>
          </w:p>
        </w:tc>
        <w:tc>
          <w:tcPr>
            <w:tcW w:w="2328" w:type="pct"/>
          </w:tcPr>
          <w:p w14:paraId="064CCF69" w14:textId="77777777" w:rsidR="00642064" w:rsidRPr="000578FE" w:rsidRDefault="00642064" w:rsidP="002E3164">
            <w:pPr>
              <w:jc w:val="both"/>
              <w:rPr>
                <w:rFonts w:ascii="Times New Roman" w:hAnsi="Times New Roman" w:cs="Times New Roman"/>
              </w:rPr>
            </w:pPr>
            <w:r w:rsidRPr="000578FE">
              <w:rPr>
                <w:rFonts w:ascii="Times New Roman" w:hAnsi="Times New Roman" w:cs="Times New Roman"/>
              </w:rPr>
              <w:t>2014: 68</w:t>
            </w:r>
          </w:p>
          <w:p w14:paraId="4BBDA372" w14:textId="77777777" w:rsidR="00642064" w:rsidRPr="000578FE" w:rsidRDefault="00642064" w:rsidP="002E3164">
            <w:pPr>
              <w:jc w:val="both"/>
              <w:rPr>
                <w:rFonts w:ascii="Times New Roman" w:hAnsi="Times New Roman" w:cs="Times New Roman"/>
              </w:rPr>
            </w:pPr>
            <w:r w:rsidRPr="000578FE">
              <w:rPr>
                <w:rFonts w:ascii="Times New Roman" w:hAnsi="Times New Roman" w:cs="Times New Roman"/>
              </w:rPr>
              <w:t>2015:448</w:t>
            </w:r>
          </w:p>
          <w:p w14:paraId="45341E03" w14:textId="63F4D5BE" w:rsidR="00642064" w:rsidRPr="000578FE" w:rsidRDefault="00642064" w:rsidP="00AF28E9">
            <w:pPr>
              <w:jc w:val="both"/>
              <w:rPr>
                <w:rFonts w:ascii="Times New Roman" w:hAnsi="Times New Roman" w:cs="Times New Roman"/>
              </w:rPr>
            </w:pPr>
            <w:r w:rsidRPr="000578FE">
              <w:rPr>
                <w:rFonts w:ascii="Times New Roman" w:hAnsi="Times New Roman" w:cs="Times New Roman"/>
              </w:rPr>
              <w:t xml:space="preserve">2016: </w:t>
            </w:r>
            <w:r w:rsidR="00AF28E9">
              <w:rPr>
                <w:rFonts w:ascii="Times New Roman" w:hAnsi="Times New Roman" w:cs="Times New Roman"/>
              </w:rPr>
              <w:t>113</w:t>
            </w:r>
            <w:r w:rsidR="006A71E3" w:rsidRPr="000578FE">
              <w:rPr>
                <w:rFonts w:ascii="Times New Roman" w:hAnsi="Times New Roman" w:cs="Times New Roman"/>
              </w:rPr>
              <w:fldChar w:fldCharType="begin"/>
            </w:r>
            <w:r w:rsidR="006A71E3" w:rsidRPr="000578FE">
              <w:rPr>
                <w:rFonts w:ascii="Times New Roman" w:hAnsi="Times New Roman" w:cs="Times New Roman"/>
              </w:rPr>
              <w:instrText xml:space="preserve"> NOTEREF _Ref473642699 \f \h </w:instrText>
            </w:r>
            <w:r w:rsidR="00980AF7" w:rsidRPr="000578FE">
              <w:rPr>
                <w:rFonts w:ascii="Times New Roman" w:hAnsi="Times New Roman" w:cs="Times New Roman"/>
              </w:rPr>
              <w:instrText xml:space="preserve"> \* MERGEFORMAT </w:instrText>
            </w:r>
            <w:r w:rsidR="006A71E3" w:rsidRPr="000578FE">
              <w:rPr>
                <w:rFonts w:ascii="Times New Roman" w:hAnsi="Times New Roman" w:cs="Times New Roman"/>
              </w:rPr>
            </w:r>
            <w:r w:rsidR="006A71E3" w:rsidRPr="000578FE">
              <w:rPr>
                <w:rFonts w:ascii="Times New Roman" w:hAnsi="Times New Roman" w:cs="Times New Roman"/>
              </w:rPr>
              <w:fldChar w:fldCharType="separate"/>
            </w:r>
            <w:r w:rsidR="00684C5F" w:rsidRPr="005F7B58">
              <w:rPr>
                <w:rStyle w:val="Odkaznapoznmkupodiarou"/>
              </w:rPr>
              <w:t>31</w:t>
            </w:r>
            <w:r w:rsidR="006A71E3" w:rsidRPr="000578FE">
              <w:rPr>
                <w:rFonts w:ascii="Times New Roman" w:hAnsi="Times New Roman" w:cs="Times New Roman"/>
              </w:rPr>
              <w:fldChar w:fldCharType="end"/>
            </w:r>
          </w:p>
        </w:tc>
      </w:tr>
      <w:tr w:rsidR="00642064" w:rsidRPr="009F2998" w14:paraId="0E3EC55E" w14:textId="77777777" w:rsidTr="006A71E3">
        <w:trPr>
          <w:cantSplit/>
        </w:trPr>
        <w:tc>
          <w:tcPr>
            <w:tcW w:w="1692" w:type="pct"/>
          </w:tcPr>
          <w:p w14:paraId="194212F0" w14:textId="77777777" w:rsidR="00642064" w:rsidRPr="000578FE" w:rsidRDefault="00642064" w:rsidP="002E3164">
            <w:pPr>
              <w:pStyle w:val="CM4"/>
              <w:spacing w:before="60" w:after="60"/>
              <w:rPr>
                <w:rFonts w:ascii="Times New Roman" w:hAnsi="Times New Roman" w:cs="Times New Roman"/>
                <w:sz w:val="22"/>
                <w:szCs w:val="22"/>
              </w:rPr>
            </w:pPr>
            <w:r w:rsidRPr="000578FE">
              <w:rPr>
                <w:rFonts w:ascii="Times New Roman" w:hAnsi="Times New Roman" w:cs="Times New Roman"/>
                <w:sz w:val="22"/>
                <w:szCs w:val="22"/>
              </w:rPr>
              <w:t xml:space="preserve">c.1) počet veľkých podnikov na území SR, </w:t>
            </w:r>
          </w:p>
        </w:tc>
        <w:tc>
          <w:tcPr>
            <w:tcW w:w="980" w:type="pct"/>
          </w:tcPr>
          <w:p w14:paraId="16DD4CA5" w14:textId="77777777" w:rsidR="00642064" w:rsidRPr="000578FE" w:rsidRDefault="00642064" w:rsidP="002E3164">
            <w:pPr>
              <w:jc w:val="both"/>
              <w:rPr>
                <w:rFonts w:ascii="Times New Roman" w:hAnsi="Times New Roman" w:cs="Times New Roman"/>
              </w:rPr>
            </w:pPr>
            <w:r w:rsidRPr="000578FE">
              <w:rPr>
                <w:rFonts w:ascii="Times New Roman" w:hAnsi="Times New Roman" w:cs="Times New Roman"/>
              </w:rPr>
              <w:t>614 (2012)</w:t>
            </w:r>
          </w:p>
        </w:tc>
        <w:tc>
          <w:tcPr>
            <w:tcW w:w="2328" w:type="pct"/>
          </w:tcPr>
          <w:p w14:paraId="42D2060C" w14:textId="77777777" w:rsidR="00642064" w:rsidRPr="000578FE" w:rsidRDefault="00642064" w:rsidP="002E3164">
            <w:pPr>
              <w:jc w:val="both"/>
              <w:rPr>
                <w:rFonts w:ascii="Times New Roman" w:hAnsi="Times New Roman" w:cs="Times New Roman"/>
              </w:rPr>
            </w:pPr>
            <w:r w:rsidRPr="000578FE">
              <w:rPr>
                <w:rFonts w:ascii="Times New Roman" w:hAnsi="Times New Roman" w:cs="Times New Roman"/>
              </w:rPr>
              <w:t>Podľa čl. 8 smernice 2012/27/EÚ</w:t>
            </w:r>
          </w:p>
        </w:tc>
      </w:tr>
      <w:tr w:rsidR="00642064" w:rsidRPr="009F2998" w14:paraId="50797E46" w14:textId="77777777" w:rsidTr="006A71E3">
        <w:trPr>
          <w:cantSplit/>
        </w:trPr>
        <w:tc>
          <w:tcPr>
            <w:tcW w:w="1692" w:type="pct"/>
            <w:tcBorders>
              <w:bottom w:val="single" w:sz="6" w:space="0" w:color="auto"/>
            </w:tcBorders>
          </w:tcPr>
          <w:p w14:paraId="192653CF" w14:textId="77777777" w:rsidR="00642064" w:rsidRPr="000578FE" w:rsidRDefault="00642064" w:rsidP="002E3164">
            <w:pPr>
              <w:pStyle w:val="CM4"/>
              <w:spacing w:before="60" w:after="60"/>
              <w:rPr>
                <w:rFonts w:ascii="Times New Roman" w:hAnsi="Times New Roman" w:cs="Times New Roman"/>
                <w:sz w:val="22"/>
                <w:szCs w:val="22"/>
              </w:rPr>
            </w:pPr>
            <w:r w:rsidRPr="000578FE">
              <w:rPr>
                <w:rFonts w:ascii="Times New Roman" w:hAnsi="Times New Roman" w:cs="Times New Roman"/>
                <w:sz w:val="22"/>
                <w:szCs w:val="22"/>
              </w:rPr>
              <w:t>c.2) počet podnikov, na ktoré sa vzťahuje článok 8 odsek 5 smernice 2012/27/EÚ.</w:t>
            </w:r>
          </w:p>
        </w:tc>
        <w:tc>
          <w:tcPr>
            <w:tcW w:w="980" w:type="pct"/>
            <w:tcBorders>
              <w:bottom w:val="single" w:sz="6" w:space="0" w:color="auto"/>
            </w:tcBorders>
          </w:tcPr>
          <w:p w14:paraId="6E69E990" w14:textId="77777777" w:rsidR="00642064" w:rsidRPr="000578FE" w:rsidRDefault="00642064" w:rsidP="002E3164">
            <w:pPr>
              <w:jc w:val="both"/>
              <w:rPr>
                <w:rFonts w:ascii="Times New Roman" w:hAnsi="Times New Roman" w:cs="Times New Roman"/>
              </w:rPr>
            </w:pPr>
            <w:r w:rsidRPr="000578FE">
              <w:rPr>
                <w:rFonts w:ascii="Times New Roman" w:hAnsi="Times New Roman" w:cs="Times New Roman"/>
              </w:rPr>
              <w:t>-</w:t>
            </w:r>
          </w:p>
        </w:tc>
        <w:tc>
          <w:tcPr>
            <w:tcW w:w="2328" w:type="pct"/>
            <w:tcBorders>
              <w:bottom w:val="single" w:sz="6" w:space="0" w:color="auto"/>
            </w:tcBorders>
          </w:tcPr>
          <w:p w14:paraId="70323072" w14:textId="77777777" w:rsidR="00642064" w:rsidRPr="000578FE" w:rsidRDefault="00642064" w:rsidP="002E3164">
            <w:pPr>
              <w:jc w:val="both"/>
              <w:rPr>
                <w:rFonts w:ascii="Times New Roman" w:hAnsi="Times New Roman" w:cs="Times New Roman"/>
              </w:rPr>
            </w:pPr>
            <w:r w:rsidRPr="000578FE">
              <w:rPr>
                <w:rFonts w:ascii="Times New Roman" w:hAnsi="Times New Roman" w:cs="Times New Roman"/>
              </w:rPr>
              <w:t>Nie je zavedený relevantný register na sledovanie typu podnikov v zmysle definície „NIE-MSP“.</w:t>
            </w:r>
          </w:p>
        </w:tc>
      </w:tr>
    </w:tbl>
    <w:p w14:paraId="20B9F1F0" w14:textId="77777777" w:rsidR="00642064" w:rsidRPr="009F2998" w:rsidRDefault="00642064" w:rsidP="00642064">
      <w:pPr>
        <w:rPr>
          <w:rFonts w:ascii="Times New Roman" w:hAnsi="Times New Roman" w:cs="Times New Roman"/>
        </w:rPr>
      </w:pPr>
    </w:p>
    <w:p w14:paraId="7D04C936" w14:textId="77777777" w:rsidR="00902157" w:rsidRPr="000578FE" w:rsidRDefault="00902157" w:rsidP="007157D7">
      <w:pPr>
        <w:pStyle w:val="Nadpis3"/>
        <w:keepNext w:val="0"/>
        <w:keepLines w:val="0"/>
        <w:numPr>
          <w:ilvl w:val="2"/>
          <w:numId w:val="16"/>
        </w:numPr>
        <w:ind w:left="1276" w:hanging="567"/>
        <w:rPr>
          <w:rFonts w:ascii="Times New Roman" w:hAnsi="Times New Roman" w:cs="Times New Roman"/>
          <w:color w:val="auto"/>
        </w:rPr>
      </w:pPr>
      <w:bookmarkStart w:id="84" w:name="_Toc480547258"/>
      <w:r w:rsidRPr="000578FE">
        <w:rPr>
          <w:rFonts w:ascii="Times New Roman" w:hAnsi="Times New Roman" w:cs="Times New Roman"/>
          <w:color w:val="auto"/>
        </w:rPr>
        <w:t>Meranie a vyúčtovanie (články 9 až 11 SEE)</w:t>
      </w:r>
      <w:bookmarkEnd w:id="84"/>
    </w:p>
    <w:p w14:paraId="4BDE6D91" w14:textId="77777777" w:rsidR="003932FA" w:rsidRPr="009F2998" w:rsidRDefault="003932FA" w:rsidP="00B56904">
      <w:pPr>
        <w:rPr>
          <w:rFonts w:ascii="Times New Roman" w:hAnsi="Times New Roman" w:cs="Times New Roman"/>
          <w:highlight w:val="yellow"/>
        </w:rPr>
      </w:pPr>
    </w:p>
    <w:p w14:paraId="05E7C5C1" w14:textId="6C67B1CF" w:rsidR="00B56904" w:rsidRPr="000745A8" w:rsidRDefault="005D5525" w:rsidP="008C48EE">
      <w:pPr>
        <w:jc w:val="both"/>
        <w:rPr>
          <w:rFonts w:ascii="Times New Roman" w:hAnsi="Times New Roman" w:cs="Times New Roman"/>
          <w:sz w:val="24"/>
          <w:szCs w:val="24"/>
        </w:rPr>
      </w:pPr>
      <w:r w:rsidRPr="000745A8">
        <w:rPr>
          <w:rFonts w:ascii="Times New Roman" w:hAnsi="Times New Roman" w:cs="Times New Roman"/>
          <w:sz w:val="24"/>
          <w:szCs w:val="24"/>
        </w:rPr>
        <w:t xml:space="preserve">Požiadavky na meranie a vyúčtovanie jednotlivých foriem energie sú ustanovené v zákone č. 251/2012 Z. z. o energetike a v zákone č. 657/2004 Z. z. o tepelnej energetike. </w:t>
      </w:r>
      <w:r w:rsidR="003932FA" w:rsidRPr="000745A8">
        <w:rPr>
          <w:rFonts w:ascii="Times New Roman" w:hAnsi="Times New Roman" w:cs="Times New Roman"/>
          <w:sz w:val="24"/>
          <w:szCs w:val="24"/>
        </w:rPr>
        <w:t>Podmienky regulácie pre elektroenergetiku, plynárenstvo a tepelnú energetiku ustanovuje zákon č. 250/2012 Z. z. o regulácii v sieťových odvetviach.</w:t>
      </w:r>
    </w:p>
    <w:p w14:paraId="74339660" w14:textId="77777777" w:rsidR="00B50D0E" w:rsidRPr="009F2998" w:rsidRDefault="00B50D0E" w:rsidP="008C48EE">
      <w:pPr>
        <w:jc w:val="both"/>
        <w:rPr>
          <w:rFonts w:ascii="Times New Roman" w:hAnsi="Times New Roman" w:cs="Times New Roman"/>
        </w:rPr>
      </w:pPr>
    </w:p>
    <w:p w14:paraId="3BA8286F" w14:textId="77777777" w:rsidR="00902157" w:rsidRPr="000578FE" w:rsidRDefault="00902157" w:rsidP="007157D7">
      <w:pPr>
        <w:pStyle w:val="Nadpis3"/>
        <w:keepNext w:val="0"/>
        <w:keepLines w:val="0"/>
        <w:numPr>
          <w:ilvl w:val="2"/>
          <w:numId w:val="16"/>
        </w:numPr>
        <w:ind w:left="1276" w:hanging="567"/>
        <w:rPr>
          <w:rFonts w:ascii="Times New Roman" w:hAnsi="Times New Roman" w:cs="Times New Roman"/>
          <w:color w:val="auto"/>
        </w:rPr>
      </w:pPr>
      <w:bookmarkStart w:id="85" w:name="_Toc480547259"/>
      <w:r w:rsidRPr="000578FE">
        <w:rPr>
          <w:rFonts w:ascii="Times New Roman" w:hAnsi="Times New Roman" w:cs="Times New Roman"/>
          <w:color w:val="auto"/>
        </w:rPr>
        <w:t>Programy na informovanie a odborná príprava pre spotrebiteľov (články 12 a 17 SEE)</w:t>
      </w:r>
      <w:bookmarkEnd w:id="85"/>
    </w:p>
    <w:p w14:paraId="3AF6504B" w14:textId="77777777" w:rsidR="002E09E2" w:rsidRPr="007345A8" w:rsidRDefault="002E09E2" w:rsidP="007577DE">
      <w:pPr>
        <w:jc w:val="both"/>
        <w:rPr>
          <w:rFonts w:ascii="Times New Roman" w:hAnsi="Times New Roman" w:cs="Times New Roman"/>
        </w:rPr>
      </w:pPr>
    </w:p>
    <w:p w14:paraId="560CE47F" w14:textId="59EE8E27" w:rsidR="00BE27E4" w:rsidRPr="000745A8" w:rsidRDefault="00BE27E4" w:rsidP="007577DE">
      <w:pPr>
        <w:jc w:val="both"/>
        <w:rPr>
          <w:rFonts w:ascii="Times New Roman" w:hAnsi="Times New Roman" w:cs="Times New Roman"/>
          <w:sz w:val="24"/>
          <w:szCs w:val="24"/>
        </w:rPr>
      </w:pPr>
      <w:r w:rsidRPr="000745A8">
        <w:rPr>
          <w:rFonts w:ascii="Times New Roman" w:hAnsi="Times New Roman" w:cs="Times New Roman"/>
          <w:sz w:val="24"/>
          <w:szCs w:val="24"/>
        </w:rPr>
        <w:t>V roku 2009 začala SIEA realizovať národný projekt pod názvom „Podpora osvety a</w:t>
      </w:r>
      <w:r w:rsidR="00B73547" w:rsidRPr="007577DE">
        <w:rPr>
          <w:rFonts w:ascii="Times New Roman" w:hAnsi="Times New Roman" w:cs="Times New Roman"/>
          <w:sz w:val="24"/>
          <w:szCs w:val="24"/>
        </w:rPr>
        <w:t xml:space="preserve"> </w:t>
      </w:r>
      <w:r w:rsidRPr="007577DE">
        <w:rPr>
          <w:rFonts w:ascii="Times New Roman" w:hAnsi="Times New Roman" w:cs="Times New Roman"/>
          <w:sz w:val="24"/>
          <w:szCs w:val="24"/>
        </w:rPr>
        <w:t>poradenstva v rámci efektívneho využívania energie a využívania obnoviteľných zdrojov</w:t>
      </w:r>
      <w:r w:rsidR="00B73547" w:rsidRPr="007577DE">
        <w:rPr>
          <w:rFonts w:ascii="Times New Roman" w:hAnsi="Times New Roman" w:cs="Times New Roman"/>
          <w:sz w:val="24"/>
          <w:szCs w:val="24"/>
        </w:rPr>
        <w:t xml:space="preserve"> </w:t>
      </w:r>
      <w:r w:rsidRPr="007577DE">
        <w:rPr>
          <w:rFonts w:ascii="Times New Roman" w:hAnsi="Times New Roman" w:cs="Times New Roman"/>
          <w:sz w:val="24"/>
          <w:szCs w:val="24"/>
        </w:rPr>
        <w:t xml:space="preserve">energie, vrátane zvýšenia informovanosti širokej </w:t>
      </w:r>
      <w:r w:rsidRPr="007C62A8">
        <w:rPr>
          <w:rFonts w:ascii="Times New Roman" w:hAnsi="Times New Roman" w:cs="Times New Roman"/>
          <w:sz w:val="24"/>
          <w:szCs w:val="24"/>
        </w:rPr>
        <w:t>verejnosti“</w:t>
      </w:r>
      <w:r w:rsidRPr="000745A8">
        <w:rPr>
          <w:rFonts w:ascii="Times New Roman" w:hAnsi="Times New Roman" w:cs="Times New Roman"/>
          <w:sz w:val="24"/>
          <w:szCs w:val="24"/>
        </w:rPr>
        <w:t>.</w:t>
      </w:r>
      <w:r w:rsidR="00B73547" w:rsidRPr="000745A8">
        <w:rPr>
          <w:rFonts w:ascii="Times New Roman" w:hAnsi="Times New Roman" w:cs="Times New Roman"/>
          <w:sz w:val="24"/>
          <w:szCs w:val="24"/>
        </w:rPr>
        <w:t xml:space="preserve"> I</w:t>
      </w:r>
      <w:r w:rsidRPr="000745A8">
        <w:rPr>
          <w:rFonts w:ascii="Times New Roman" w:hAnsi="Times New Roman" w:cs="Times New Roman"/>
          <w:sz w:val="24"/>
          <w:szCs w:val="24"/>
        </w:rPr>
        <w:t>mplementovaný bol prostredníctvom OP Konkurencieschopnosť a hospodársky rast. Jeho</w:t>
      </w:r>
      <w:r w:rsidR="00B73547" w:rsidRPr="000745A8">
        <w:rPr>
          <w:rFonts w:ascii="Times New Roman" w:hAnsi="Times New Roman" w:cs="Times New Roman"/>
          <w:sz w:val="24"/>
          <w:szCs w:val="24"/>
        </w:rPr>
        <w:t xml:space="preserve"> </w:t>
      </w:r>
      <w:r w:rsidRPr="000745A8">
        <w:rPr>
          <w:rFonts w:ascii="Times New Roman" w:hAnsi="Times New Roman" w:cs="Times New Roman"/>
          <w:sz w:val="24"/>
          <w:szCs w:val="24"/>
        </w:rPr>
        <w:t>implementácia bola úspešne skončená 31.12.2015. Cieľom projektu bolo zvýšiť mieru a</w:t>
      </w:r>
      <w:r w:rsidR="00B73547" w:rsidRPr="000745A8">
        <w:rPr>
          <w:rFonts w:ascii="Times New Roman" w:hAnsi="Times New Roman" w:cs="Times New Roman"/>
          <w:sz w:val="24"/>
          <w:szCs w:val="24"/>
        </w:rPr>
        <w:t xml:space="preserve"> </w:t>
      </w:r>
      <w:r w:rsidRPr="000745A8">
        <w:rPr>
          <w:rFonts w:ascii="Times New Roman" w:hAnsi="Times New Roman" w:cs="Times New Roman"/>
          <w:sz w:val="24"/>
          <w:szCs w:val="24"/>
        </w:rPr>
        <w:t>kvalitu informovanosti širokej verejnosti o efektívnom využívaní energie a</w:t>
      </w:r>
      <w:r w:rsidR="00B73547" w:rsidRPr="000745A8">
        <w:rPr>
          <w:rFonts w:ascii="Times New Roman" w:hAnsi="Times New Roman" w:cs="Times New Roman"/>
          <w:sz w:val="24"/>
          <w:szCs w:val="24"/>
        </w:rPr>
        <w:t> </w:t>
      </w:r>
      <w:r w:rsidRPr="000745A8">
        <w:rPr>
          <w:rFonts w:ascii="Times New Roman" w:hAnsi="Times New Roman" w:cs="Times New Roman"/>
          <w:sz w:val="24"/>
          <w:szCs w:val="24"/>
        </w:rPr>
        <w:t>využívaní</w:t>
      </w:r>
      <w:r w:rsidR="00B73547" w:rsidRPr="000745A8">
        <w:rPr>
          <w:rFonts w:ascii="Times New Roman" w:hAnsi="Times New Roman" w:cs="Times New Roman"/>
          <w:sz w:val="24"/>
          <w:szCs w:val="24"/>
        </w:rPr>
        <w:t xml:space="preserve"> </w:t>
      </w:r>
      <w:r w:rsidRPr="000745A8">
        <w:rPr>
          <w:rFonts w:ascii="Times New Roman" w:hAnsi="Times New Roman" w:cs="Times New Roman"/>
          <w:sz w:val="24"/>
          <w:szCs w:val="24"/>
        </w:rPr>
        <w:t>obnoviteľných zdrojov energie. Projekt bol zameraný na poskytovanie odborného</w:t>
      </w:r>
      <w:r w:rsidR="00B73547" w:rsidRPr="000745A8">
        <w:rPr>
          <w:rFonts w:ascii="Times New Roman" w:hAnsi="Times New Roman" w:cs="Times New Roman"/>
          <w:sz w:val="24"/>
          <w:szCs w:val="24"/>
        </w:rPr>
        <w:t xml:space="preserve"> </w:t>
      </w:r>
      <w:r w:rsidRPr="000745A8">
        <w:rPr>
          <w:rFonts w:ascii="Times New Roman" w:hAnsi="Times New Roman" w:cs="Times New Roman"/>
          <w:sz w:val="24"/>
          <w:szCs w:val="24"/>
        </w:rPr>
        <w:t>energetického poradenstva najmä pre domácnosti, verejný sektor, podnikateľov a študentov.</w:t>
      </w:r>
      <w:r w:rsidR="00B73547" w:rsidRPr="000745A8">
        <w:rPr>
          <w:rFonts w:ascii="Times New Roman" w:hAnsi="Times New Roman" w:cs="Times New Roman"/>
          <w:sz w:val="24"/>
          <w:szCs w:val="24"/>
        </w:rPr>
        <w:t xml:space="preserve"> </w:t>
      </w:r>
      <w:r w:rsidRPr="000745A8">
        <w:rPr>
          <w:rFonts w:ascii="Times New Roman" w:hAnsi="Times New Roman" w:cs="Times New Roman"/>
          <w:sz w:val="24"/>
          <w:szCs w:val="24"/>
        </w:rPr>
        <w:t>V rámci národného projektu boli v Trenčíne, v Banskej Bystrici a v Košiciach zriadené</w:t>
      </w:r>
      <w:r w:rsidR="00B73547" w:rsidRPr="000745A8">
        <w:rPr>
          <w:rFonts w:ascii="Times New Roman" w:hAnsi="Times New Roman" w:cs="Times New Roman"/>
          <w:sz w:val="24"/>
          <w:szCs w:val="24"/>
        </w:rPr>
        <w:t xml:space="preserve"> </w:t>
      </w:r>
      <w:r w:rsidRPr="000745A8">
        <w:rPr>
          <w:rFonts w:ascii="Times New Roman" w:hAnsi="Times New Roman" w:cs="Times New Roman"/>
          <w:sz w:val="24"/>
          <w:szCs w:val="24"/>
        </w:rPr>
        <w:t>poradenské centrá ŽIŤ ENERGIOU, v ktorých sú záujemcom poskytované bezplatné</w:t>
      </w:r>
      <w:r w:rsidR="00B73547" w:rsidRPr="000745A8">
        <w:rPr>
          <w:rFonts w:ascii="Times New Roman" w:hAnsi="Times New Roman" w:cs="Times New Roman"/>
          <w:sz w:val="24"/>
          <w:szCs w:val="24"/>
        </w:rPr>
        <w:t xml:space="preserve"> </w:t>
      </w:r>
      <w:r w:rsidRPr="000745A8">
        <w:rPr>
          <w:rFonts w:ascii="Times New Roman" w:hAnsi="Times New Roman" w:cs="Times New Roman"/>
          <w:sz w:val="24"/>
          <w:szCs w:val="24"/>
        </w:rPr>
        <w:t xml:space="preserve">konzultácie. Rady možno získať </w:t>
      </w:r>
      <w:r w:rsidR="00B73547" w:rsidRPr="000745A8">
        <w:rPr>
          <w:rFonts w:ascii="Times New Roman" w:hAnsi="Times New Roman" w:cs="Times New Roman"/>
          <w:sz w:val="24"/>
          <w:szCs w:val="24"/>
        </w:rPr>
        <w:t xml:space="preserve">osobne, e </w:t>
      </w:r>
      <w:r w:rsidRPr="000745A8">
        <w:rPr>
          <w:rFonts w:ascii="Times New Roman" w:hAnsi="Times New Roman" w:cs="Times New Roman"/>
          <w:sz w:val="24"/>
          <w:szCs w:val="24"/>
        </w:rPr>
        <w:t>mailom alebo prostredníctvom bezplatnej</w:t>
      </w:r>
      <w:r w:rsidR="00B73547" w:rsidRPr="000745A8">
        <w:rPr>
          <w:rFonts w:ascii="Times New Roman" w:hAnsi="Times New Roman" w:cs="Times New Roman"/>
          <w:sz w:val="24"/>
          <w:szCs w:val="24"/>
        </w:rPr>
        <w:t xml:space="preserve"> </w:t>
      </w:r>
      <w:r w:rsidRPr="000745A8">
        <w:rPr>
          <w:rFonts w:ascii="Times New Roman" w:hAnsi="Times New Roman" w:cs="Times New Roman"/>
          <w:sz w:val="24"/>
          <w:szCs w:val="24"/>
        </w:rPr>
        <w:t>telefonickej linky. Konzultanti z poradenských centier, energetickí experti a</w:t>
      </w:r>
      <w:r w:rsidR="00B73547" w:rsidRPr="000745A8">
        <w:rPr>
          <w:rFonts w:ascii="Times New Roman" w:hAnsi="Times New Roman" w:cs="Times New Roman"/>
          <w:sz w:val="24"/>
          <w:szCs w:val="24"/>
        </w:rPr>
        <w:t> </w:t>
      </w:r>
      <w:r w:rsidRPr="000745A8">
        <w:rPr>
          <w:rFonts w:ascii="Times New Roman" w:hAnsi="Times New Roman" w:cs="Times New Roman"/>
          <w:sz w:val="24"/>
          <w:szCs w:val="24"/>
        </w:rPr>
        <w:t>odbor</w:t>
      </w:r>
      <w:r w:rsidR="00B73547" w:rsidRPr="000745A8">
        <w:rPr>
          <w:rFonts w:ascii="Times New Roman" w:hAnsi="Times New Roman" w:cs="Times New Roman"/>
          <w:sz w:val="24"/>
          <w:szCs w:val="24"/>
        </w:rPr>
        <w:t xml:space="preserve"> </w:t>
      </w:r>
      <w:r w:rsidRPr="000745A8">
        <w:rPr>
          <w:rFonts w:ascii="Times New Roman" w:hAnsi="Times New Roman" w:cs="Times New Roman"/>
          <w:sz w:val="24"/>
          <w:szCs w:val="24"/>
        </w:rPr>
        <w:t xml:space="preserve">komunikácie a medzinárodnej spolupráce SIEA poskytovali </w:t>
      </w:r>
      <w:r w:rsidRPr="000745A8">
        <w:rPr>
          <w:rFonts w:ascii="Times New Roman" w:hAnsi="Times New Roman" w:cs="Times New Roman"/>
          <w:sz w:val="24"/>
          <w:szCs w:val="24"/>
        </w:rPr>
        <w:lastRenderedPageBreak/>
        <w:t>bezplatné energetické</w:t>
      </w:r>
      <w:r w:rsidR="00B73547" w:rsidRPr="000745A8">
        <w:rPr>
          <w:rFonts w:ascii="Times New Roman" w:hAnsi="Times New Roman" w:cs="Times New Roman"/>
          <w:sz w:val="24"/>
          <w:szCs w:val="24"/>
        </w:rPr>
        <w:t xml:space="preserve"> </w:t>
      </w:r>
      <w:r w:rsidRPr="000745A8">
        <w:rPr>
          <w:rFonts w:ascii="Times New Roman" w:hAnsi="Times New Roman" w:cs="Times New Roman"/>
          <w:sz w:val="24"/>
          <w:szCs w:val="24"/>
        </w:rPr>
        <w:t>poradenstvo a konzultácie zástupcom verejného sektora, podnikateľom a občanom v</w:t>
      </w:r>
      <w:r w:rsidR="00B73547" w:rsidRPr="000745A8">
        <w:rPr>
          <w:rFonts w:ascii="Times New Roman" w:hAnsi="Times New Roman" w:cs="Times New Roman"/>
          <w:sz w:val="24"/>
          <w:szCs w:val="24"/>
        </w:rPr>
        <w:t xml:space="preserve"> </w:t>
      </w:r>
      <w:r w:rsidRPr="000745A8">
        <w:rPr>
          <w:rFonts w:ascii="Times New Roman" w:hAnsi="Times New Roman" w:cs="Times New Roman"/>
          <w:sz w:val="24"/>
          <w:szCs w:val="24"/>
        </w:rPr>
        <w:t>poradenských centrách, na výstavách a rôznych podujatiach. Ich konzultácie využili tisícky</w:t>
      </w:r>
      <w:r w:rsidR="00B73547" w:rsidRPr="000745A8">
        <w:rPr>
          <w:rFonts w:ascii="Times New Roman" w:hAnsi="Times New Roman" w:cs="Times New Roman"/>
          <w:sz w:val="24"/>
          <w:szCs w:val="24"/>
        </w:rPr>
        <w:t xml:space="preserve"> záujemcov. </w:t>
      </w:r>
    </w:p>
    <w:p w14:paraId="07E4CE2D" w14:textId="552A8E23" w:rsidR="00BE27E4" w:rsidRPr="000745A8" w:rsidRDefault="00BE27E4" w:rsidP="007577DE">
      <w:pPr>
        <w:jc w:val="both"/>
        <w:rPr>
          <w:rFonts w:ascii="Times New Roman" w:hAnsi="Times New Roman" w:cs="Times New Roman"/>
          <w:sz w:val="24"/>
          <w:szCs w:val="24"/>
        </w:rPr>
      </w:pPr>
      <w:r w:rsidRPr="000745A8">
        <w:rPr>
          <w:rFonts w:ascii="Times New Roman" w:hAnsi="Times New Roman" w:cs="Times New Roman"/>
          <w:sz w:val="24"/>
          <w:szCs w:val="24"/>
        </w:rPr>
        <w:t>Súčasťou projektu bola aj príprava a vydávanie tlačovín o energetických úsporách a</w:t>
      </w:r>
      <w:r w:rsidR="00B73547" w:rsidRPr="000745A8">
        <w:rPr>
          <w:rFonts w:ascii="Times New Roman" w:hAnsi="Times New Roman" w:cs="Times New Roman"/>
          <w:sz w:val="24"/>
          <w:szCs w:val="24"/>
        </w:rPr>
        <w:t> </w:t>
      </w:r>
      <w:r w:rsidRPr="000745A8">
        <w:rPr>
          <w:rFonts w:ascii="Times New Roman" w:hAnsi="Times New Roman" w:cs="Times New Roman"/>
          <w:sz w:val="24"/>
          <w:szCs w:val="24"/>
        </w:rPr>
        <w:t>využívaní</w:t>
      </w:r>
      <w:r w:rsidR="00B73547" w:rsidRPr="000745A8">
        <w:rPr>
          <w:rFonts w:ascii="Times New Roman" w:hAnsi="Times New Roman" w:cs="Times New Roman"/>
          <w:sz w:val="24"/>
          <w:szCs w:val="24"/>
        </w:rPr>
        <w:t xml:space="preserve"> </w:t>
      </w:r>
      <w:r w:rsidRPr="000745A8">
        <w:rPr>
          <w:rFonts w:ascii="Times New Roman" w:hAnsi="Times New Roman" w:cs="Times New Roman"/>
          <w:sz w:val="24"/>
          <w:szCs w:val="24"/>
        </w:rPr>
        <w:t xml:space="preserve">OZE. </w:t>
      </w:r>
      <w:r w:rsidR="00B73547" w:rsidRPr="000745A8">
        <w:rPr>
          <w:rFonts w:ascii="Times New Roman" w:hAnsi="Times New Roman" w:cs="Times New Roman"/>
          <w:sz w:val="24"/>
          <w:szCs w:val="24"/>
        </w:rPr>
        <w:t xml:space="preserve"> </w:t>
      </w:r>
      <w:r w:rsidRPr="000745A8">
        <w:rPr>
          <w:rFonts w:ascii="Times New Roman" w:hAnsi="Times New Roman" w:cs="Times New Roman"/>
          <w:sz w:val="24"/>
          <w:szCs w:val="24"/>
        </w:rPr>
        <w:t>Vydaný bol rad brožúr a letákov pre rôzne cieľové skupiny, s veľkým záujmom základných</w:t>
      </w:r>
      <w:r w:rsidR="00B73547" w:rsidRPr="000745A8">
        <w:rPr>
          <w:rFonts w:ascii="Times New Roman" w:hAnsi="Times New Roman" w:cs="Times New Roman"/>
          <w:sz w:val="24"/>
          <w:szCs w:val="24"/>
        </w:rPr>
        <w:t xml:space="preserve"> </w:t>
      </w:r>
      <w:r w:rsidRPr="000745A8">
        <w:rPr>
          <w:rFonts w:ascii="Times New Roman" w:hAnsi="Times New Roman" w:cs="Times New Roman"/>
          <w:sz w:val="24"/>
          <w:szCs w:val="24"/>
        </w:rPr>
        <w:t>škôl sa napríklad stretli zakladače s Energetickými experimentmi Rady tety Ety, s</w:t>
      </w:r>
      <w:r w:rsidR="00B73547" w:rsidRPr="000745A8">
        <w:rPr>
          <w:rFonts w:ascii="Times New Roman" w:hAnsi="Times New Roman" w:cs="Times New Roman"/>
          <w:sz w:val="24"/>
          <w:szCs w:val="24"/>
        </w:rPr>
        <w:t> </w:t>
      </w:r>
      <w:r w:rsidRPr="000745A8">
        <w:rPr>
          <w:rFonts w:ascii="Times New Roman" w:hAnsi="Times New Roman" w:cs="Times New Roman"/>
          <w:sz w:val="24"/>
          <w:szCs w:val="24"/>
        </w:rPr>
        <w:t>ktorými</w:t>
      </w:r>
      <w:r w:rsidR="00B73547" w:rsidRPr="000745A8">
        <w:rPr>
          <w:rFonts w:ascii="Times New Roman" w:hAnsi="Times New Roman" w:cs="Times New Roman"/>
          <w:sz w:val="24"/>
          <w:szCs w:val="24"/>
        </w:rPr>
        <w:t xml:space="preserve"> </w:t>
      </w:r>
      <w:r w:rsidRPr="000745A8">
        <w:rPr>
          <w:rFonts w:ascii="Times New Roman" w:hAnsi="Times New Roman" w:cs="Times New Roman"/>
          <w:sz w:val="24"/>
          <w:szCs w:val="24"/>
        </w:rPr>
        <w:t xml:space="preserve">môžu pedagógovia a študenti pracovať priamo na vyučovacích hodinách. </w:t>
      </w:r>
      <w:r w:rsidR="00B73547" w:rsidRPr="000745A8">
        <w:rPr>
          <w:rFonts w:ascii="Times New Roman" w:hAnsi="Times New Roman" w:cs="Times New Roman"/>
          <w:sz w:val="24"/>
          <w:szCs w:val="24"/>
        </w:rPr>
        <w:t xml:space="preserve"> </w:t>
      </w:r>
      <w:r w:rsidRPr="000745A8">
        <w:rPr>
          <w:rFonts w:ascii="Times New Roman" w:hAnsi="Times New Roman" w:cs="Times New Roman"/>
          <w:sz w:val="24"/>
          <w:szCs w:val="24"/>
        </w:rPr>
        <w:t>Pre všetky cieľové skupiny využívajúce energiu bude pokračovať tento projekt poradenstva</w:t>
      </w:r>
      <w:r w:rsidR="00B73547" w:rsidRPr="000745A8">
        <w:rPr>
          <w:rFonts w:ascii="Times New Roman" w:hAnsi="Times New Roman" w:cs="Times New Roman"/>
          <w:sz w:val="24"/>
          <w:szCs w:val="24"/>
        </w:rPr>
        <w:t xml:space="preserve"> </w:t>
      </w:r>
      <w:r w:rsidRPr="000745A8">
        <w:rPr>
          <w:rFonts w:ascii="Times New Roman" w:hAnsi="Times New Roman" w:cs="Times New Roman"/>
          <w:sz w:val="24"/>
          <w:szCs w:val="24"/>
        </w:rPr>
        <w:t>a zvyšovania informovanosti o energeticky efektívnom nízkouhlíkovom hospodárstve</w:t>
      </w:r>
      <w:r w:rsidR="00546CCF" w:rsidRPr="000745A8">
        <w:rPr>
          <w:rFonts w:ascii="Times New Roman" w:hAnsi="Times New Roman" w:cs="Times New Roman"/>
          <w:sz w:val="24"/>
          <w:szCs w:val="24"/>
        </w:rPr>
        <w:t xml:space="preserve"> aj v programovom období</w:t>
      </w:r>
      <w:r w:rsidR="00B73547" w:rsidRPr="000745A8">
        <w:rPr>
          <w:rFonts w:ascii="Times New Roman" w:hAnsi="Times New Roman" w:cs="Times New Roman"/>
          <w:sz w:val="24"/>
          <w:szCs w:val="24"/>
        </w:rPr>
        <w:t xml:space="preserve"> 2014-2020</w:t>
      </w:r>
      <w:r w:rsidR="00546CCF" w:rsidRPr="000745A8">
        <w:rPr>
          <w:rFonts w:ascii="Times New Roman" w:hAnsi="Times New Roman" w:cs="Times New Roman"/>
          <w:sz w:val="24"/>
          <w:szCs w:val="24"/>
        </w:rPr>
        <w:t>.</w:t>
      </w:r>
    </w:p>
    <w:p w14:paraId="2CC19E30" w14:textId="77777777" w:rsidR="00B50D0E" w:rsidRPr="009F2998" w:rsidRDefault="00B50D0E" w:rsidP="008C48EE">
      <w:pPr>
        <w:autoSpaceDE w:val="0"/>
        <w:autoSpaceDN w:val="0"/>
        <w:adjustRightInd w:val="0"/>
        <w:spacing w:after="0" w:line="240" w:lineRule="auto"/>
        <w:jc w:val="both"/>
        <w:rPr>
          <w:rFonts w:ascii="Times New Roman" w:hAnsi="Times New Roman" w:cs="Times New Roman"/>
        </w:rPr>
      </w:pPr>
    </w:p>
    <w:p w14:paraId="3D2401EA" w14:textId="77777777" w:rsidR="00902157" w:rsidRPr="000578FE" w:rsidRDefault="00902157" w:rsidP="007157D7">
      <w:pPr>
        <w:pStyle w:val="Nadpis3"/>
        <w:keepNext w:val="0"/>
        <w:keepLines w:val="0"/>
        <w:numPr>
          <w:ilvl w:val="2"/>
          <w:numId w:val="16"/>
        </w:numPr>
        <w:ind w:left="1276" w:hanging="567"/>
        <w:rPr>
          <w:rFonts w:ascii="Times New Roman" w:hAnsi="Times New Roman" w:cs="Times New Roman"/>
          <w:color w:val="auto"/>
        </w:rPr>
      </w:pPr>
      <w:bookmarkStart w:id="86" w:name="_Toc473638139"/>
      <w:bookmarkStart w:id="87" w:name="_Toc480547260"/>
      <w:bookmarkEnd w:id="86"/>
      <w:r w:rsidRPr="000578FE">
        <w:rPr>
          <w:rFonts w:ascii="Times New Roman" w:hAnsi="Times New Roman" w:cs="Times New Roman"/>
          <w:color w:val="auto"/>
        </w:rPr>
        <w:t>Dostupnosť systémov kvalifikácie, akreditačných a certifikačných systémov (článok 16 SEE)</w:t>
      </w:r>
      <w:bookmarkEnd w:id="87"/>
    </w:p>
    <w:p w14:paraId="53BA0D29" w14:textId="77777777" w:rsidR="00B50D0E" w:rsidRPr="009F2998" w:rsidRDefault="00B50D0E" w:rsidP="00902157">
      <w:pPr>
        <w:pStyle w:val="CM4"/>
        <w:spacing w:before="60" w:after="60"/>
        <w:jc w:val="both"/>
        <w:rPr>
          <w:rFonts w:ascii="Times New Roman" w:hAnsi="Times New Roman" w:cs="Times New Roman"/>
          <w:color w:val="2E74B5" w:themeColor="accent1" w:themeShade="BF"/>
          <w:sz w:val="22"/>
          <w:szCs w:val="22"/>
        </w:rPr>
      </w:pPr>
    </w:p>
    <w:p w14:paraId="3F991EA0" w14:textId="77777777" w:rsidR="00546CCF" w:rsidRPr="000745A8" w:rsidRDefault="00546CCF" w:rsidP="00546CCF">
      <w:pPr>
        <w:spacing w:after="0" w:line="240" w:lineRule="auto"/>
        <w:jc w:val="both"/>
        <w:rPr>
          <w:rFonts w:ascii="Times New Roman" w:hAnsi="Times New Roman" w:cs="Times New Roman"/>
          <w:sz w:val="24"/>
          <w:szCs w:val="24"/>
        </w:rPr>
      </w:pPr>
      <w:r w:rsidRPr="000745A8">
        <w:rPr>
          <w:rFonts w:ascii="Times New Roman" w:hAnsi="Times New Roman" w:cs="Times New Roman"/>
          <w:sz w:val="24"/>
          <w:szCs w:val="24"/>
        </w:rPr>
        <w:t xml:space="preserve">V oblasti energetickej efektívnosti a využívania energie sú v súčasnosti zavedené nasledujúce kvalifikačné schémy: </w:t>
      </w:r>
    </w:p>
    <w:p w14:paraId="7038B9D0" w14:textId="77777777" w:rsidR="00546CCF" w:rsidRPr="000745A8" w:rsidRDefault="00546CCF" w:rsidP="00546CCF">
      <w:pPr>
        <w:pStyle w:val="Odsekzoznamu"/>
        <w:numPr>
          <w:ilvl w:val="0"/>
          <w:numId w:val="2"/>
        </w:numPr>
        <w:spacing w:after="0" w:line="240" w:lineRule="auto"/>
        <w:jc w:val="both"/>
        <w:rPr>
          <w:rFonts w:ascii="Times New Roman" w:hAnsi="Times New Roman" w:cs="Times New Roman"/>
          <w:sz w:val="24"/>
          <w:szCs w:val="24"/>
        </w:rPr>
      </w:pPr>
      <w:r w:rsidRPr="000745A8">
        <w:rPr>
          <w:rFonts w:ascii="Times New Roman" w:hAnsi="Times New Roman" w:cs="Times New Roman"/>
          <w:sz w:val="24"/>
          <w:szCs w:val="24"/>
        </w:rPr>
        <w:t>Zákon č. 321/2014 Z. z. o energetickej efektívnosti – energetický audítor, poskytovateľ garantovanej energetickej služby</w:t>
      </w:r>
    </w:p>
    <w:p w14:paraId="4B3D4AA9" w14:textId="77777777" w:rsidR="00546CCF" w:rsidRPr="000745A8" w:rsidRDefault="00546CCF" w:rsidP="00546CCF">
      <w:pPr>
        <w:pStyle w:val="Odsekzoznamu"/>
        <w:numPr>
          <w:ilvl w:val="0"/>
          <w:numId w:val="2"/>
        </w:numPr>
        <w:spacing w:after="0" w:line="240" w:lineRule="auto"/>
        <w:jc w:val="both"/>
        <w:rPr>
          <w:rFonts w:ascii="Times New Roman" w:hAnsi="Times New Roman" w:cs="Times New Roman"/>
          <w:sz w:val="24"/>
          <w:szCs w:val="24"/>
        </w:rPr>
      </w:pPr>
      <w:r w:rsidRPr="000745A8">
        <w:rPr>
          <w:rFonts w:ascii="Times New Roman" w:hAnsi="Times New Roman" w:cs="Times New Roman"/>
          <w:sz w:val="24"/>
          <w:szCs w:val="24"/>
        </w:rPr>
        <w:t xml:space="preserve">Zákon č. 251/2012 Z. z. o energetike v znení neskorších predpisov – odborne spôsobilá osoba pre podnikanie v energetike </w:t>
      </w:r>
    </w:p>
    <w:p w14:paraId="09661708" w14:textId="77777777" w:rsidR="00546CCF" w:rsidRPr="000745A8" w:rsidRDefault="00546CCF" w:rsidP="00546CCF">
      <w:pPr>
        <w:pStyle w:val="Odsekzoznamu"/>
        <w:numPr>
          <w:ilvl w:val="0"/>
          <w:numId w:val="2"/>
        </w:numPr>
        <w:spacing w:after="0" w:line="240" w:lineRule="auto"/>
        <w:jc w:val="both"/>
        <w:rPr>
          <w:rFonts w:ascii="Times New Roman" w:hAnsi="Times New Roman" w:cs="Times New Roman"/>
          <w:sz w:val="24"/>
          <w:szCs w:val="24"/>
        </w:rPr>
      </w:pPr>
      <w:r w:rsidRPr="000745A8">
        <w:rPr>
          <w:rFonts w:ascii="Times New Roman" w:hAnsi="Times New Roman" w:cs="Times New Roman"/>
          <w:sz w:val="24"/>
          <w:szCs w:val="24"/>
        </w:rPr>
        <w:t>Zákon č. 657/2004 Z. z. o tepelnej energetike v znení neskorších predpisov - odborne spôsobilá osoba pre podnikanie v tepelnej energetike</w:t>
      </w:r>
    </w:p>
    <w:p w14:paraId="2C8E3505" w14:textId="77777777" w:rsidR="00546CCF" w:rsidRPr="000745A8" w:rsidRDefault="00546CCF" w:rsidP="00546CCF">
      <w:pPr>
        <w:pStyle w:val="Odsekzoznamu"/>
        <w:numPr>
          <w:ilvl w:val="0"/>
          <w:numId w:val="2"/>
        </w:numPr>
        <w:spacing w:after="0" w:line="240" w:lineRule="auto"/>
        <w:jc w:val="both"/>
        <w:rPr>
          <w:rFonts w:ascii="Times New Roman" w:hAnsi="Times New Roman" w:cs="Times New Roman"/>
          <w:sz w:val="24"/>
          <w:szCs w:val="24"/>
        </w:rPr>
      </w:pPr>
      <w:r w:rsidRPr="000745A8">
        <w:rPr>
          <w:rFonts w:ascii="Times New Roman" w:hAnsi="Times New Roman" w:cs="Times New Roman"/>
          <w:sz w:val="24"/>
          <w:szCs w:val="24"/>
        </w:rPr>
        <w:t xml:space="preserve">Zákon č. 309/2009 Z. z. o podpore obnoviteľných zdrojov energie v znení neskorších predpisov – inštalatér OZE v budovách </w:t>
      </w:r>
    </w:p>
    <w:p w14:paraId="6694D39C" w14:textId="2406740C" w:rsidR="00546CCF" w:rsidRPr="000745A8" w:rsidRDefault="00546CCF" w:rsidP="00546CCF">
      <w:pPr>
        <w:pStyle w:val="Odsekzoznamu"/>
        <w:numPr>
          <w:ilvl w:val="0"/>
          <w:numId w:val="2"/>
        </w:numPr>
        <w:spacing w:after="0" w:line="240" w:lineRule="auto"/>
        <w:jc w:val="both"/>
        <w:rPr>
          <w:rFonts w:ascii="Times New Roman" w:hAnsi="Times New Roman" w:cs="Times New Roman"/>
          <w:sz w:val="24"/>
          <w:szCs w:val="24"/>
        </w:rPr>
      </w:pPr>
      <w:r w:rsidRPr="000745A8">
        <w:rPr>
          <w:rFonts w:ascii="Times New Roman" w:hAnsi="Times New Roman" w:cs="Times New Roman"/>
          <w:sz w:val="24"/>
          <w:szCs w:val="24"/>
        </w:rPr>
        <w:t>Zákon č. 476/2008 Z. z. o energetickej efektívnosti – energetický audítor</w:t>
      </w:r>
      <w:r w:rsidR="00DF3E6E" w:rsidRPr="000745A8">
        <w:rPr>
          <w:rFonts w:ascii="Times New Roman" w:hAnsi="Times New Roman" w:cs="Times New Roman"/>
          <w:sz w:val="24"/>
          <w:szCs w:val="24"/>
        </w:rPr>
        <w:t xml:space="preserve"> (zmena zákonom č. 321/2014 Z. z.)</w:t>
      </w:r>
    </w:p>
    <w:p w14:paraId="7686FCDB" w14:textId="77777777" w:rsidR="00546CCF" w:rsidRPr="000745A8" w:rsidRDefault="00546CCF" w:rsidP="00546CCF">
      <w:pPr>
        <w:pStyle w:val="Odsekzoznamu"/>
        <w:numPr>
          <w:ilvl w:val="0"/>
          <w:numId w:val="2"/>
        </w:numPr>
        <w:spacing w:after="0" w:line="240" w:lineRule="auto"/>
        <w:jc w:val="both"/>
        <w:rPr>
          <w:rFonts w:ascii="Times New Roman" w:hAnsi="Times New Roman" w:cs="Times New Roman"/>
          <w:sz w:val="24"/>
          <w:szCs w:val="24"/>
        </w:rPr>
      </w:pPr>
      <w:r w:rsidRPr="000745A8">
        <w:rPr>
          <w:rFonts w:ascii="Times New Roman" w:hAnsi="Times New Roman" w:cs="Times New Roman"/>
          <w:sz w:val="24"/>
          <w:szCs w:val="24"/>
        </w:rPr>
        <w:t>Zákon č. 555/2005 Z. z. o energetickej hospodárnosti budov v znení neskorších predpisov – odborne spôsobilá osoba pre energetickú certifikáciu budov</w:t>
      </w:r>
    </w:p>
    <w:p w14:paraId="339F610F" w14:textId="77777777" w:rsidR="00546CCF" w:rsidRPr="000745A8" w:rsidRDefault="00546CCF" w:rsidP="00546CCF">
      <w:pPr>
        <w:pStyle w:val="Odsekzoznamu"/>
        <w:numPr>
          <w:ilvl w:val="0"/>
          <w:numId w:val="2"/>
        </w:numPr>
        <w:spacing w:after="0" w:line="240" w:lineRule="auto"/>
        <w:jc w:val="both"/>
        <w:rPr>
          <w:rFonts w:ascii="Times New Roman" w:hAnsi="Times New Roman" w:cs="Times New Roman"/>
          <w:sz w:val="24"/>
          <w:szCs w:val="24"/>
        </w:rPr>
      </w:pPr>
      <w:r w:rsidRPr="000745A8">
        <w:rPr>
          <w:rFonts w:ascii="Times New Roman" w:hAnsi="Times New Roman" w:cs="Times New Roman"/>
          <w:sz w:val="24"/>
          <w:szCs w:val="24"/>
        </w:rPr>
        <w:t xml:space="preserve">Zákon č. 50/1976 Z. z. o územnom plánovaní a stavebnom poriadku (stavebný zákon) v znení neskorších predpisov – všeobecné ustanovenie o potrebe odbornej kvalifikácie pri výkone určitých stavebných prác. </w:t>
      </w:r>
    </w:p>
    <w:p w14:paraId="045B4DE6" w14:textId="77777777" w:rsidR="00546CCF" w:rsidRPr="000745A8" w:rsidRDefault="00546CCF" w:rsidP="00546CCF">
      <w:pPr>
        <w:spacing w:after="0" w:line="240" w:lineRule="auto"/>
        <w:rPr>
          <w:rFonts w:ascii="Times New Roman" w:hAnsi="Times New Roman" w:cs="Times New Roman"/>
          <w:sz w:val="24"/>
          <w:szCs w:val="24"/>
        </w:rPr>
      </w:pPr>
    </w:p>
    <w:p w14:paraId="3DC8350A" w14:textId="77777777" w:rsidR="00546CCF" w:rsidRPr="000745A8" w:rsidRDefault="00546CCF" w:rsidP="00546CCF">
      <w:pPr>
        <w:spacing w:after="0" w:line="240" w:lineRule="auto"/>
        <w:jc w:val="both"/>
        <w:rPr>
          <w:rFonts w:ascii="Times New Roman" w:hAnsi="Times New Roman" w:cs="Times New Roman"/>
          <w:sz w:val="24"/>
          <w:szCs w:val="24"/>
        </w:rPr>
      </w:pPr>
      <w:r w:rsidRPr="000745A8">
        <w:rPr>
          <w:rFonts w:ascii="Times New Roman" w:hAnsi="Times New Roman" w:cs="Times New Roman"/>
          <w:sz w:val="24"/>
          <w:szCs w:val="24"/>
        </w:rPr>
        <w:t>V prípade odbornej spôsobilosti pre energetického audítora a poskytovateľa garantovanej energetickej služby sa vyžaduje odborné vzdelanie, prax a skúška odbornej spôsobilosti. Pre odborne spôsobilé osoby je zavedený systém následného zvyšovania kvalifikácie v intervale 3 až 5 rokov. Systém odbornej kvalifikácie a kontrolu kvality zabezpečuje Slovenská inovačná a energetická agentúra, ktorá vedie zoznamy odborne spôsobilých osôb.</w:t>
      </w:r>
    </w:p>
    <w:p w14:paraId="2397CFB6" w14:textId="77777777" w:rsidR="00B50D0E" w:rsidRPr="009F2998" w:rsidRDefault="00B50D0E" w:rsidP="00546CCF">
      <w:pPr>
        <w:spacing w:after="0" w:line="240" w:lineRule="auto"/>
        <w:jc w:val="both"/>
        <w:rPr>
          <w:rFonts w:ascii="Times New Roman" w:hAnsi="Times New Roman" w:cs="Times New Roman"/>
        </w:rPr>
      </w:pPr>
    </w:p>
    <w:p w14:paraId="260F30C6" w14:textId="35FF638A" w:rsidR="00044016" w:rsidRDefault="00044016">
      <w:pPr>
        <w:rPr>
          <w:rFonts w:ascii="Times New Roman" w:eastAsiaTheme="majorEastAsia" w:hAnsi="Times New Roman" w:cs="Times New Roman"/>
          <w:b/>
          <w:bCs/>
        </w:rPr>
      </w:pPr>
      <w:r>
        <w:rPr>
          <w:rFonts w:ascii="Times New Roman" w:hAnsi="Times New Roman" w:cs="Times New Roman"/>
        </w:rPr>
        <w:br w:type="page"/>
      </w:r>
    </w:p>
    <w:p w14:paraId="579B04F5" w14:textId="56C747BD" w:rsidR="00902157" w:rsidRPr="000578FE" w:rsidRDefault="00902157" w:rsidP="007157D7">
      <w:pPr>
        <w:pStyle w:val="Nadpis3"/>
        <w:keepNext w:val="0"/>
        <w:keepLines w:val="0"/>
        <w:numPr>
          <w:ilvl w:val="2"/>
          <w:numId w:val="16"/>
        </w:numPr>
        <w:ind w:left="1276" w:hanging="567"/>
        <w:rPr>
          <w:rFonts w:ascii="Times New Roman" w:hAnsi="Times New Roman" w:cs="Times New Roman"/>
          <w:color w:val="auto"/>
        </w:rPr>
      </w:pPr>
      <w:bookmarkStart w:id="88" w:name="_Toc480547261"/>
      <w:r w:rsidRPr="000578FE">
        <w:rPr>
          <w:rFonts w:ascii="Times New Roman" w:hAnsi="Times New Roman" w:cs="Times New Roman"/>
          <w:color w:val="auto"/>
        </w:rPr>
        <w:lastRenderedPageBreak/>
        <w:t>Energetické služby (článok 18 SEE)</w:t>
      </w:r>
      <w:bookmarkEnd w:id="88"/>
    </w:p>
    <w:p w14:paraId="132D63E2" w14:textId="77777777" w:rsidR="00546CCF" w:rsidRPr="009F2998" w:rsidRDefault="00546CCF" w:rsidP="003E7C46">
      <w:pPr>
        <w:rPr>
          <w:rFonts w:ascii="Times New Roman" w:hAnsi="Times New Roman" w:cs="Times New Roman"/>
          <w:b/>
          <w:u w:val="single"/>
        </w:rPr>
      </w:pPr>
    </w:p>
    <w:p w14:paraId="15A13AEA" w14:textId="7B07D86F" w:rsidR="003E7C46" w:rsidRPr="000745A8" w:rsidRDefault="003E7C46" w:rsidP="003E7C46">
      <w:pPr>
        <w:jc w:val="both"/>
        <w:rPr>
          <w:rFonts w:ascii="Times New Roman" w:hAnsi="Times New Roman" w:cs="Times New Roman"/>
          <w:sz w:val="24"/>
          <w:szCs w:val="24"/>
        </w:rPr>
      </w:pPr>
      <w:r w:rsidRPr="000745A8">
        <w:rPr>
          <w:rFonts w:ascii="Times New Roman" w:hAnsi="Times New Roman" w:cs="Times New Roman"/>
          <w:sz w:val="24"/>
          <w:szCs w:val="24"/>
        </w:rPr>
        <w:t xml:space="preserve">Energetické služby majú od </w:t>
      </w:r>
      <w:r w:rsidR="00E468BD" w:rsidRPr="000745A8">
        <w:rPr>
          <w:rFonts w:ascii="Times New Roman" w:hAnsi="Times New Roman" w:cs="Times New Roman"/>
          <w:sz w:val="24"/>
          <w:szCs w:val="24"/>
        </w:rPr>
        <w:t>0</w:t>
      </w:r>
      <w:r w:rsidRPr="000745A8">
        <w:rPr>
          <w:rFonts w:ascii="Times New Roman" w:hAnsi="Times New Roman" w:cs="Times New Roman"/>
          <w:sz w:val="24"/>
          <w:szCs w:val="24"/>
        </w:rPr>
        <w:t xml:space="preserve">1.12.2014 legislatívnu podporu v zákone o energetickej efektívnosti. Tento zákon zaviedol v § 15 až 20 celý systém definície a podpory energetických služieb. </w:t>
      </w:r>
    </w:p>
    <w:p w14:paraId="66A035C0" w14:textId="77777777" w:rsidR="003E7C46" w:rsidRPr="000745A8" w:rsidRDefault="003E7C46" w:rsidP="003E7C46">
      <w:pPr>
        <w:autoSpaceDE w:val="0"/>
        <w:autoSpaceDN w:val="0"/>
        <w:adjustRightInd w:val="0"/>
        <w:spacing w:after="0" w:line="240" w:lineRule="auto"/>
        <w:rPr>
          <w:rFonts w:ascii="Times New Roman" w:hAnsi="Times New Roman" w:cs="Times New Roman"/>
          <w:color w:val="231F20"/>
          <w:sz w:val="24"/>
          <w:szCs w:val="24"/>
        </w:rPr>
      </w:pPr>
    </w:p>
    <w:p w14:paraId="2B3AF8B8" w14:textId="5CEA4B3F" w:rsidR="003E7C46" w:rsidRPr="000745A8" w:rsidRDefault="00546CCF" w:rsidP="003E7C46">
      <w:pPr>
        <w:jc w:val="both"/>
        <w:rPr>
          <w:rFonts w:ascii="Times New Roman" w:hAnsi="Times New Roman" w:cs="Times New Roman"/>
          <w:sz w:val="24"/>
          <w:szCs w:val="24"/>
        </w:rPr>
      </w:pPr>
      <w:r w:rsidRPr="000745A8">
        <w:rPr>
          <w:rFonts w:ascii="Times New Roman" w:hAnsi="Times New Roman" w:cs="Times New Roman"/>
          <w:sz w:val="24"/>
          <w:szCs w:val="24"/>
        </w:rPr>
        <w:t xml:space="preserve">MH SR </w:t>
      </w:r>
      <w:r w:rsidR="003E7C46" w:rsidRPr="000745A8">
        <w:rPr>
          <w:rFonts w:ascii="Times New Roman" w:hAnsi="Times New Roman" w:cs="Times New Roman"/>
          <w:sz w:val="24"/>
          <w:szCs w:val="24"/>
        </w:rPr>
        <w:t xml:space="preserve">vedie na svojej webstránke </w:t>
      </w:r>
      <w:hyperlink r:id="rId26" w:history="1">
        <w:r w:rsidR="003E7C46" w:rsidRPr="000745A8">
          <w:rPr>
            <w:rStyle w:val="Hypertextovprepojenie"/>
            <w:rFonts w:ascii="Times New Roman" w:hAnsi="Times New Roman" w:cs="Times New Roman"/>
            <w:sz w:val="24"/>
            <w:szCs w:val="24"/>
          </w:rPr>
          <w:t>http://www.mhsr.sk/poskytovanie-energetickej-sluzby/145697s</w:t>
        </w:r>
      </w:hyperlink>
      <w:r w:rsidR="003E7C46" w:rsidRPr="000745A8">
        <w:rPr>
          <w:rFonts w:ascii="Times New Roman" w:hAnsi="Times New Roman" w:cs="Times New Roman"/>
          <w:sz w:val="24"/>
          <w:szCs w:val="24"/>
        </w:rPr>
        <w:t xml:space="preserve"> zoznam poskytovateľov podpornej energetickej služby. Spôsob zápisu do zoznamu je riešený formou vyhlášky MH SR č. 99/2015 Z. z. o poskytovateľoch podpornej a garantovanej energetickej služby.   </w:t>
      </w:r>
    </w:p>
    <w:p w14:paraId="106468E3" w14:textId="14216E3E" w:rsidR="003E7C46" w:rsidRPr="000745A8" w:rsidRDefault="003E7C46" w:rsidP="003E7C46">
      <w:pPr>
        <w:jc w:val="both"/>
        <w:rPr>
          <w:rFonts w:ascii="Times New Roman" w:hAnsi="Times New Roman" w:cs="Times New Roman"/>
          <w:sz w:val="24"/>
          <w:szCs w:val="24"/>
        </w:rPr>
      </w:pPr>
      <w:r w:rsidRPr="000745A8">
        <w:rPr>
          <w:rFonts w:ascii="Times New Roman" w:hAnsi="Times New Roman" w:cs="Times New Roman"/>
          <w:sz w:val="24"/>
          <w:szCs w:val="24"/>
        </w:rPr>
        <w:t xml:space="preserve">Garantovaná energetická služba </w:t>
      </w:r>
      <w:r w:rsidR="009E33CD" w:rsidRPr="000745A8">
        <w:rPr>
          <w:rFonts w:ascii="Times New Roman" w:hAnsi="Times New Roman" w:cs="Times New Roman"/>
          <w:sz w:val="24"/>
          <w:szCs w:val="24"/>
        </w:rPr>
        <w:t xml:space="preserve">( ďalej aj „GES“) </w:t>
      </w:r>
      <w:r w:rsidRPr="000745A8">
        <w:rPr>
          <w:rFonts w:ascii="Times New Roman" w:hAnsi="Times New Roman" w:cs="Times New Roman"/>
          <w:sz w:val="24"/>
          <w:szCs w:val="24"/>
        </w:rPr>
        <w:t>je energetická služba poskytovaná na základe zmluvy o energetickej efektívnosti s garantovanou úsporou energie, t.</w:t>
      </w:r>
      <w:r w:rsidR="00E468BD" w:rsidRPr="000745A8">
        <w:rPr>
          <w:rFonts w:ascii="Times New Roman" w:hAnsi="Times New Roman" w:cs="Times New Roman"/>
          <w:sz w:val="24"/>
          <w:szCs w:val="24"/>
        </w:rPr>
        <w:t xml:space="preserve"> </w:t>
      </w:r>
      <w:r w:rsidRPr="000745A8">
        <w:rPr>
          <w:rFonts w:ascii="Times New Roman" w:hAnsi="Times New Roman" w:cs="Times New Roman"/>
          <w:sz w:val="24"/>
          <w:szCs w:val="24"/>
        </w:rPr>
        <w:t xml:space="preserve">j. zmluvy o energetickej efektívnosti. Poskytovanie energetickej služby s garantovanou úsporou energie je viazaná živnosť. </w:t>
      </w:r>
      <w:r w:rsidR="00546CCF" w:rsidRPr="000745A8">
        <w:rPr>
          <w:rFonts w:ascii="Times New Roman" w:hAnsi="Times New Roman" w:cs="Times New Roman"/>
          <w:sz w:val="24"/>
          <w:szCs w:val="24"/>
        </w:rPr>
        <w:t xml:space="preserve">MH SR vedie na svojej webstránke </w:t>
      </w:r>
      <w:hyperlink r:id="rId27" w:history="1">
        <w:r w:rsidRPr="000745A8">
          <w:rPr>
            <w:rStyle w:val="Hypertextovprepojenie"/>
            <w:rFonts w:ascii="Times New Roman" w:hAnsi="Times New Roman" w:cs="Times New Roman"/>
            <w:sz w:val="24"/>
            <w:szCs w:val="24"/>
          </w:rPr>
          <w:t>http://www.mhsr.sk/poskytovanie-energetickej-sluzby/145697s</w:t>
        </w:r>
      </w:hyperlink>
      <w:r w:rsidRPr="000745A8">
        <w:rPr>
          <w:rFonts w:ascii="Times New Roman" w:hAnsi="Times New Roman" w:cs="Times New Roman"/>
          <w:sz w:val="24"/>
          <w:szCs w:val="24"/>
        </w:rPr>
        <w:t xml:space="preserve"> </w:t>
      </w:r>
      <w:r w:rsidR="00546CCF" w:rsidRPr="000745A8">
        <w:rPr>
          <w:rFonts w:ascii="Times New Roman" w:hAnsi="Times New Roman" w:cs="Times New Roman"/>
          <w:sz w:val="24"/>
          <w:szCs w:val="24"/>
        </w:rPr>
        <w:t>zoznam poskytovateľov garantovanej energetickej služby.</w:t>
      </w:r>
      <w:r w:rsidRPr="000745A8">
        <w:rPr>
          <w:rFonts w:ascii="Times New Roman" w:hAnsi="Times New Roman" w:cs="Times New Roman"/>
          <w:sz w:val="24"/>
          <w:szCs w:val="24"/>
        </w:rPr>
        <w:t xml:space="preserve"> Spôsob zápisu do zoznamu je riešený formou vyhlášky MH SR č. 99/2015 Z. z. o poskytovateľoch podpornej a garantovanej energetickej služby.   </w:t>
      </w:r>
    </w:p>
    <w:p w14:paraId="043B77D8" w14:textId="6AACD181" w:rsidR="003E7C46" w:rsidRPr="000745A8" w:rsidRDefault="003E7C46" w:rsidP="003E7C46">
      <w:pPr>
        <w:jc w:val="both"/>
        <w:rPr>
          <w:rFonts w:ascii="Times New Roman" w:hAnsi="Times New Roman" w:cs="Times New Roman"/>
          <w:sz w:val="24"/>
          <w:szCs w:val="24"/>
        </w:rPr>
      </w:pPr>
      <w:r w:rsidRPr="000745A8">
        <w:rPr>
          <w:rFonts w:ascii="Times New Roman" w:hAnsi="Times New Roman" w:cs="Times New Roman"/>
          <w:sz w:val="24"/>
          <w:szCs w:val="24"/>
        </w:rPr>
        <w:t xml:space="preserve">Zákon tiež obsahuje povinný obsah zmluvy o energetickej efektívnosti, ak sa poskytovanie energetickej služby dotýka verejného sektora. </w:t>
      </w:r>
      <w:r w:rsidR="00E468BD" w:rsidRPr="000745A8">
        <w:rPr>
          <w:rFonts w:ascii="Times New Roman" w:hAnsi="Times New Roman" w:cs="Times New Roman"/>
          <w:sz w:val="24"/>
          <w:szCs w:val="24"/>
        </w:rPr>
        <w:t xml:space="preserve">Slovenská inovačná a energetická agentúra taktiež vykonáva podporu a osvetu rozvoja energetickej služby. </w:t>
      </w:r>
      <w:r w:rsidRPr="000745A8">
        <w:rPr>
          <w:rFonts w:ascii="Times New Roman" w:hAnsi="Times New Roman" w:cs="Times New Roman"/>
          <w:sz w:val="24"/>
          <w:szCs w:val="24"/>
        </w:rPr>
        <w:t xml:space="preserve">Tiež vykonáva školenie a aktualizačnú odbornú prípravu odbornej spôsobilej osoby na poskytovanie garantovanej energetickej služby. </w:t>
      </w:r>
    </w:p>
    <w:p w14:paraId="701BEF6A" w14:textId="3AB27C2B" w:rsidR="00705B01" w:rsidRDefault="003E7C46" w:rsidP="003E7C46">
      <w:pPr>
        <w:jc w:val="both"/>
        <w:rPr>
          <w:rFonts w:ascii="Times New Roman" w:hAnsi="Times New Roman" w:cs="Times New Roman"/>
          <w:sz w:val="24"/>
          <w:szCs w:val="24"/>
        </w:rPr>
      </w:pPr>
      <w:r w:rsidRPr="000745A8">
        <w:rPr>
          <w:rFonts w:ascii="Times New Roman" w:hAnsi="Times New Roman" w:cs="Times New Roman"/>
          <w:sz w:val="24"/>
          <w:szCs w:val="24"/>
        </w:rPr>
        <w:t>Poskytovatelia energetickej služby majú povinnosť zasielať údaje o </w:t>
      </w:r>
      <w:r w:rsidRPr="00804074">
        <w:rPr>
          <w:rFonts w:ascii="Times New Roman" w:hAnsi="Times New Roman" w:cs="Times New Roman"/>
          <w:sz w:val="24"/>
          <w:szCs w:val="24"/>
        </w:rPr>
        <w:t>vykonan</w:t>
      </w:r>
      <w:r w:rsidR="00804074" w:rsidRPr="00AF5415">
        <w:rPr>
          <w:rFonts w:ascii="Times New Roman" w:hAnsi="Times New Roman" w:cs="Times New Roman"/>
          <w:sz w:val="24"/>
          <w:szCs w:val="24"/>
        </w:rPr>
        <w:t>ých</w:t>
      </w:r>
      <w:r w:rsidRPr="00804074">
        <w:rPr>
          <w:rFonts w:ascii="Times New Roman" w:hAnsi="Times New Roman" w:cs="Times New Roman"/>
          <w:sz w:val="24"/>
          <w:szCs w:val="24"/>
        </w:rPr>
        <w:t xml:space="preserve"> energetick</w:t>
      </w:r>
      <w:r w:rsidR="00804074" w:rsidRPr="00AF5415">
        <w:rPr>
          <w:rFonts w:ascii="Times New Roman" w:hAnsi="Times New Roman" w:cs="Times New Roman"/>
          <w:sz w:val="24"/>
          <w:szCs w:val="24"/>
        </w:rPr>
        <w:t>ých</w:t>
      </w:r>
      <w:r w:rsidRPr="00804074">
        <w:rPr>
          <w:rFonts w:ascii="Times New Roman" w:hAnsi="Times New Roman" w:cs="Times New Roman"/>
          <w:sz w:val="24"/>
          <w:szCs w:val="24"/>
        </w:rPr>
        <w:t xml:space="preserve"> služb</w:t>
      </w:r>
      <w:r w:rsidR="00804074" w:rsidRPr="00AF5415">
        <w:rPr>
          <w:rFonts w:ascii="Times New Roman" w:hAnsi="Times New Roman" w:cs="Times New Roman"/>
          <w:sz w:val="24"/>
          <w:szCs w:val="24"/>
        </w:rPr>
        <w:t>ách</w:t>
      </w:r>
      <w:r w:rsidRPr="000745A8">
        <w:rPr>
          <w:rFonts w:ascii="Times New Roman" w:hAnsi="Times New Roman" w:cs="Times New Roman"/>
          <w:sz w:val="24"/>
          <w:szCs w:val="24"/>
        </w:rPr>
        <w:t xml:space="preserve"> za predchádzajúci kalendárny rok do monitorovacieho systému energetickej efektívnosti</w:t>
      </w:r>
      <w:r w:rsidR="00705B01">
        <w:rPr>
          <w:rFonts w:ascii="Times New Roman" w:hAnsi="Times New Roman" w:cs="Times New Roman"/>
          <w:sz w:val="24"/>
          <w:szCs w:val="24"/>
        </w:rPr>
        <w:t xml:space="preserve"> (pozri tabuľku č. 16)</w:t>
      </w:r>
      <w:r w:rsidRPr="000745A8">
        <w:rPr>
          <w:rFonts w:ascii="Times New Roman" w:hAnsi="Times New Roman" w:cs="Times New Roman"/>
          <w:sz w:val="24"/>
          <w:szCs w:val="24"/>
        </w:rPr>
        <w:t xml:space="preserve">. </w:t>
      </w:r>
    </w:p>
    <w:p w14:paraId="78714FF0" w14:textId="5DF82A8E" w:rsidR="003E7C46" w:rsidRPr="000745A8" w:rsidRDefault="00705B01" w:rsidP="003E7C46">
      <w:pPr>
        <w:jc w:val="both"/>
        <w:rPr>
          <w:rFonts w:ascii="Times New Roman" w:hAnsi="Times New Roman" w:cs="Times New Roman"/>
          <w:sz w:val="24"/>
          <w:szCs w:val="24"/>
        </w:rPr>
      </w:pPr>
      <w:r>
        <w:rPr>
          <w:rFonts w:ascii="Times New Roman" w:hAnsi="Times New Roman" w:cs="Times New Roman"/>
          <w:sz w:val="24"/>
          <w:szCs w:val="24"/>
        </w:rPr>
        <w:t>Tabuľka č. 16: Prehľad o úsporách energie dosiahnutých prostredníctvom energetických služieb</w:t>
      </w:r>
      <w:r w:rsidR="003E7C46" w:rsidRPr="000745A8">
        <w:rPr>
          <w:rFonts w:ascii="Times New Roman" w:hAnsi="Times New Roman" w:cs="Times New Roman"/>
          <w:sz w:val="24"/>
          <w:szCs w:val="24"/>
        </w:rPr>
        <w:t xml:space="preserve"> </w:t>
      </w:r>
    </w:p>
    <w:tbl>
      <w:tblPr>
        <w:tblStyle w:val="Mriekatabuky"/>
        <w:tblW w:w="5000" w:type="pct"/>
        <w:tblLook w:val="04A0" w:firstRow="1" w:lastRow="0" w:firstColumn="1" w:lastColumn="0" w:noHBand="0" w:noVBand="1"/>
      </w:tblPr>
      <w:tblGrid>
        <w:gridCol w:w="5426"/>
        <w:gridCol w:w="1212"/>
        <w:gridCol w:w="1212"/>
        <w:gridCol w:w="1212"/>
      </w:tblGrid>
      <w:tr w:rsidR="00E468BD" w:rsidRPr="009F2998" w14:paraId="560BDEC2" w14:textId="77777777" w:rsidTr="006A71E3">
        <w:tc>
          <w:tcPr>
            <w:tcW w:w="2992" w:type="pct"/>
          </w:tcPr>
          <w:p w14:paraId="2D9268CD" w14:textId="70DDE331" w:rsidR="00E468BD" w:rsidRPr="00AF5415" w:rsidRDefault="00E468BD" w:rsidP="00B60E06">
            <w:pPr>
              <w:autoSpaceDE w:val="0"/>
              <w:autoSpaceDN w:val="0"/>
              <w:adjustRightInd w:val="0"/>
              <w:jc w:val="both"/>
              <w:rPr>
                <w:rFonts w:ascii="Times New Roman" w:hAnsi="Times New Roman" w:cs="Times New Roman"/>
                <w:b/>
              </w:rPr>
            </w:pPr>
            <w:r w:rsidRPr="00AF5415">
              <w:rPr>
                <w:rFonts w:ascii="Times New Roman" w:hAnsi="Times New Roman" w:cs="Times New Roman"/>
                <w:b/>
              </w:rPr>
              <w:t>Energetické služby</w:t>
            </w:r>
            <w:r w:rsidR="0042175E" w:rsidRPr="00AF5415">
              <w:rPr>
                <w:rFonts w:ascii="Times New Roman" w:hAnsi="Times New Roman" w:cs="Times New Roman"/>
                <w:b/>
              </w:rPr>
              <w:t xml:space="preserve"> </w:t>
            </w:r>
            <w:r w:rsidRPr="00AF5415">
              <w:rPr>
                <w:rFonts w:ascii="Times New Roman" w:hAnsi="Times New Roman" w:cs="Times New Roman"/>
                <w:b/>
              </w:rPr>
              <w:t>-</w:t>
            </w:r>
            <w:r w:rsidR="0042175E" w:rsidRPr="00AF5415">
              <w:rPr>
                <w:rFonts w:ascii="Times New Roman" w:hAnsi="Times New Roman" w:cs="Times New Roman"/>
                <w:b/>
              </w:rPr>
              <w:t xml:space="preserve"> </w:t>
            </w:r>
            <w:r w:rsidRPr="00AF5415">
              <w:rPr>
                <w:rFonts w:ascii="Times New Roman" w:hAnsi="Times New Roman" w:cs="Times New Roman"/>
                <w:b/>
              </w:rPr>
              <w:t>úspory (TJ)</w:t>
            </w:r>
          </w:p>
        </w:tc>
        <w:tc>
          <w:tcPr>
            <w:tcW w:w="669" w:type="pct"/>
          </w:tcPr>
          <w:p w14:paraId="64CB5A29" w14:textId="77777777" w:rsidR="00E468BD" w:rsidRPr="00AF5415" w:rsidRDefault="00E468BD" w:rsidP="00B60E06">
            <w:pPr>
              <w:autoSpaceDE w:val="0"/>
              <w:autoSpaceDN w:val="0"/>
              <w:adjustRightInd w:val="0"/>
              <w:jc w:val="both"/>
              <w:rPr>
                <w:rFonts w:ascii="Times New Roman" w:hAnsi="Times New Roman" w:cs="Times New Roman"/>
                <w:b/>
              </w:rPr>
            </w:pPr>
            <w:r w:rsidRPr="00AF5415">
              <w:rPr>
                <w:rFonts w:ascii="Times New Roman" w:hAnsi="Times New Roman" w:cs="Times New Roman"/>
                <w:b/>
              </w:rPr>
              <w:t>2014</w:t>
            </w:r>
          </w:p>
        </w:tc>
        <w:tc>
          <w:tcPr>
            <w:tcW w:w="669" w:type="pct"/>
          </w:tcPr>
          <w:p w14:paraId="684EC0FE" w14:textId="77777777" w:rsidR="00E468BD" w:rsidRPr="00AF5415" w:rsidRDefault="00E468BD" w:rsidP="00B60E06">
            <w:pPr>
              <w:autoSpaceDE w:val="0"/>
              <w:autoSpaceDN w:val="0"/>
              <w:adjustRightInd w:val="0"/>
              <w:jc w:val="both"/>
              <w:rPr>
                <w:rFonts w:ascii="Times New Roman" w:hAnsi="Times New Roman" w:cs="Times New Roman"/>
                <w:b/>
              </w:rPr>
            </w:pPr>
            <w:r w:rsidRPr="00AF5415">
              <w:rPr>
                <w:rFonts w:ascii="Times New Roman" w:hAnsi="Times New Roman" w:cs="Times New Roman"/>
                <w:b/>
              </w:rPr>
              <w:t>2015</w:t>
            </w:r>
          </w:p>
        </w:tc>
        <w:tc>
          <w:tcPr>
            <w:tcW w:w="669" w:type="pct"/>
          </w:tcPr>
          <w:p w14:paraId="304EB1E8" w14:textId="129B34FF" w:rsidR="00E468BD" w:rsidRPr="00AF5415" w:rsidRDefault="00E468BD" w:rsidP="00B60E06">
            <w:pPr>
              <w:autoSpaceDE w:val="0"/>
              <w:autoSpaceDN w:val="0"/>
              <w:adjustRightInd w:val="0"/>
              <w:jc w:val="both"/>
              <w:rPr>
                <w:rFonts w:ascii="Times New Roman" w:hAnsi="Times New Roman" w:cs="Times New Roman"/>
                <w:b/>
              </w:rPr>
            </w:pPr>
            <w:r w:rsidRPr="00AF5415">
              <w:rPr>
                <w:rFonts w:ascii="Times New Roman" w:hAnsi="Times New Roman" w:cs="Times New Roman"/>
                <w:b/>
              </w:rPr>
              <w:t>2016</w:t>
            </w:r>
            <w:r w:rsidR="00DC2B0F" w:rsidRPr="00AF5415">
              <w:rPr>
                <w:rStyle w:val="Odkaznapoznmkupodiarou"/>
                <w:rFonts w:ascii="Times New Roman" w:hAnsi="Times New Roman" w:cs="Times New Roman"/>
                <w:b/>
              </w:rPr>
              <w:footnoteReference w:id="32"/>
            </w:r>
          </w:p>
        </w:tc>
      </w:tr>
      <w:tr w:rsidR="00E468BD" w:rsidRPr="009F2998" w14:paraId="4B38454A" w14:textId="77777777" w:rsidTr="00AF5415">
        <w:tc>
          <w:tcPr>
            <w:tcW w:w="2992" w:type="pct"/>
          </w:tcPr>
          <w:p w14:paraId="206D8B46" w14:textId="42B8C82B" w:rsidR="00E468BD" w:rsidRPr="009F2998" w:rsidRDefault="00E468BD" w:rsidP="00B60E06">
            <w:pPr>
              <w:autoSpaceDE w:val="0"/>
              <w:autoSpaceDN w:val="0"/>
              <w:adjustRightInd w:val="0"/>
              <w:jc w:val="both"/>
              <w:rPr>
                <w:rFonts w:ascii="Times New Roman" w:hAnsi="Times New Roman" w:cs="Times New Roman"/>
              </w:rPr>
            </w:pPr>
            <w:r w:rsidRPr="009F2998">
              <w:rPr>
                <w:rFonts w:ascii="Times New Roman" w:hAnsi="Times New Roman" w:cs="Times New Roman"/>
              </w:rPr>
              <w:t>Poskytovanie energetických služieb v</w:t>
            </w:r>
            <w:r w:rsidR="00AD3C6F">
              <w:rPr>
                <w:rFonts w:ascii="Times New Roman" w:hAnsi="Times New Roman" w:cs="Times New Roman"/>
              </w:rPr>
              <w:t> </w:t>
            </w:r>
            <w:r w:rsidRPr="009F2998">
              <w:rPr>
                <w:rFonts w:ascii="Times New Roman" w:hAnsi="Times New Roman" w:cs="Times New Roman"/>
              </w:rPr>
              <w:t>budovách</w:t>
            </w:r>
            <w:r w:rsidR="00AD3C6F">
              <w:rPr>
                <w:rFonts w:ascii="Times New Roman" w:hAnsi="Times New Roman" w:cs="Times New Roman"/>
              </w:rPr>
              <w:t xml:space="preserve"> (1.7)</w:t>
            </w:r>
          </w:p>
        </w:tc>
        <w:tc>
          <w:tcPr>
            <w:tcW w:w="669" w:type="pct"/>
            <w:vAlign w:val="center"/>
          </w:tcPr>
          <w:p w14:paraId="2584CB42" w14:textId="77777777" w:rsidR="00E468BD" w:rsidRPr="009F2998" w:rsidRDefault="00E468BD" w:rsidP="00AF5415">
            <w:pPr>
              <w:autoSpaceDE w:val="0"/>
              <w:autoSpaceDN w:val="0"/>
              <w:adjustRightInd w:val="0"/>
              <w:jc w:val="center"/>
              <w:rPr>
                <w:rFonts w:ascii="Times New Roman" w:hAnsi="Times New Roman" w:cs="Times New Roman"/>
              </w:rPr>
            </w:pPr>
            <w:r w:rsidRPr="009F2998">
              <w:rPr>
                <w:rFonts w:ascii="Times New Roman" w:hAnsi="Times New Roman" w:cs="Times New Roman"/>
              </w:rPr>
              <w:t>5,67</w:t>
            </w:r>
          </w:p>
        </w:tc>
        <w:tc>
          <w:tcPr>
            <w:tcW w:w="669" w:type="pct"/>
            <w:vAlign w:val="center"/>
          </w:tcPr>
          <w:p w14:paraId="727659BF" w14:textId="77777777" w:rsidR="00E468BD" w:rsidRPr="009F2998" w:rsidRDefault="00E468BD" w:rsidP="00AF5415">
            <w:pPr>
              <w:autoSpaceDE w:val="0"/>
              <w:autoSpaceDN w:val="0"/>
              <w:adjustRightInd w:val="0"/>
              <w:jc w:val="center"/>
              <w:rPr>
                <w:rFonts w:ascii="Times New Roman" w:hAnsi="Times New Roman" w:cs="Times New Roman"/>
              </w:rPr>
            </w:pPr>
            <w:r w:rsidRPr="009F2998">
              <w:rPr>
                <w:rFonts w:ascii="Times New Roman" w:hAnsi="Times New Roman" w:cs="Times New Roman"/>
              </w:rPr>
              <w:t>4,22</w:t>
            </w:r>
          </w:p>
        </w:tc>
        <w:tc>
          <w:tcPr>
            <w:tcW w:w="669" w:type="pct"/>
            <w:vAlign w:val="center"/>
          </w:tcPr>
          <w:p w14:paraId="415DEC1F" w14:textId="4285D2C4" w:rsidR="00E468BD" w:rsidRPr="009F2998" w:rsidRDefault="007832D5" w:rsidP="00AF5415">
            <w:pPr>
              <w:autoSpaceDE w:val="0"/>
              <w:autoSpaceDN w:val="0"/>
              <w:adjustRightInd w:val="0"/>
              <w:jc w:val="center"/>
              <w:rPr>
                <w:rFonts w:ascii="Times New Roman" w:hAnsi="Times New Roman" w:cs="Times New Roman"/>
              </w:rPr>
            </w:pPr>
            <w:r>
              <w:rPr>
                <w:rFonts w:ascii="Times New Roman" w:hAnsi="Times New Roman" w:cs="Times New Roman"/>
              </w:rPr>
              <w:t>70,61</w:t>
            </w:r>
          </w:p>
        </w:tc>
      </w:tr>
      <w:tr w:rsidR="00E468BD" w:rsidRPr="009F2998" w14:paraId="07D14F6E" w14:textId="77777777" w:rsidTr="00AF5415">
        <w:tc>
          <w:tcPr>
            <w:tcW w:w="2992" w:type="pct"/>
          </w:tcPr>
          <w:p w14:paraId="48C71487" w14:textId="53D1FC4C" w:rsidR="00E468BD" w:rsidRPr="009F2998" w:rsidRDefault="00E468BD" w:rsidP="00B60E06">
            <w:pPr>
              <w:autoSpaceDE w:val="0"/>
              <w:autoSpaceDN w:val="0"/>
              <w:adjustRightInd w:val="0"/>
              <w:jc w:val="both"/>
              <w:rPr>
                <w:rFonts w:ascii="Times New Roman" w:hAnsi="Times New Roman" w:cs="Times New Roman"/>
              </w:rPr>
            </w:pPr>
            <w:r w:rsidRPr="009F2998">
              <w:rPr>
                <w:rFonts w:ascii="Times New Roman" w:hAnsi="Times New Roman" w:cs="Times New Roman"/>
              </w:rPr>
              <w:t>Poskytovanie energetických služieb vo verejnom sektore</w:t>
            </w:r>
            <w:r w:rsidR="00AD3C6F">
              <w:rPr>
                <w:rFonts w:ascii="Times New Roman" w:hAnsi="Times New Roman" w:cs="Times New Roman"/>
              </w:rPr>
              <w:t xml:space="preserve"> (3.14)</w:t>
            </w:r>
          </w:p>
        </w:tc>
        <w:tc>
          <w:tcPr>
            <w:tcW w:w="669" w:type="pct"/>
            <w:vAlign w:val="center"/>
          </w:tcPr>
          <w:p w14:paraId="186B676C" w14:textId="77777777" w:rsidR="00E468BD" w:rsidRPr="009F2998" w:rsidRDefault="00E468BD" w:rsidP="00AF5415">
            <w:pPr>
              <w:autoSpaceDE w:val="0"/>
              <w:autoSpaceDN w:val="0"/>
              <w:adjustRightInd w:val="0"/>
              <w:jc w:val="center"/>
              <w:rPr>
                <w:rFonts w:ascii="Times New Roman" w:hAnsi="Times New Roman" w:cs="Times New Roman"/>
              </w:rPr>
            </w:pPr>
            <w:r w:rsidRPr="009F2998">
              <w:rPr>
                <w:rFonts w:ascii="Times New Roman" w:hAnsi="Times New Roman" w:cs="Times New Roman"/>
              </w:rPr>
              <w:t>22,64</w:t>
            </w:r>
          </w:p>
        </w:tc>
        <w:tc>
          <w:tcPr>
            <w:tcW w:w="669" w:type="pct"/>
            <w:vAlign w:val="center"/>
          </w:tcPr>
          <w:p w14:paraId="6B6B4EAF" w14:textId="45E3F3E9" w:rsidR="00E468BD" w:rsidRPr="009F2998" w:rsidRDefault="00AD3C6F" w:rsidP="00AF5415">
            <w:pPr>
              <w:autoSpaceDE w:val="0"/>
              <w:autoSpaceDN w:val="0"/>
              <w:adjustRightInd w:val="0"/>
              <w:jc w:val="center"/>
              <w:rPr>
                <w:rFonts w:ascii="Times New Roman" w:hAnsi="Times New Roman" w:cs="Times New Roman"/>
              </w:rPr>
            </w:pPr>
            <w:r>
              <w:rPr>
                <w:rFonts w:ascii="Times New Roman" w:hAnsi="Times New Roman" w:cs="Times New Roman"/>
              </w:rPr>
              <w:t>40,64</w:t>
            </w:r>
          </w:p>
        </w:tc>
        <w:tc>
          <w:tcPr>
            <w:tcW w:w="669" w:type="pct"/>
            <w:vAlign w:val="center"/>
          </w:tcPr>
          <w:p w14:paraId="0EB66F1C" w14:textId="093D4DDF" w:rsidR="00E468BD" w:rsidRPr="009F2998" w:rsidRDefault="00AD3C6F" w:rsidP="00AF5415">
            <w:pPr>
              <w:autoSpaceDE w:val="0"/>
              <w:autoSpaceDN w:val="0"/>
              <w:adjustRightInd w:val="0"/>
              <w:jc w:val="center"/>
              <w:rPr>
                <w:rFonts w:ascii="Times New Roman" w:hAnsi="Times New Roman" w:cs="Times New Roman"/>
              </w:rPr>
            </w:pPr>
            <w:r>
              <w:rPr>
                <w:rFonts w:ascii="Times New Roman" w:hAnsi="Times New Roman" w:cs="Times New Roman"/>
              </w:rPr>
              <w:t>14,93</w:t>
            </w:r>
          </w:p>
        </w:tc>
      </w:tr>
    </w:tbl>
    <w:p w14:paraId="45D16095" w14:textId="77777777" w:rsidR="00902157" w:rsidRPr="009F2998" w:rsidRDefault="00902157" w:rsidP="00902157">
      <w:pPr>
        <w:rPr>
          <w:rFonts w:ascii="Times New Roman" w:hAnsi="Times New Roman" w:cs="Times New Roman"/>
        </w:rPr>
      </w:pPr>
    </w:p>
    <w:p w14:paraId="0C7300DC" w14:textId="7BA0A9C2" w:rsidR="00902157" w:rsidRDefault="008A67DD" w:rsidP="007157D7">
      <w:pPr>
        <w:pStyle w:val="Nadpis4"/>
        <w:numPr>
          <w:ilvl w:val="3"/>
          <w:numId w:val="16"/>
        </w:numPr>
        <w:rPr>
          <w:rFonts w:ascii="Times New Roman" w:eastAsia="Times New Roman" w:hAnsi="Times New Roman" w:cs="Times New Roman"/>
          <w:i w:val="0"/>
          <w:color w:val="auto"/>
          <w:lang w:eastAsia="sk-SK"/>
        </w:rPr>
      </w:pPr>
      <w:bookmarkStart w:id="89" w:name="_Toc480547262"/>
      <w:r w:rsidRPr="000578FE">
        <w:rPr>
          <w:rFonts w:ascii="Times New Roman" w:eastAsia="Times New Roman" w:hAnsi="Times New Roman" w:cs="Times New Roman"/>
          <w:i w:val="0"/>
          <w:color w:val="auto"/>
          <w:lang w:eastAsia="sk-SK"/>
        </w:rPr>
        <w:t>I</w:t>
      </w:r>
      <w:r w:rsidR="00902157" w:rsidRPr="000578FE">
        <w:rPr>
          <w:rFonts w:ascii="Times New Roman" w:eastAsia="Times New Roman" w:hAnsi="Times New Roman" w:cs="Times New Roman"/>
          <w:i w:val="0"/>
          <w:color w:val="auto"/>
          <w:lang w:eastAsia="sk-SK"/>
        </w:rPr>
        <w:t xml:space="preserve">nformácie o prijatých opatreniach a opatreniach, ktoré sa </w:t>
      </w:r>
      <w:r w:rsidR="00044016">
        <w:rPr>
          <w:rFonts w:ascii="Times New Roman" w:eastAsia="Times New Roman" w:hAnsi="Times New Roman" w:cs="Times New Roman"/>
          <w:i w:val="0"/>
          <w:color w:val="auto"/>
          <w:lang w:eastAsia="sk-SK"/>
        </w:rPr>
        <w:t>p</w:t>
      </w:r>
      <w:r w:rsidR="00902157" w:rsidRPr="000578FE">
        <w:rPr>
          <w:rFonts w:ascii="Times New Roman" w:eastAsia="Times New Roman" w:hAnsi="Times New Roman" w:cs="Times New Roman"/>
          <w:i w:val="0"/>
          <w:color w:val="auto"/>
          <w:lang w:eastAsia="sk-SK"/>
        </w:rPr>
        <w:t>lánujú prijať na podporovanie energetických služieb</w:t>
      </w:r>
      <w:bookmarkEnd w:id="89"/>
    </w:p>
    <w:p w14:paraId="575AA74B" w14:textId="77777777" w:rsidR="00044016" w:rsidRPr="000578FE" w:rsidRDefault="00044016" w:rsidP="000578FE">
      <w:pPr>
        <w:rPr>
          <w:lang w:eastAsia="sk-SK"/>
        </w:rPr>
      </w:pPr>
    </w:p>
    <w:p w14:paraId="4A15E95A" w14:textId="1F22BBA8" w:rsidR="00E468BD" w:rsidRPr="000745A8" w:rsidRDefault="00E468BD" w:rsidP="00E468BD">
      <w:pPr>
        <w:autoSpaceDE w:val="0"/>
        <w:autoSpaceDN w:val="0"/>
        <w:adjustRightInd w:val="0"/>
        <w:spacing w:after="0" w:line="240" w:lineRule="auto"/>
        <w:jc w:val="both"/>
        <w:rPr>
          <w:rFonts w:ascii="Times New Roman" w:hAnsi="Times New Roman" w:cs="Times New Roman"/>
          <w:sz w:val="24"/>
          <w:szCs w:val="24"/>
        </w:rPr>
      </w:pPr>
      <w:r w:rsidRPr="000745A8">
        <w:rPr>
          <w:rFonts w:ascii="Times New Roman" w:hAnsi="Times New Roman" w:cs="Times New Roman"/>
          <w:sz w:val="24"/>
          <w:szCs w:val="24"/>
        </w:rPr>
        <w:t>V rokoch 2012-2014 boli identifikované bariéry rozvoja energetických služieb v SR. Na základe týchto bariér boli pripravené opatrenia. Išlo najmä o nízke povedomie o </w:t>
      </w:r>
      <w:r w:rsidR="009E33CD" w:rsidRPr="000745A8">
        <w:rPr>
          <w:rFonts w:ascii="Times New Roman" w:hAnsi="Times New Roman" w:cs="Times New Roman"/>
          <w:sz w:val="24"/>
          <w:szCs w:val="24"/>
        </w:rPr>
        <w:t>GES</w:t>
      </w:r>
      <w:r w:rsidRPr="000745A8">
        <w:rPr>
          <w:rFonts w:ascii="Times New Roman" w:hAnsi="Times New Roman" w:cs="Times New Roman"/>
          <w:sz w:val="24"/>
          <w:szCs w:val="24"/>
        </w:rPr>
        <w:t xml:space="preserve">, nízka dôvera voči poskytovateľom </w:t>
      </w:r>
      <w:r w:rsidR="009E33CD" w:rsidRPr="000745A8">
        <w:rPr>
          <w:rFonts w:ascii="Times New Roman" w:hAnsi="Times New Roman" w:cs="Times New Roman"/>
          <w:sz w:val="24"/>
          <w:szCs w:val="24"/>
        </w:rPr>
        <w:t xml:space="preserve">GES </w:t>
      </w:r>
      <w:r w:rsidRPr="000745A8">
        <w:rPr>
          <w:rFonts w:ascii="Times New Roman" w:hAnsi="Times New Roman" w:cs="Times New Roman"/>
          <w:sz w:val="24"/>
          <w:szCs w:val="24"/>
        </w:rPr>
        <w:t xml:space="preserve">a tiež nedostatočný základný regulačný rámec. Niektoré z uvedených bariér boli odstránené </w:t>
      </w:r>
      <w:r w:rsidR="009E33CD" w:rsidRPr="000745A8">
        <w:rPr>
          <w:rFonts w:ascii="Times New Roman" w:hAnsi="Times New Roman" w:cs="Times New Roman"/>
          <w:sz w:val="24"/>
          <w:szCs w:val="24"/>
        </w:rPr>
        <w:t>zákonom</w:t>
      </w:r>
      <w:r w:rsidRPr="000745A8">
        <w:rPr>
          <w:rFonts w:ascii="Times New Roman" w:hAnsi="Times New Roman" w:cs="Times New Roman"/>
          <w:sz w:val="24"/>
          <w:szCs w:val="24"/>
        </w:rPr>
        <w:t xml:space="preserve"> č. 321/2014 Z. z. o energetickej efektívnosti, ktorý zaviedol základný systém poskytovania energetickej služby, zaviedol inštitút odborne spôsobilej osoby na poskytovanie garantovanej energetickej služby a obsah zmluvy </w:t>
      </w:r>
      <w:r w:rsidRPr="000745A8">
        <w:rPr>
          <w:rFonts w:ascii="Times New Roman" w:hAnsi="Times New Roman" w:cs="Times New Roman"/>
          <w:sz w:val="24"/>
          <w:szCs w:val="24"/>
        </w:rPr>
        <w:lastRenderedPageBreak/>
        <w:t xml:space="preserve">o energetickej efektívnosti pre verejný sektor, ako aj informačné povinnosti pre Slovenskú inovačnú a energetickú agentúru. Základné politické a regulačné bariéry pre energetické služby tak boli vo veľkej miere odstránené. </w:t>
      </w:r>
    </w:p>
    <w:p w14:paraId="45A603ED" w14:textId="77777777" w:rsidR="00E468BD" w:rsidRPr="000745A8" w:rsidRDefault="00E468BD" w:rsidP="00E468BD">
      <w:pPr>
        <w:autoSpaceDE w:val="0"/>
        <w:autoSpaceDN w:val="0"/>
        <w:adjustRightInd w:val="0"/>
        <w:spacing w:after="0" w:line="240" w:lineRule="auto"/>
        <w:jc w:val="both"/>
        <w:rPr>
          <w:rFonts w:ascii="Times New Roman" w:hAnsi="Times New Roman" w:cs="Times New Roman"/>
          <w:sz w:val="24"/>
          <w:szCs w:val="24"/>
        </w:rPr>
      </w:pPr>
    </w:p>
    <w:p w14:paraId="26E08432" w14:textId="7325F24B" w:rsidR="00E468BD" w:rsidRPr="000745A8" w:rsidRDefault="00E468BD" w:rsidP="00AF5415">
      <w:pPr>
        <w:jc w:val="both"/>
        <w:rPr>
          <w:rFonts w:ascii="Times New Roman" w:hAnsi="Times New Roman" w:cs="Times New Roman"/>
          <w:sz w:val="24"/>
          <w:szCs w:val="24"/>
        </w:rPr>
      </w:pPr>
      <w:r w:rsidRPr="000745A8">
        <w:rPr>
          <w:rFonts w:ascii="Times New Roman" w:hAnsi="Times New Roman" w:cs="Times New Roman"/>
          <w:sz w:val="24"/>
          <w:szCs w:val="24"/>
        </w:rPr>
        <w:t xml:space="preserve">Zostali však bariéry, ktoré sa týkajú financovania a finančných mechanizmov. Základnou charakteristikou garantovanej energetickej služby je splácanie investície (ide o návratnú formu financovania) z úspor energie, ktoré sa realizáciou opatrenia dosiahnu a ktorých výška je garantovaná. Tento benefit však zároveň vytvára bariéry pre rozvoj trhu garantovaných energetických služieb (GES), nakoľko predpokladá splatenie investície zo zdrojov, ktoré by prijímateľ GES v budúcnosti použil na krytie nákladov na energiu. To znamená, že akákoľvek podpora založená na nenávratných formách financovania je pre </w:t>
      </w:r>
      <w:r w:rsidR="009E33CD" w:rsidRPr="000745A8">
        <w:rPr>
          <w:rFonts w:ascii="Times New Roman" w:hAnsi="Times New Roman" w:cs="Times New Roman"/>
          <w:sz w:val="24"/>
          <w:szCs w:val="24"/>
        </w:rPr>
        <w:t xml:space="preserve">GES </w:t>
      </w:r>
      <w:r w:rsidR="00CB1B49">
        <w:rPr>
          <w:rFonts w:ascii="Times New Roman" w:hAnsi="Times New Roman" w:cs="Times New Roman"/>
          <w:sz w:val="24"/>
          <w:szCs w:val="24"/>
        </w:rPr>
        <w:t>významnou</w:t>
      </w:r>
      <w:r w:rsidR="00CB1B49" w:rsidRPr="000745A8">
        <w:rPr>
          <w:rFonts w:ascii="Times New Roman" w:hAnsi="Times New Roman" w:cs="Times New Roman"/>
          <w:sz w:val="24"/>
          <w:szCs w:val="24"/>
        </w:rPr>
        <w:t xml:space="preserve"> </w:t>
      </w:r>
      <w:r w:rsidRPr="000745A8">
        <w:rPr>
          <w:rFonts w:ascii="Times New Roman" w:hAnsi="Times New Roman" w:cs="Times New Roman"/>
          <w:sz w:val="24"/>
          <w:szCs w:val="24"/>
        </w:rPr>
        <w:t>konkurenciou.</w:t>
      </w:r>
      <w:r w:rsidR="005C7730">
        <w:rPr>
          <w:rFonts w:ascii="Times New Roman" w:hAnsi="Times New Roman" w:cs="Times New Roman"/>
          <w:sz w:val="24"/>
          <w:szCs w:val="24"/>
        </w:rPr>
        <w:t xml:space="preserve"> </w:t>
      </w:r>
      <w:r w:rsidRPr="000745A8">
        <w:rPr>
          <w:rFonts w:ascii="Times New Roman" w:hAnsi="Times New Roman" w:cs="Times New Roman"/>
          <w:sz w:val="24"/>
          <w:szCs w:val="24"/>
        </w:rPr>
        <w:t>Týka sa to najmä grantov a podporných fondov, pričom v prípade Slovenska sú to najmä európske štrukturálne a investičné fondy.</w:t>
      </w:r>
    </w:p>
    <w:p w14:paraId="0E3C43FD" w14:textId="77777777" w:rsidR="00E468BD" w:rsidRPr="000745A8" w:rsidRDefault="00E468BD" w:rsidP="00E468BD">
      <w:pPr>
        <w:autoSpaceDE w:val="0"/>
        <w:autoSpaceDN w:val="0"/>
        <w:adjustRightInd w:val="0"/>
        <w:spacing w:after="0" w:line="240" w:lineRule="auto"/>
        <w:jc w:val="both"/>
        <w:rPr>
          <w:rFonts w:ascii="Times New Roman" w:hAnsi="Times New Roman" w:cs="Times New Roman"/>
          <w:sz w:val="24"/>
          <w:szCs w:val="24"/>
        </w:rPr>
      </w:pPr>
    </w:p>
    <w:p w14:paraId="390901E0" w14:textId="77777777" w:rsidR="00E468BD" w:rsidRPr="000745A8" w:rsidRDefault="00E468BD" w:rsidP="00E468BD">
      <w:pPr>
        <w:autoSpaceDE w:val="0"/>
        <w:autoSpaceDN w:val="0"/>
        <w:adjustRightInd w:val="0"/>
        <w:spacing w:after="0" w:line="240" w:lineRule="auto"/>
        <w:jc w:val="both"/>
        <w:rPr>
          <w:rFonts w:ascii="Times New Roman" w:hAnsi="Times New Roman" w:cs="Times New Roman"/>
          <w:sz w:val="24"/>
          <w:szCs w:val="24"/>
        </w:rPr>
      </w:pPr>
      <w:r w:rsidRPr="000745A8">
        <w:rPr>
          <w:rFonts w:ascii="Times New Roman" w:hAnsi="Times New Roman" w:cs="Times New Roman"/>
          <w:sz w:val="24"/>
          <w:szCs w:val="24"/>
        </w:rPr>
        <w:t xml:space="preserve">Samostatnou kapitolou sú očakávania potenciálnych prijímateľov GES ohľadom dostupnosti a využitia takýchto finančných prostriedkov. Potenciálni prijímatelia garantovanej energetickej služby (predovšetkým vo verejnom sektore) často čakajú od dátumu oznámenia prípravy daného mechanizmu až do doby, kým sa tento mechanizmus nespustí, čo predstavuje až niekoľko rokov. V tomto čase zvyčajne nie sú ochotní uvažovať o iných spôsoboch zvyšovania energetickej efektívnosti (vrátane GES), bez ohľadu na objektívne nízku pravdepodobnosť úspechu pri získavaní nenávratných zdrojov. </w:t>
      </w:r>
    </w:p>
    <w:p w14:paraId="2999B45C" w14:textId="77777777" w:rsidR="00E468BD" w:rsidRPr="000745A8" w:rsidRDefault="00E468BD" w:rsidP="00E468BD">
      <w:pPr>
        <w:autoSpaceDE w:val="0"/>
        <w:autoSpaceDN w:val="0"/>
        <w:adjustRightInd w:val="0"/>
        <w:spacing w:after="0" w:line="240" w:lineRule="auto"/>
        <w:jc w:val="both"/>
        <w:rPr>
          <w:rFonts w:ascii="Times New Roman" w:hAnsi="Times New Roman" w:cs="Times New Roman"/>
          <w:sz w:val="24"/>
          <w:szCs w:val="24"/>
        </w:rPr>
      </w:pPr>
    </w:p>
    <w:p w14:paraId="08A8F9ED" w14:textId="0FE10E20" w:rsidR="00E468BD" w:rsidRPr="000745A8" w:rsidRDefault="00E468BD" w:rsidP="00E468BD">
      <w:pPr>
        <w:autoSpaceDE w:val="0"/>
        <w:autoSpaceDN w:val="0"/>
        <w:adjustRightInd w:val="0"/>
        <w:spacing w:after="0" w:line="240" w:lineRule="auto"/>
        <w:jc w:val="both"/>
        <w:rPr>
          <w:rFonts w:ascii="Times New Roman" w:hAnsi="Times New Roman" w:cs="Times New Roman"/>
          <w:sz w:val="24"/>
          <w:szCs w:val="24"/>
        </w:rPr>
      </w:pPr>
      <w:r w:rsidRPr="000745A8">
        <w:rPr>
          <w:rFonts w:ascii="Times New Roman" w:hAnsi="Times New Roman" w:cs="Times New Roman"/>
          <w:sz w:val="24"/>
          <w:szCs w:val="24"/>
        </w:rPr>
        <w:t xml:space="preserve">Ďalšou bariérou je existujúca potreba </w:t>
      </w:r>
      <w:r w:rsidR="00D528A8">
        <w:rPr>
          <w:rFonts w:ascii="Times New Roman" w:hAnsi="Times New Roman" w:cs="Times New Roman"/>
          <w:sz w:val="24"/>
          <w:szCs w:val="24"/>
        </w:rPr>
        <w:t>hĺbkovej</w:t>
      </w:r>
      <w:r w:rsidR="00D528A8" w:rsidRPr="000745A8">
        <w:rPr>
          <w:rFonts w:ascii="Times New Roman" w:hAnsi="Times New Roman" w:cs="Times New Roman"/>
          <w:sz w:val="24"/>
          <w:szCs w:val="24"/>
        </w:rPr>
        <w:t xml:space="preserve"> </w:t>
      </w:r>
      <w:r w:rsidRPr="000745A8">
        <w:rPr>
          <w:rFonts w:ascii="Times New Roman" w:hAnsi="Times New Roman" w:cs="Times New Roman"/>
          <w:sz w:val="24"/>
          <w:szCs w:val="24"/>
        </w:rPr>
        <w:t>obnovy budov, kde investície do stavebných opatrení (zatepľovanie) významne predlžujú dobu návratnosti. Dlhšia doba návratnosti sa v praxi prejavuje vo využívaní iných typov finančných mechanizmov, avšak bez využitia finančného potenciálu úspor energie.</w:t>
      </w:r>
    </w:p>
    <w:p w14:paraId="5588BE08" w14:textId="77777777" w:rsidR="00E468BD" w:rsidRPr="000745A8" w:rsidRDefault="00E468BD" w:rsidP="00E468BD">
      <w:pPr>
        <w:autoSpaceDE w:val="0"/>
        <w:autoSpaceDN w:val="0"/>
        <w:adjustRightInd w:val="0"/>
        <w:spacing w:after="0" w:line="240" w:lineRule="auto"/>
        <w:jc w:val="both"/>
        <w:rPr>
          <w:rFonts w:ascii="Times New Roman" w:hAnsi="Times New Roman" w:cs="Times New Roman"/>
          <w:sz w:val="24"/>
          <w:szCs w:val="24"/>
        </w:rPr>
      </w:pPr>
    </w:p>
    <w:p w14:paraId="6EF99154" w14:textId="47E7983F" w:rsidR="00E468BD" w:rsidRDefault="00E468BD" w:rsidP="00E468BD">
      <w:pPr>
        <w:autoSpaceDE w:val="0"/>
        <w:autoSpaceDN w:val="0"/>
        <w:adjustRightInd w:val="0"/>
        <w:spacing w:after="0" w:line="240" w:lineRule="auto"/>
        <w:jc w:val="both"/>
        <w:rPr>
          <w:rFonts w:ascii="Times New Roman" w:hAnsi="Times New Roman" w:cs="Times New Roman"/>
          <w:sz w:val="24"/>
          <w:szCs w:val="24"/>
        </w:rPr>
      </w:pPr>
      <w:r w:rsidRPr="000745A8">
        <w:rPr>
          <w:rFonts w:ascii="Times New Roman" w:hAnsi="Times New Roman" w:cs="Times New Roman"/>
          <w:sz w:val="24"/>
          <w:szCs w:val="24"/>
        </w:rPr>
        <w:t>Posledná identifikovaná finančná bariéra je problematika kapitálových výdavkov vo verejnom sektore podľa metodiky Eurostatu</w:t>
      </w:r>
      <w:r w:rsidR="00E1739F">
        <w:rPr>
          <w:rFonts w:ascii="Times New Roman" w:hAnsi="Times New Roman" w:cs="Times New Roman"/>
          <w:sz w:val="24"/>
          <w:szCs w:val="24"/>
        </w:rPr>
        <w:t>,</w:t>
      </w:r>
      <w:r w:rsidRPr="000745A8">
        <w:rPr>
          <w:rFonts w:ascii="Times New Roman" w:hAnsi="Times New Roman" w:cs="Times New Roman"/>
          <w:sz w:val="24"/>
          <w:szCs w:val="24"/>
        </w:rPr>
        <w:t xml:space="preserve"> a s tým spojené vykazovanie verejného dlhu. Akýkoľvek úver verejného sektora zvyšuje kapitálové výdavky a tým aj verejný dlh. Napriek svojej rozpočtovej neutralite (t.</w:t>
      </w:r>
      <w:r w:rsidR="009E33CD" w:rsidRPr="000745A8">
        <w:rPr>
          <w:rFonts w:ascii="Times New Roman" w:hAnsi="Times New Roman" w:cs="Times New Roman"/>
          <w:sz w:val="24"/>
          <w:szCs w:val="24"/>
        </w:rPr>
        <w:t> </w:t>
      </w:r>
      <w:r w:rsidRPr="000745A8">
        <w:rPr>
          <w:rFonts w:ascii="Times New Roman" w:hAnsi="Times New Roman" w:cs="Times New Roman"/>
          <w:sz w:val="24"/>
          <w:szCs w:val="24"/>
        </w:rPr>
        <w:t xml:space="preserve">j. bez dopadu na rozpočtový deficit) je </w:t>
      </w:r>
      <w:r w:rsidR="009E33CD" w:rsidRPr="000745A8">
        <w:rPr>
          <w:rFonts w:ascii="Times New Roman" w:hAnsi="Times New Roman" w:cs="Times New Roman"/>
          <w:sz w:val="24"/>
          <w:szCs w:val="24"/>
        </w:rPr>
        <w:t xml:space="preserve">GES </w:t>
      </w:r>
      <w:r w:rsidRPr="000745A8">
        <w:rPr>
          <w:rFonts w:ascii="Times New Roman" w:hAnsi="Times New Roman" w:cs="Times New Roman"/>
          <w:sz w:val="24"/>
          <w:szCs w:val="24"/>
        </w:rPr>
        <w:t xml:space="preserve">Eurostatom považované za nástroj zvyšujúci verejný dlh. Toto však nie je len problém Slovenska. Týka sa najmä krajín s vysokým dlhom, kde sú verejné investície významne obmedzené. V niektorých ďalších krajinách toto predstavuje veľké riziko, a preto aj tam je širšie využitie </w:t>
      </w:r>
      <w:r w:rsidR="009E33CD" w:rsidRPr="000745A8">
        <w:rPr>
          <w:rFonts w:ascii="Times New Roman" w:hAnsi="Times New Roman" w:cs="Times New Roman"/>
          <w:sz w:val="24"/>
          <w:szCs w:val="24"/>
        </w:rPr>
        <w:t xml:space="preserve">GES </w:t>
      </w:r>
      <w:r w:rsidRPr="000745A8">
        <w:rPr>
          <w:rFonts w:ascii="Times New Roman" w:hAnsi="Times New Roman" w:cs="Times New Roman"/>
          <w:sz w:val="24"/>
          <w:szCs w:val="24"/>
        </w:rPr>
        <w:t>znemožnené.</w:t>
      </w:r>
      <w:r w:rsidR="00D528A8">
        <w:rPr>
          <w:rFonts w:ascii="Times New Roman" w:hAnsi="Times New Roman" w:cs="Times New Roman"/>
          <w:sz w:val="24"/>
          <w:szCs w:val="24"/>
        </w:rPr>
        <w:t xml:space="preserve"> </w:t>
      </w:r>
      <w:r w:rsidRPr="000745A8">
        <w:rPr>
          <w:rFonts w:ascii="Times New Roman" w:hAnsi="Times New Roman" w:cs="Times New Roman"/>
          <w:sz w:val="24"/>
          <w:szCs w:val="24"/>
        </w:rPr>
        <w:t xml:space="preserve">DG ENERGY rokuje s Eurostatom a ďalšími zodpovednými DG o možnostiach iného spôsobu započítania výdavkov verejného sektora tak, aby </w:t>
      </w:r>
      <w:r w:rsidR="00A914C9" w:rsidRPr="000745A8">
        <w:rPr>
          <w:rFonts w:ascii="Times New Roman" w:hAnsi="Times New Roman" w:cs="Times New Roman"/>
          <w:sz w:val="24"/>
          <w:szCs w:val="24"/>
        </w:rPr>
        <w:t>GES</w:t>
      </w:r>
      <w:r w:rsidRPr="000745A8">
        <w:rPr>
          <w:rFonts w:ascii="Times New Roman" w:hAnsi="Times New Roman" w:cs="Times New Roman"/>
          <w:sz w:val="24"/>
          <w:szCs w:val="24"/>
        </w:rPr>
        <w:t xml:space="preserve"> moh</w:t>
      </w:r>
      <w:r w:rsidR="00A914C9" w:rsidRPr="000745A8">
        <w:rPr>
          <w:rFonts w:ascii="Times New Roman" w:hAnsi="Times New Roman" w:cs="Times New Roman"/>
          <w:sz w:val="24"/>
          <w:szCs w:val="24"/>
        </w:rPr>
        <w:t>li</w:t>
      </w:r>
      <w:r w:rsidRPr="000745A8">
        <w:rPr>
          <w:rFonts w:ascii="Times New Roman" w:hAnsi="Times New Roman" w:cs="Times New Roman"/>
          <w:sz w:val="24"/>
          <w:szCs w:val="24"/>
        </w:rPr>
        <w:t xml:space="preserve"> byť vyňaté z verejného dlhu, alebo aby bol</w:t>
      </w:r>
      <w:r w:rsidR="00A914C9" w:rsidRPr="000745A8">
        <w:rPr>
          <w:rFonts w:ascii="Times New Roman" w:hAnsi="Times New Roman" w:cs="Times New Roman"/>
          <w:sz w:val="24"/>
          <w:szCs w:val="24"/>
        </w:rPr>
        <w:t xml:space="preserve">i GES </w:t>
      </w:r>
      <w:r w:rsidRPr="000745A8">
        <w:rPr>
          <w:rFonts w:ascii="Times New Roman" w:hAnsi="Times New Roman" w:cs="Times New Roman"/>
          <w:sz w:val="24"/>
          <w:szCs w:val="24"/>
        </w:rPr>
        <w:t>aspoň inak zohľadňované.</w:t>
      </w:r>
      <w:r w:rsidR="00E1739F">
        <w:rPr>
          <w:rFonts w:ascii="Times New Roman" w:hAnsi="Times New Roman" w:cs="Times New Roman"/>
          <w:sz w:val="24"/>
          <w:szCs w:val="24"/>
        </w:rPr>
        <w:t xml:space="preserve"> </w:t>
      </w:r>
    </w:p>
    <w:p w14:paraId="450A98E7" w14:textId="010A10A3" w:rsidR="00E1739F" w:rsidRDefault="00E1739F" w:rsidP="00E468BD">
      <w:pPr>
        <w:autoSpaceDE w:val="0"/>
        <w:autoSpaceDN w:val="0"/>
        <w:adjustRightInd w:val="0"/>
        <w:spacing w:after="0" w:line="240" w:lineRule="auto"/>
        <w:jc w:val="both"/>
        <w:rPr>
          <w:rFonts w:ascii="Times New Roman" w:hAnsi="Times New Roman" w:cs="Times New Roman"/>
          <w:sz w:val="24"/>
          <w:szCs w:val="24"/>
        </w:rPr>
      </w:pPr>
    </w:p>
    <w:p w14:paraId="7A2CED8A" w14:textId="51BE84ED" w:rsidR="00E1739F" w:rsidRPr="000745A8" w:rsidRDefault="00E1739F" w:rsidP="00E1739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 týchto dôvodov nie sú podmienky na poskytovanie </w:t>
      </w:r>
      <w:r w:rsidRPr="00E325E5">
        <w:rPr>
          <w:rFonts w:ascii="Times New Roman" w:hAnsi="Times New Roman" w:cs="Times New Roman"/>
          <w:sz w:val="24"/>
          <w:szCs w:val="24"/>
        </w:rPr>
        <w:t>energetických služieb</w:t>
      </w:r>
      <w:r>
        <w:rPr>
          <w:rFonts w:ascii="Times New Roman" w:hAnsi="Times New Roman" w:cs="Times New Roman"/>
          <w:sz w:val="24"/>
          <w:szCs w:val="24"/>
        </w:rPr>
        <w:t>, a to najmä</w:t>
      </w:r>
      <w:r w:rsidR="00B776B1">
        <w:rPr>
          <w:rFonts w:ascii="Times New Roman" w:hAnsi="Times New Roman" w:cs="Times New Roman"/>
          <w:sz w:val="24"/>
          <w:szCs w:val="24"/>
        </w:rPr>
        <w:t xml:space="preserve"> vo verejnom sektore, dostatočné</w:t>
      </w:r>
      <w:r>
        <w:rPr>
          <w:rFonts w:ascii="Times New Roman" w:hAnsi="Times New Roman" w:cs="Times New Roman"/>
          <w:sz w:val="24"/>
          <w:szCs w:val="24"/>
        </w:rPr>
        <w:t xml:space="preserve">. </w:t>
      </w:r>
    </w:p>
    <w:p w14:paraId="77493089" w14:textId="77777777" w:rsidR="00E468BD" w:rsidRPr="000745A8" w:rsidRDefault="00E468BD" w:rsidP="00E468BD">
      <w:pPr>
        <w:autoSpaceDE w:val="0"/>
        <w:autoSpaceDN w:val="0"/>
        <w:adjustRightInd w:val="0"/>
        <w:spacing w:after="0" w:line="240" w:lineRule="auto"/>
        <w:jc w:val="both"/>
        <w:rPr>
          <w:rFonts w:ascii="Times New Roman" w:hAnsi="Times New Roman" w:cs="Times New Roman"/>
          <w:sz w:val="24"/>
          <w:szCs w:val="24"/>
        </w:rPr>
      </w:pPr>
    </w:p>
    <w:p w14:paraId="4DD7DCB3" w14:textId="77777777" w:rsidR="00E468BD" w:rsidRPr="000745A8" w:rsidRDefault="00E468BD" w:rsidP="00E468BD">
      <w:pPr>
        <w:autoSpaceDE w:val="0"/>
        <w:autoSpaceDN w:val="0"/>
        <w:adjustRightInd w:val="0"/>
        <w:spacing w:after="0" w:line="240" w:lineRule="auto"/>
        <w:jc w:val="both"/>
        <w:rPr>
          <w:rFonts w:ascii="Times New Roman" w:hAnsi="Times New Roman" w:cs="Times New Roman"/>
          <w:sz w:val="24"/>
          <w:szCs w:val="24"/>
        </w:rPr>
      </w:pPr>
      <w:r w:rsidRPr="000745A8">
        <w:rPr>
          <w:rFonts w:ascii="Times New Roman" w:hAnsi="Times New Roman" w:cs="Times New Roman"/>
          <w:sz w:val="24"/>
          <w:szCs w:val="24"/>
        </w:rPr>
        <w:t>Pre odstránenie ostatných finančných bariér je potrebné koordinovať spoluprácu zainteresovaných strán na národnej úrovni minimálne v nasledovných oblastiach:</w:t>
      </w:r>
    </w:p>
    <w:p w14:paraId="6D3A8C47" w14:textId="77777777" w:rsidR="00E468BD" w:rsidRPr="000745A8" w:rsidRDefault="00E468BD" w:rsidP="007157D7">
      <w:pPr>
        <w:pStyle w:val="Odsekzoznamu"/>
        <w:numPr>
          <w:ilvl w:val="0"/>
          <w:numId w:val="13"/>
        </w:numPr>
        <w:autoSpaceDE w:val="0"/>
        <w:autoSpaceDN w:val="0"/>
        <w:adjustRightInd w:val="0"/>
        <w:spacing w:after="0" w:line="240" w:lineRule="auto"/>
        <w:jc w:val="both"/>
        <w:rPr>
          <w:rFonts w:ascii="Times New Roman" w:hAnsi="Times New Roman" w:cs="Times New Roman"/>
          <w:sz w:val="24"/>
          <w:szCs w:val="24"/>
        </w:rPr>
      </w:pPr>
      <w:r w:rsidRPr="000745A8">
        <w:rPr>
          <w:rFonts w:ascii="Times New Roman" w:hAnsi="Times New Roman" w:cs="Times New Roman"/>
          <w:sz w:val="24"/>
          <w:szCs w:val="24"/>
        </w:rPr>
        <w:t>zreálnenie očakávaní potenciálnych prijímateľov GES vo verejnom sektore ohľadom ich možností získať nenávratné financovanie pre projekty zlepšovania energetickej efektívnosti;</w:t>
      </w:r>
    </w:p>
    <w:p w14:paraId="7A24640B" w14:textId="77777777" w:rsidR="00E468BD" w:rsidRPr="000745A8" w:rsidRDefault="00E468BD" w:rsidP="007157D7">
      <w:pPr>
        <w:pStyle w:val="Odsekzoznamu"/>
        <w:numPr>
          <w:ilvl w:val="0"/>
          <w:numId w:val="13"/>
        </w:numPr>
        <w:autoSpaceDE w:val="0"/>
        <w:autoSpaceDN w:val="0"/>
        <w:adjustRightInd w:val="0"/>
        <w:spacing w:after="0" w:line="240" w:lineRule="auto"/>
        <w:jc w:val="both"/>
        <w:rPr>
          <w:rFonts w:ascii="Times New Roman" w:hAnsi="Times New Roman" w:cs="Times New Roman"/>
          <w:sz w:val="24"/>
          <w:szCs w:val="24"/>
        </w:rPr>
      </w:pPr>
      <w:r w:rsidRPr="000745A8">
        <w:rPr>
          <w:rFonts w:ascii="Times New Roman" w:hAnsi="Times New Roman" w:cs="Times New Roman"/>
          <w:sz w:val="24"/>
          <w:szCs w:val="24"/>
        </w:rPr>
        <w:t xml:space="preserve">umožnenie viaczdrojového financovania projektov zvyšovania energetickej efektívnosti vo verejnom sektore prostredníctvom kombinácie nenávratného financovania </w:t>
      </w:r>
      <w:r w:rsidRPr="000745A8">
        <w:rPr>
          <w:rFonts w:ascii="Times New Roman" w:hAnsi="Times New Roman" w:cs="Times New Roman"/>
          <w:sz w:val="24"/>
          <w:szCs w:val="24"/>
        </w:rPr>
        <w:lastRenderedPageBreak/>
        <w:t xml:space="preserve">z podporných mechanizmov (EŠIF) a návratného financovania založeného na monetizácii budúcich garantovaných úspor energie. </w:t>
      </w:r>
    </w:p>
    <w:p w14:paraId="65231544" w14:textId="0AC061F3" w:rsidR="003E7C46" w:rsidRPr="000745A8" w:rsidRDefault="003E7C46" w:rsidP="003E7C46">
      <w:pPr>
        <w:jc w:val="both"/>
        <w:rPr>
          <w:rFonts w:ascii="Times New Roman" w:hAnsi="Times New Roman" w:cs="Times New Roman"/>
          <w:sz w:val="24"/>
          <w:szCs w:val="24"/>
        </w:rPr>
      </w:pPr>
    </w:p>
    <w:p w14:paraId="32F4AB66" w14:textId="73F18971" w:rsidR="00902157" w:rsidRDefault="008A67DD" w:rsidP="007157D7">
      <w:pPr>
        <w:pStyle w:val="Nadpis4"/>
        <w:numPr>
          <w:ilvl w:val="3"/>
          <w:numId w:val="16"/>
        </w:numPr>
        <w:rPr>
          <w:rFonts w:ascii="Times New Roman" w:eastAsia="Times New Roman" w:hAnsi="Times New Roman" w:cs="Times New Roman"/>
          <w:i w:val="0"/>
          <w:color w:val="auto"/>
          <w:lang w:eastAsia="sk-SK"/>
        </w:rPr>
      </w:pPr>
      <w:bookmarkStart w:id="90" w:name="_Toc480547263"/>
      <w:r w:rsidRPr="000578FE">
        <w:rPr>
          <w:rFonts w:ascii="Times New Roman" w:eastAsia="Times New Roman" w:hAnsi="Times New Roman" w:cs="Times New Roman"/>
          <w:i w:val="0"/>
          <w:color w:val="auto"/>
          <w:lang w:eastAsia="sk-SK"/>
        </w:rPr>
        <w:t>K</w:t>
      </w:r>
      <w:r w:rsidR="00902157" w:rsidRPr="000578FE">
        <w:rPr>
          <w:rFonts w:ascii="Times New Roman" w:eastAsia="Times New Roman" w:hAnsi="Times New Roman" w:cs="Times New Roman"/>
          <w:i w:val="0"/>
          <w:color w:val="auto"/>
          <w:lang w:eastAsia="sk-SK"/>
        </w:rPr>
        <w:t xml:space="preserve">valitatívny prehľad vnútroštátneho trhu s energetickými </w:t>
      </w:r>
      <w:r w:rsidR="00044016">
        <w:rPr>
          <w:rFonts w:ascii="Times New Roman" w:eastAsia="Times New Roman" w:hAnsi="Times New Roman" w:cs="Times New Roman"/>
          <w:i w:val="0"/>
          <w:color w:val="auto"/>
          <w:lang w:eastAsia="sk-SK"/>
        </w:rPr>
        <w:t>s</w:t>
      </w:r>
      <w:r w:rsidR="00902157" w:rsidRPr="000578FE">
        <w:rPr>
          <w:rFonts w:ascii="Times New Roman" w:eastAsia="Times New Roman" w:hAnsi="Times New Roman" w:cs="Times New Roman"/>
          <w:i w:val="0"/>
          <w:color w:val="auto"/>
          <w:lang w:eastAsia="sk-SK"/>
        </w:rPr>
        <w:t>lužbami</w:t>
      </w:r>
      <w:bookmarkEnd w:id="90"/>
    </w:p>
    <w:p w14:paraId="7A8DFA81" w14:textId="77777777" w:rsidR="00044016" w:rsidRPr="000578FE" w:rsidRDefault="00044016" w:rsidP="000578FE">
      <w:pPr>
        <w:rPr>
          <w:lang w:eastAsia="sk-SK"/>
        </w:rPr>
      </w:pPr>
    </w:p>
    <w:p w14:paraId="607B72B3" w14:textId="77777777" w:rsidR="00E468BD" w:rsidRPr="000745A8" w:rsidRDefault="00E468BD" w:rsidP="008C48EE">
      <w:pPr>
        <w:jc w:val="both"/>
        <w:rPr>
          <w:rFonts w:ascii="Times New Roman" w:hAnsi="Times New Roman" w:cs="Times New Roman"/>
          <w:color w:val="000000"/>
          <w:sz w:val="24"/>
          <w:szCs w:val="24"/>
        </w:rPr>
      </w:pPr>
      <w:r w:rsidRPr="000745A8">
        <w:rPr>
          <w:rFonts w:ascii="Times New Roman" w:hAnsi="Times New Roman" w:cs="Times New Roman"/>
          <w:color w:val="000000"/>
          <w:sz w:val="24"/>
          <w:szCs w:val="24"/>
        </w:rPr>
        <w:t>Predpoklady pre kvalitné poskytovanie energetických služieb sú na Slovensku vytvorené prostredníctvom prijatého legislatívneho rámca pre oblasť garantovaných energetických služieb. Platná legislatíva definuje garantovanú energetickú službu ako viazanú živnosť, ktorú môže poskytovať výhradne držiteľ platného osvedčenia o odbornej spôsobilosti (alebo energetický audítor). Získanie osvedčenia o odbornej spôsobilosti na poskytovanie GES je podmienené splnením kvalifikačných predpokladov, zdokladovaním potrebnej praxe a vykonaním skúšky odbornej spôsobilosti. Platnosť osvedčenia je podmienená absolvovaním aktualizačnej odbornej prípravy minimálne raz za tri roky. Uvedené ustanovenia zabezpečujú splnenie minimálnych odborných štandardov potrebných pre kvalitné poskytovanie GES.</w:t>
      </w:r>
    </w:p>
    <w:p w14:paraId="7AEC3941" w14:textId="69C180B5" w:rsidR="00E468BD" w:rsidRPr="000745A8" w:rsidRDefault="00E468BD" w:rsidP="008C48EE">
      <w:pPr>
        <w:jc w:val="both"/>
        <w:rPr>
          <w:rFonts w:ascii="Times New Roman" w:hAnsi="Times New Roman" w:cs="Times New Roman"/>
          <w:color w:val="000000"/>
          <w:sz w:val="24"/>
          <w:szCs w:val="24"/>
        </w:rPr>
      </w:pPr>
      <w:r w:rsidRPr="000745A8">
        <w:rPr>
          <w:rFonts w:ascii="Times New Roman" w:hAnsi="Times New Roman" w:cs="Times New Roman"/>
          <w:color w:val="000000"/>
          <w:sz w:val="24"/>
          <w:szCs w:val="24"/>
        </w:rPr>
        <w:t xml:space="preserve">Ďalším spôsobom zabezpečenia kvality poskytovania GES je samoregulácia poskytovateľov GES vyjadrená ich pristúpením k Európskemu etickému kódexu pre </w:t>
      </w:r>
      <w:r w:rsidR="00FC0D73" w:rsidRPr="000745A8">
        <w:rPr>
          <w:rFonts w:ascii="Times New Roman" w:hAnsi="Times New Roman" w:cs="Times New Roman"/>
          <w:color w:val="000000"/>
          <w:sz w:val="24"/>
          <w:szCs w:val="24"/>
        </w:rPr>
        <w:t>poskytovateľov energetických služieb</w:t>
      </w:r>
      <w:r w:rsidRPr="000745A8">
        <w:rPr>
          <w:rFonts w:ascii="Times New Roman" w:hAnsi="Times New Roman" w:cs="Times New Roman"/>
          <w:color w:val="000000"/>
          <w:sz w:val="24"/>
          <w:szCs w:val="24"/>
        </w:rPr>
        <w:t>.</w:t>
      </w:r>
    </w:p>
    <w:p w14:paraId="535D78F5" w14:textId="5136D266" w:rsidR="00E468BD" w:rsidRPr="000745A8" w:rsidRDefault="00E468BD" w:rsidP="008C48EE">
      <w:pPr>
        <w:jc w:val="both"/>
        <w:rPr>
          <w:rFonts w:ascii="Times New Roman" w:hAnsi="Times New Roman" w:cs="Times New Roman"/>
          <w:color w:val="000000"/>
          <w:sz w:val="24"/>
          <w:szCs w:val="24"/>
        </w:rPr>
      </w:pPr>
      <w:r w:rsidRPr="000745A8">
        <w:rPr>
          <w:rFonts w:ascii="Times New Roman" w:hAnsi="Times New Roman" w:cs="Times New Roman"/>
          <w:color w:val="000000"/>
          <w:sz w:val="24"/>
          <w:szCs w:val="24"/>
        </w:rPr>
        <w:t>V súčasnosti nie je implementovaný formalizovaný systém hodnotenia kvality projektov GES, avšak na základe trhových informácií z projektov garantovaných energetických služieb realizovaných na Slovensku možno konštatovať, že kvalita a odbornosť poskytovateľov GES je jedným z rozhodujúcich faktorov s pozitívnym vplyvom na rozhodovanie o projektoch GES zo strany ich prijímateľov. V priebehu hodnoteného obdobia neboli z</w:t>
      </w:r>
      <w:r w:rsidR="00FC0D73" w:rsidRPr="000745A8">
        <w:rPr>
          <w:rFonts w:ascii="Times New Roman" w:hAnsi="Times New Roman" w:cs="Times New Roman"/>
          <w:color w:val="000000"/>
          <w:sz w:val="24"/>
          <w:szCs w:val="24"/>
        </w:rPr>
        <w:t>az</w:t>
      </w:r>
      <w:r w:rsidRPr="000745A8">
        <w:rPr>
          <w:rFonts w:ascii="Times New Roman" w:hAnsi="Times New Roman" w:cs="Times New Roman"/>
          <w:color w:val="000000"/>
          <w:sz w:val="24"/>
          <w:szCs w:val="24"/>
        </w:rPr>
        <w:t xml:space="preserve">namenané negatívne skúsenosti s kvalitou realizácie projektov. V absolútnej väčšine prípadov realizované projekty spĺňali dohodnuté parametre, vrátane plnenia výšky garantovaných úspor energie. V niektorých prípadoch, keď dohodnutá výška úspor nebola dosiahnutá, kompenzovali </w:t>
      </w:r>
      <w:r w:rsidR="00FC0D73" w:rsidRPr="000745A8">
        <w:rPr>
          <w:rFonts w:ascii="Times New Roman" w:hAnsi="Times New Roman" w:cs="Times New Roman"/>
          <w:color w:val="000000"/>
          <w:sz w:val="24"/>
          <w:szCs w:val="24"/>
        </w:rPr>
        <w:t xml:space="preserve">poskytovatelia </w:t>
      </w:r>
      <w:r w:rsidRPr="000745A8">
        <w:rPr>
          <w:rFonts w:ascii="Times New Roman" w:hAnsi="Times New Roman" w:cs="Times New Roman"/>
          <w:color w:val="000000"/>
          <w:sz w:val="24"/>
          <w:szCs w:val="24"/>
        </w:rPr>
        <w:t>GES tieto výpadky vopred dohodnutým spôsobom.</w:t>
      </w:r>
    </w:p>
    <w:p w14:paraId="1F38C8C8" w14:textId="77777777" w:rsidR="00E468BD" w:rsidRPr="009F2998" w:rsidRDefault="00E468BD" w:rsidP="003E7C46">
      <w:pPr>
        <w:jc w:val="both"/>
        <w:rPr>
          <w:rFonts w:ascii="Times New Roman" w:hAnsi="Times New Roman" w:cs="Times New Roman"/>
        </w:rPr>
      </w:pPr>
    </w:p>
    <w:p w14:paraId="59936DF5" w14:textId="77777777" w:rsidR="00902157" w:rsidRPr="000578FE" w:rsidRDefault="00902157" w:rsidP="007157D7">
      <w:pPr>
        <w:pStyle w:val="Nadpis3"/>
        <w:keepNext w:val="0"/>
        <w:keepLines w:val="0"/>
        <w:numPr>
          <w:ilvl w:val="2"/>
          <w:numId w:val="16"/>
        </w:numPr>
        <w:ind w:left="1276" w:hanging="567"/>
        <w:rPr>
          <w:rFonts w:ascii="Times New Roman" w:hAnsi="Times New Roman" w:cs="Times New Roman"/>
          <w:color w:val="auto"/>
        </w:rPr>
      </w:pPr>
      <w:bookmarkStart w:id="91" w:name="_Toc480547264"/>
      <w:r w:rsidRPr="000578FE">
        <w:rPr>
          <w:rFonts w:ascii="Times New Roman" w:hAnsi="Times New Roman" w:cs="Times New Roman"/>
          <w:color w:val="auto"/>
        </w:rPr>
        <w:t>Ďalšie opatrenia horizontálneho charakteru (články 19 a 20 SEE)</w:t>
      </w:r>
      <w:bookmarkEnd w:id="91"/>
    </w:p>
    <w:p w14:paraId="0F0B6B2E" w14:textId="77777777" w:rsidR="00F65D89" w:rsidRPr="000745A8" w:rsidRDefault="00F65D89" w:rsidP="00F65D89">
      <w:pPr>
        <w:rPr>
          <w:rFonts w:ascii="Times New Roman" w:hAnsi="Times New Roman" w:cs="Times New Roman"/>
          <w:sz w:val="24"/>
        </w:rPr>
      </w:pPr>
    </w:p>
    <w:p w14:paraId="07EE44AC" w14:textId="360A7EC5" w:rsidR="00902157" w:rsidRPr="000745A8" w:rsidRDefault="00902157" w:rsidP="000745A8">
      <w:pPr>
        <w:jc w:val="both"/>
        <w:rPr>
          <w:rFonts w:ascii="Times New Roman" w:hAnsi="Times New Roman" w:cs="Times New Roman"/>
          <w:sz w:val="24"/>
        </w:rPr>
      </w:pPr>
      <w:r w:rsidRPr="000745A8">
        <w:rPr>
          <w:rFonts w:ascii="Times New Roman" w:hAnsi="Times New Roman" w:cs="Times New Roman"/>
          <w:sz w:val="24"/>
        </w:rPr>
        <w:t>Prvý národný akčný plán energetickej efektívnosti obsahuje zoznam opatrení uvedených v článku 19 ods. 1.SK 14.11.2012 Úradný vestník Európskej únie L 315/51</w:t>
      </w:r>
      <w:r w:rsidR="00044366">
        <w:rPr>
          <w:rFonts w:ascii="Times New Roman" w:hAnsi="Times New Roman" w:cs="Times New Roman"/>
          <w:sz w:val="24"/>
        </w:rPr>
        <w:t>.</w:t>
      </w:r>
    </w:p>
    <w:p w14:paraId="5ACD26D7" w14:textId="3F3282EC" w:rsidR="00902157" w:rsidRPr="000745A8" w:rsidRDefault="00902157" w:rsidP="000745A8">
      <w:pPr>
        <w:jc w:val="both"/>
        <w:rPr>
          <w:rFonts w:ascii="Times New Roman" w:hAnsi="Times New Roman" w:cs="Times New Roman"/>
          <w:color w:val="000000"/>
          <w:sz w:val="24"/>
        </w:rPr>
      </w:pPr>
      <w:r w:rsidRPr="000745A8">
        <w:rPr>
          <w:rFonts w:ascii="Times New Roman" w:hAnsi="Times New Roman" w:cs="Times New Roman"/>
          <w:color w:val="000000"/>
          <w:sz w:val="24"/>
        </w:rPr>
        <w:t>V prípade požiadaviek na vyriešenie problematiky zvýšenia záujmu nájomcu</w:t>
      </w:r>
      <w:r w:rsidRPr="000745A8" w:rsidDel="005429ED">
        <w:rPr>
          <w:rFonts w:ascii="Times New Roman" w:hAnsi="Times New Roman" w:cs="Times New Roman"/>
          <w:color w:val="000000"/>
          <w:sz w:val="24"/>
        </w:rPr>
        <w:t xml:space="preserve"> </w:t>
      </w:r>
      <w:r w:rsidRPr="000745A8">
        <w:rPr>
          <w:rFonts w:ascii="Times New Roman" w:hAnsi="Times New Roman" w:cs="Times New Roman"/>
          <w:color w:val="000000"/>
          <w:sz w:val="24"/>
        </w:rPr>
        <w:t xml:space="preserve">ohľadne cien energie a investícií do úsporných opatrení, SR navrhla v návrhu zákona o energetickej efektívnosti povinnosť samostatného účtovania energie v rámci poskytovania nájmu v prípade </w:t>
      </w:r>
      <w:r w:rsidR="00A91550" w:rsidRPr="000745A8">
        <w:rPr>
          <w:rFonts w:ascii="Times New Roman" w:hAnsi="Times New Roman" w:cs="Times New Roman"/>
          <w:color w:val="000000"/>
          <w:sz w:val="24"/>
        </w:rPr>
        <w:t xml:space="preserve">inštalácie </w:t>
      </w:r>
      <w:r w:rsidRPr="000745A8">
        <w:rPr>
          <w:rFonts w:ascii="Times New Roman" w:hAnsi="Times New Roman" w:cs="Times New Roman"/>
          <w:color w:val="000000"/>
          <w:sz w:val="24"/>
        </w:rPr>
        <w:t xml:space="preserve"> určeného meradla a pre priestory s podlahovou plochou nad 1 000 m</w:t>
      </w:r>
      <w:r w:rsidRPr="000745A8">
        <w:rPr>
          <w:rFonts w:ascii="Times New Roman" w:hAnsi="Times New Roman" w:cs="Times New Roman"/>
          <w:color w:val="000000"/>
          <w:sz w:val="24"/>
          <w:vertAlign w:val="superscript"/>
        </w:rPr>
        <w:t>2</w:t>
      </w:r>
      <w:r w:rsidRPr="000745A8">
        <w:rPr>
          <w:rFonts w:ascii="Times New Roman" w:hAnsi="Times New Roman" w:cs="Times New Roman"/>
          <w:color w:val="000000"/>
          <w:sz w:val="24"/>
        </w:rPr>
        <w:t>.</w:t>
      </w:r>
    </w:p>
    <w:p w14:paraId="0B57F454" w14:textId="77777777" w:rsidR="00902157" w:rsidRPr="009F2998" w:rsidRDefault="00902157" w:rsidP="00902157">
      <w:pPr>
        <w:rPr>
          <w:rFonts w:ascii="Times New Roman" w:hAnsi="Times New Roman" w:cs="Times New Roman"/>
          <w:color w:val="000000"/>
        </w:rPr>
      </w:pPr>
    </w:p>
    <w:p w14:paraId="4844F569" w14:textId="33542E5C" w:rsidR="00902157" w:rsidRPr="000578FE" w:rsidRDefault="00BF460E" w:rsidP="009927E4">
      <w:pPr>
        <w:pStyle w:val="Nadpis4"/>
        <w:numPr>
          <w:ilvl w:val="3"/>
          <w:numId w:val="16"/>
        </w:numPr>
        <w:rPr>
          <w:rFonts w:ascii="Times New Roman" w:eastAsia="Times New Roman" w:hAnsi="Times New Roman" w:cs="Times New Roman"/>
          <w:i w:val="0"/>
          <w:color w:val="auto"/>
          <w:lang w:eastAsia="sk-SK"/>
        </w:rPr>
      </w:pPr>
      <w:bookmarkStart w:id="92" w:name="_Toc480547265"/>
      <w:r w:rsidRPr="000578FE">
        <w:rPr>
          <w:rFonts w:ascii="Times New Roman" w:eastAsia="Times New Roman" w:hAnsi="Times New Roman" w:cs="Times New Roman"/>
          <w:i w:val="0"/>
          <w:color w:val="auto"/>
          <w:lang w:eastAsia="sk-SK"/>
        </w:rPr>
        <w:t>O</w:t>
      </w:r>
      <w:r w:rsidR="00902157" w:rsidRPr="000578FE">
        <w:rPr>
          <w:rFonts w:ascii="Times New Roman" w:eastAsia="Times New Roman" w:hAnsi="Times New Roman" w:cs="Times New Roman"/>
          <w:i w:val="0"/>
          <w:color w:val="auto"/>
          <w:lang w:eastAsia="sk-SK"/>
        </w:rPr>
        <w:t xml:space="preserve">patrenia v oblasti </w:t>
      </w:r>
      <w:r w:rsidR="009927E4" w:rsidRPr="009927E4">
        <w:rPr>
          <w:rFonts w:ascii="Times New Roman" w:eastAsia="Times New Roman" w:hAnsi="Times New Roman" w:cs="Times New Roman"/>
          <w:i w:val="0"/>
          <w:color w:val="auto"/>
          <w:lang w:eastAsia="sk-SK"/>
        </w:rPr>
        <w:t>energetickej efektívnosti</w:t>
      </w:r>
      <w:r w:rsidR="009927E4" w:rsidRPr="009927E4" w:rsidDel="009927E4">
        <w:rPr>
          <w:rFonts w:ascii="Times New Roman" w:eastAsia="Times New Roman" w:hAnsi="Times New Roman" w:cs="Times New Roman"/>
          <w:i w:val="0"/>
          <w:color w:val="auto"/>
          <w:lang w:eastAsia="sk-SK"/>
        </w:rPr>
        <w:t xml:space="preserve"> </w:t>
      </w:r>
      <w:r w:rsidR="00902157" w:rsidRPr="000578FE">
        <w:rPr>
          <w:rFonts w:ascii="Times New Roman" w:eastAsia="Times New Roman" w:hAnsi="Times New Roman" w:cs="Times New Roman"/>
          <w:i w:val="0"/>
          <w:color w:val="auto"/>
          <w:lang w:eastAsia="sk-SK"/>
        </w:rPr>
        <w:t>podniknuté v záujme vykonávania článku 19 SEE.</w:t>
      </w:r>
      <w:bookmarkEnd w:id="92"/>
    </w:p>
    <w:p w14:paraId="1B1684C9" w14:textId="6ADD7B02" w:rsidR="00D577C9" w:rsidRPr="000745A8" w:rsidRDefault="00D577C9" w:rsidP="000745A8">
      <w:pPr>
        <w:jc w:val="both"/>
        <w:rPr>
          <w:rFonts w:ascii="Times New Roman" w:hAnsi="Times New Roman" w:cs="Times New Roman"/>
          <w:sz w:val="24"/>
        </w:rPr>
      </w:pPr>
      <w:r w:rsidRPr="000745A8">
        <w:rPr>
          <w:rFonts w:ascii="Times New Roman" w:hAnsi="Times New Roman" w:cs="Times New Roman"/>
          <w:sz w:val="24"/>
        </w:rPr>
        <w:t>Neuplatňuje sa.</w:t>
      </w:r>
    </w:p>
    <w:p w14:paraId="18878E25" w14:textId="501D7FC4" w:rsidR="00902157" w:rsidRPr="000578FE" w:rsidRDefault="00BF460E" w:rsidP="009927E4">
      <w:pPr>
        <w:pStyle w:val="Nadpis4"/>
        <w:numPr>
          <w:ilvl w:val="3"/>
          <w:numId w:val="16"/>
        </w:numPr>
        <w:rPr>
          <w:rFonts w:ascii="Times New Roman" w:eastAsia="Times New Roman" w:hAnsi="Times New Roman" w:cs="Times New Roman"/>
          <w:i w:val="0"/>
          <w:color w:val="auto"/>
          <w:lang w:eastAsia="sk-SK"/>
        </w:rPr>
      </w:pPr>
      <w:bookmarkStart w:id="93" w:name="_Toc480547266"/>
      <w:r w:rsidRPr="000578FE">
        <w:rPr>
          <w:rFonts w:ascii="Times New Roman" w:eastAsia="Times New Roman" w:hAnsi="Times New Roman" w:cs="Times New Roman"/>
          <w:i w:val="0"/>
          <w:color w:val="auto"/>
          <w:lang w:eastAsia="sk-SK"/>
        </w:rPr>
        <w:t>I</w:t>
      </w:r>
      <w:r w:rsidR="00902157" w:rsidRPr="000578FE">
        <w:rPr>
          <w:rFonts w:ascii="Times New Roman" w:eastAsia="Times New Roman" w:hAnsi="Times New Roman" w:cs="Times New Roman"/>
          <w:i w:val="0"/>
          <w:color w:val="auto"/>
          <w:lang w:eastAsia="sk-SK"/>
        </w:rPr>
        <w:t xml:space="preserve">nformácie o národnom fonde </w:t>
      </w:r>
      <w:r w:rsidR="009927E4" w:rsidRPr="009927E4">
        <w:rPr>
          <w:rFonts w:ascii="Times New Roman" w:eastAsia="Times New Roman" w:hAnsi="Times New Roman" w:cs="Times New Roman"/>
          <w:i w:val="0"/>
          <w:color w:val="auto"/>
          <w:lang w:eastAsia="sk-SK"/>
        </w:rPr>
        <w:t>energetickej efektívnosti</w:t>
      </w:r>
      <w:bookmarkEnd w:id="93"/>
    </w:p>
    <w:p w14:paraId="0879C1F4" w14:textId="42126BAE" w:rsidR="00D577C9" w:rsidRPr="000745A8" w:rsidRDefault="00D577C9" w:rsidP="000745A8">
      <w:pPr>
        <w:jc w:val="both"/>
        <w:rPr>
          <w:rFonts w:ascii="Times New Roman" w:hAnsi="Times New Roman" w:cs="Times New Roman"/>
          <w:sz w:val="24"/>
        </w:rPr>
      </w:pPr>
      <w:r w:rsidRPr="000745A8">
        <w:rPr>
          <w:rFonts w:ascii="Times New Roman" w:hAnsi="Times New Roman" w:cs="Times New Roman"/>
          <w:sz w:val="24"/>
        </w:rPr>
        <w:t>Neuplatňuje sa. Fond EE nebol vytvorený</w:t>
      </w:r>
    </w:p>
    <w:p w14:paraId="2364E27B" w14:textId="77777777" w:rsidR="00902157" w:rsidRPr="000578FE" w:rsidRDefault="00902157" w:rsidP="007157D7">
      <w:pPr>
        <w:pStyle w:val="Nadpis4"/>
        <w:numPr>
          <w:ilvl w:val="3"/>
          <w:numId w:val="16"/>
        </w:numPr>
        <w:rPr>
          <w:rFonts w:ascii="Times New Roman" w:eastAsia="Times New Roman" w:hAnsi="Times New Roman" w:cs="Times New Roman"/>
          <w:i w:val="0"/>
          <w:color w:val="auto"/>
          <w:lang w:eastAsia="sk-SK"/>
        </w:rPr>
      </w:pPr>
      <w:bookmarkStart w:id="94" w:name="_Toc480547267"/>
      <w:r w:rsidRPr="000578FE">
        <w:rPr>
          <w:rFonts w:ascii="Times New Roman" w:eastAsia="Times New Roman" w:hAnsi="Times New Roman" w:cs="Times New Roman"/>
          <w:i w:val="0"/>
          <w:color w:val="auto"/>
          <w:lang w:eastAsia="sk-SK"/>
        </w:rPr>
        <w:lastRenderedPageBreak/>
        <w:t>Ostatné horizontálne opatrenia</w:t>
      </w:r>
      <w:bookmarkEnd w:id="94"/>
    </w:p>
    <w:p w14:paraId="7F4597F8" w14:textId="494BDA9D" w:rsidR="002324F3" w:rsidRPr="000745A8" w:rsidRDefault="002324F3" w:rsidP="000745A8">
      <w:pPr>
        <w:jc w:val="both"/>
        <w:rPr>
          <w:rFonts w:ascii="Times New Roman" w:hAnsi="Times New Roman" w:cs="Times New Roman"/>
          <w:sz w:val="24"/>
        </w:rPr>
      </w:pPr>
      <w:r w:rsidRPr="000745A8">
        <w:rPr>
          <w:rFonts w:ascii="Times New Roman" w:hAnsi="Times New Roman" w:cs="Times New Roman"/>
          <w:sz w:val="24"/>
        </w:rPr>
        <w:t xml:space="preserve">Horizontálne opatrenia realizované v rokoch 2014 až 2016 sú detailne vymenované v Prílohe č. </w:t>
      </w:r>
      <w:r w:rsidR="00044366">
        <w:rPr>
          <w:rFonts w:ascii="Times New Roman" w:hAnsi="Times New Roman" w:cs="Times New Roman"/>
          <w:sz w:val="24"/>
        </w:rPr>
        <w:t>3.</w:t>
      </w:r>
    </w:p>
    <w:p w14:paraId="748A093A" w14:textId="5F11FC7C" w:rsidR="00044366" w:rsidRPr="001836AE" w:rsidRDefault="002324F3" w:rsidP="00044366">
      <w:pPr>
        <w:jc w:val="both"/>
        <w:rPr>
          <w:rFonts w:ascii="Times New Roman" w:hAnsi="Times New Roman" w:cs="Times New Roman"/>
          <w:sz w:val="24"/>
        </w:rPr>
      </w:pPr>
      <w:r w:rsidRPr="000745A8">
        <w:rPr>
          <w:rFonts w:ascii="Times New Roman" w:hAnsi="Times New Roman" w:cs="Times New Roman"/>
          <w:sz w:val="24"/>
        </w:rPr>
        <w:t xml:space="preserve">Na dosiahnutie úspor </w:t>
      </w:r>
      <w:r w:rsidR="00A91550" w:rsidRPr="000745A8">
        <w:rPr>
          <w:rFonts w:ascii="Times New Roman" w:hAnsi="Times New Roman" w:cs="Times New Roman"/>
          <w:sz w:val="24"/>
        </w:rPr>
        <w:t xml:space="preserve">energie </w:t>
      </w:r>
      <w:r w:rsidRPr="000745A8">
        <w:rPr>
          <w:rFonts w:ascii="Times New Roman" w:hAnsi="Times New Roman" w:cs="Times New Roman"/>
          <w:sz w:val="24"/>
        </w:rPr>
        <w:t>v iných opatreniach prispeli aj tzv. „</w:t>
      </w:r>
      <w:r w:rsidR="00A91550" w:rsidRPr="000745A8">
        <w:rPr>
          <w:rFonts w:ascii="Times New Roman" w:hAnsi="Times New Roman" w:cs="Times New Roman"/>
          <w:sz w:val="24"/>
        </w:rPr>
        <w:t xml:space="preserve">podporné </w:t>
      </w:r>
      <w:r w:rsidRPr="000745A8">
        <w:rPr>
          <w:rFonts w:ascii="Times New Roman" w:hAnsi="Times New Roman" w:cs="Times New Roman"/>
          <w:sz w:val="24"/>
        </w:rPr>
        <w:t>opatrenia“, ktoré neboli explicitne vyhodnocované</w:t>
      </w:r>
      <w:r w:rsidR="00044366">
        <w:rPr>
          <w:rFonts w:ascii="Times New Roman" w:hAnsi="Times New Roman" w:cs="Times New Roman"/>
          <w:sz w:val="24"/>
        </w:rPr>
        <w:t xml:space="preserve">, nakoľko ich vplyv je prierezový a nemožno ho priradiť k samotnému opatreniu.  </w:t>
      </w:r>
    </w:p>
    <w:p w14:paraId="2BE3FBEE" w14:textId="2A1A4C72" w:rsidR="002324F3" w:rsidRPr="000745A8" w:rsidRDefault="002324F3" w:rsidP="000745A8">
      <w:pPr>
        <w:jc w:val="both"/>
        <w:rPr>
          <w:rFonts w:ascii="Times New Roman" w:hAnsi="Times New Roman" w:cs="Times New Roman"/>
          <w:sz w:val="24"/>
        </w:rPr>
      </w:pPr>
      <w:r w:rsidRPr="000745A8">
        <w:rPr>
          <w:rFonts w:ascii="Times New Roman" w:hAnsi="Times New Roman" w:cs="Times New Roman"/>
          <w:sz w:val="24"/>
        </w:rPr>
        <w:t>Prehľad nevyhodnotených opatrení v jednotlivých sektoroch uvádzaných v 3AP je  uvedený v Prílohe č. 5 tab. P5-1.</w:t>
      </w:r>
    </w:p>
    <w:p w14:paraId="6CB83E1B" w14:textId="77777777" w:rsidR="00F65D89" w:rsidRPr="009F2998" w:rsidRDefault="00F65D89" w:rsidP="002324F3">
      <w:pPr>
        <w:rPr>
          <w:rFonts w:ascii="Times New Roman" w:hAnsi="Times New Roman" w:cs="Times New Roman"/>
        </w:rPr>
      </w:pPr>
    </w:p>
    <w:p w14:paraId="7638766C" w14:textId="77777777" w:rsidR="002A2475" w:rsidRPr="009F2998" w:rsidRDefault="002A2475" w:rsidP="00902157">
      <w:pPr>
        <w:rPr>
          <w:rFonts w:ascii="Times New Roman" w:hAnsi="Times New Roman" w:cs="Times New Roman"/>
        </w:rPr>
      </w:pPr>
    </w:p>
    <w:p w14:paraId="2F051735" w14:textId="77777777" w:rsidR="00752288" w:rsidRPr="000578FE" w:rsidRDefault="00752288" w:rsidP="007157D7">
      <w:pPr>
        <w:pStyle w:val="Nadpis2"/>
        <w:keepNext w:val="0"/>
        <w:keepLines w:val="0"/>
        <w:numPr>
          <w:ilvl w:val="1"/>
          <w:numId w:val="16"/>
        </w:numPr>
        <w:ind w:left="993" w:hanging="567"/>
        <w:rPr>
          <w:rFonts w:ascii="Times New Roman" w:hAnsi="Times New Roman" w:cs="Times New Roman"/>
          <w:color w:val="auto"/>
        </w:rPr>
      </w:pPr>
      <w:bookmarkStart w:id="95" w:name="_Toc480547268"/>
      <w:r w:rsidRPr="000578FE">
        <w:rPr>
          <w:rFonts w:ascii="Times New Roman" w:hAnsi="Times New Roman" w:cs="Times New Roman"/>
          <w:color w:val="auto"/>
        </w:rPr>
        <w:t>Energetická efektívnosť budov</w:t>
      </w:r>
      <w:bookmarkEnd w:id="95"/>
    </w:p>
    <w:p w14:paraId="71582604" w14:textId="05E70CC4" w:rsidR="00752288" w:rsidRPr="000578FE" w:rsidRDefault="00752288" w:rsidP="007157D7">
      <w:pPr>
        <w:pStyle w:val="Nadpis3"/>
        <w:keepNext w:val="0"/>
        <w:keepLines w:val="0"/>
        <w:numPr>
          <w:ilvl w:val="2"/>
          <w:numId w:val="16"/>
        </w:numPr>
        <w:ind w:left="1276" w:hanging="567"/>
        <w:rPr>
          <w:rFonts w:ascii="Times New Roman" w:hAnsi="Times New Roman" w:cs="Times New Roman"/>
          <w:color w:val="auto"/>
        </w:rPr>
      </w:pPr>
      <w:bookmarkStart w:id="96" w:name="_Toc480547269"/>
      <w:r w:rsidRPr="000578FE">
        <w:rPr>
          <w:rFonts w:ascii="Times New Roman" w:hAnsi="Times New Roman" w:cs="Times New Roman"/>
          <w:color w:val="auto"/>
        </w:rPr>
        <w:t>Stratégia obnov</w:t>
      </w:r>
      <w:r w:rsidR="00BF460E" w:rsidRPr="000578FE">
        <w:rPr>
          <w:rFonts w:ascii="Times New Roman" w:hAnsi="Times New Roman" w:cs="Times New Roman"/>
          <w:color w:val="auto"/>
        </w:rPr>
        <w:t>y</w:t>
      </w:r>
      <w:r w:rsidRPr="000578FE">
        <w:rPr>
          <w:rFonts w:ascii="Times New Roman" w:hAnsi="Times New Roman" w:cs="Times New Roman"/>
          <w:color w:val="auto"/>
        </w:rPr>
        <w:t xml:space="preserve"> budov (článok 4 SEE)</w:t>
      </w:r>
      <w:bookmarkEnd w:id="96"/>
    </w:p>
    <w:p w14:paraId="7333918F" w14:textId="77777777" w:rsidR="00F65D89" w:rsidRPr="007345A8" w:rsidRDefault="00F65D89" w:rsidP="00B51C42">
      <w:pPr>
        <w:jc w:val="both"/>
        <w:rPr>
          <w:rFonts w:ascii="Times New Roman" w:hAnsi="Times New Roman" w:cs="Times New Roman"/>
        </w:rPr>
      </w:pPr>
    </w:p>
    <w:p w14:paraId="3A50A83B" w14:textId="1AC892B0" w:rsidR="00B51C42" w:rsidRPr="000745A8" w:rsidRDefault="00B51C42" w:rsidP="00B51C42">
      <w:pPr>
        <w:jc w:val="both"/>
        <w:rPr>
          <w:rFonts w:ascii="Times New Roman" w:hAnsi="Times New Roman" w:cs="Times New Roman"/>
          <w:sz w:val="24"/>
        </w:rPr>
      </w:pPr>
      <w:r w:rsidRPr="000745A8">
        <w:rPr>
          <w:rFonts w:ascii="Times New Roman" w:hAnsi="Times New Roman" w:cs="Times New Roman"/>
          <w:sz w:val="24"/>
        </w:rPr>
        <w:t xml:space="preserve">Základným koncepčným a strategickým dokumentom, ktorý bol pripravený </w:t>
      </w:r>
      <w:r w:rsidR="00A91550" w:rsidRPr="000745A8">
        <w:rPr>
          <w:rFonts w:ascii="Times New Roman" w:hAnsi="Times New Roman" w:cs="Times New Roman"/>
          <w:sz w:val="24"/>
        </w:rPr>
        <w:t xml:space="preserve">s </w:t>
      </w:r>
      <w:r w:rsidRPr="000745A8">
        <w:rPr>
          <w:rFonts w:ascii="Times New Roman" w:hAnsi="Times New Roman" w:cs="Times New Roman"/>
          <w:sz w:val="24"/>
        </w:rPr>
        <w:t>cieľom umožniť definovať investičné možnosti obnovy fondu budov v SR a formy ich financovania, je Stratégia obnovy fondu bytových a nebytových budov v Slovenskej republike (schválená uznesen</w:t>
      </w:r>
      <w:r w:rsidR="00A8183F">
        <w:rPr>
          <w:rFonts w:ascii="Times New Roman" w:hAnsi="Times New Roman" w:cs="Times New Roman"/>
          <w:sz w:val="24"/>
        </w:rPr>
        <w:t>ím</w:t>
      </w:r>
      <w:r w:rsidRPr="000745A8">
        <w:rPr>
          <w:rFonts w:ascii="Times New Roman" w:hAnsi="Times New Roman" w:cs="Times New Roman"/>
          <w:sz w:val="24"/>
        </w:rPr>
        <w:t xml:space="preserve"> vlády</w:t>
      </w:r>
      <w:r w:rsidR="00A8183F">
        <w:rPr>
          <w:rFonts w:ascii="Times New Roman" w:hAnsi="Times New Roman" w:cs="Times New Roman"/>
          <w:sz w:val="24"/>
        </w:rPr>
        <w:t xml:space="preserve"> SR</w:t>
      </w:r>
      <w:r w:rsidRPr="000745A8">
        <w:rPr>
          <w:rFonts w:ascii="Times New Roman" w:hAnsi="Times New Roman" w:cs="Times New Roman"/>
          <w:sz w:val="24"/>
        </w:rPr>
        <w:t xml:space="preserve"> č. 347/2014). MDV SR na základe požiadavky vyplývajúcej zo smernice 2012/27/EÚ</w:t>
      </w:r>
      <w:r w:rsidR="0054117B">
        <w:rPr>
          <w:rFonts w:ascii="Times New Roman" w:hAnsi="Times New Roman" w:cs="Times New Roman"/>
          <w:sz w:val="24"/>
        </w:rPr>
        <w:t xml:space="preserve">, zákona č. 321/2014 Z. z., ako aj úlohy </w:t>
      </w:r>
      <w:r w:rsidR="00141DB8">
        <w:rPr>
          <w:rFonts w:ascii="Times New Roman" w:hAnsi="Times New Roman" w:cs="Times New Roman"/>
          <w:sz w:val="24"/>
        </w:rPr>
        <w:t xml:space="preserve">C.2. </w:t>
      </w:r>
      <w:r w:rsidR="0054117B">
        <w:rPr>
          <w:rFonts w:ascii="Times New Roman" w:hAnsi="Times New Roman" w:cs="Times New Roman"/>
          <w:sz w:val="24"/>
        </w:rPr>
        <w:t xml:space="preserve">vyplývajúcej z uznesenia vlády č. 398/2014 k uvedenému zákonu,  </w:t>
      </w:r>
      <w:r w:rsidRPr="000745A8">
        <w:rPr>
          <w:rFonts w:ascii="Times New Roman" w:hAnsi="Times New Roman" w:cs="Times New Roman"/>
          <w:sz w:val="24"/>
        </w:rPr>
        <w:t>v súčasnosti pripravuje jej aktualizáciu, ktorá bude schválená vládou SR v apríli 2017.</w:t>
      </w:r>
    </w:p>
    <w:p w14:paraId="1744A2D1" w14:textId="77777777" w:rsidR="00752288" w:rsidRPr="000578FE" w:rsidRDefault="00752288" w:rsidP="007157D7">
      <w:pPr>
        <w:pStyle w:val="Nadpis3"/>
        <w:keepNext w:val="0"/>
        <w:keepLines w:val="0"/>
        <w:numPr>
          <w:ilvl w:val="2"/>
          <w:numId w:val="16"/>
        </w:numPr>
        <w:ind w:left="1276" w:hanging="567"/>
        <w:rPr>
          <w:rFonts w:ascii="Times New Roman" w:hAnsi="Times New Roman" w:cs="Times New Roman"/>
          <w:color w:val="auto"/>
        </w:rPr>
      </w:pPr>
      <w:bookmarkStart w:id="97" w:name="_Toc480547270"/>
      <w:r w:rsidRPr="000578FE">
        <w:rPr>
          <w:rFonts w:ascii="Times New Roman" w:hAnsi="Times New Roman" w:cs="Times New Roman"/>
          <w:color w:val="auto"/>
        </w:rPr>
        <w:t>Ďalšia energetická efektívnosť v oblasti budov</w:t>
      </w:r>
      <w:bookmarkEnd w:id="97"/>
    </w:p>
    <w:p w14:paraId="1C640F9D" w14:textId="77777777" w:rsidR="00F65D89" w:rsidRPr="009F2998" w:rsidRDefault="00F65D89" w:rsidP="00B51C42">
      <w:pPr>
        <w:jc w:val="both"/>
        <w:rPr>
          <w:rFonts w:ascii="Times New Roman" w:hAnsi="Times New Roman" w:cs="Times New Roman"/>
        </w:rPr>
      </w:pPr>
    </w:p>
    <w:p w14:paraId="48BB54C9" w14:textId="77777777" w:rsidR="00B51C42" w:rsidRPr="000745A8" w:rsidRDefault="00B51C42" w:rsidP="00B51C42">
      <w:pPr>
        <w:jc w:val="both"/>
        <w:rPr>
          <w:rFonts w:ascii="Times New Roman" w:hAnsi="Times New Roman" w:cs="Times New Roman"/>
          <w:sz w:val="24"/>
          <w:szCs w:val="24"/>
        </w:rPr>
      </w:pPr>
      <w:r w:rsidRPr="000745A8">
        <w:rPr>
          <w:rFonts w:ascii="Times New Roman" w:hAnsi="Times New Roman" w:cs="Times New Roman"/>
          <w:sz w:val="24"/>
          <w:szCs w:val="24"/>
        </w:rPr>
        <w:t xml:space="preserve">Medzi najdôležitejšie opatrenia energetickej efektívnosti v oblasti budov (vrátane verejných budov) patria: </w:t>
      </w:r>
    </w:p>
    <w:p w14:paraId="55B07E82" w14:textId="77777777" w:rsidR="00B51C42" w:rsidRPr="000745A8" w:rsidRDefault="00B51C42" w:rsidP="007157D7">
      <w:pPr>
        <w:pStyle w:val="Odsekzoznamu"/>
        <w:numPr>
          <w:ilvl w:val="0"/>
          <w:numId w:val="10"/>
        </w:numPr>
        <w:jc w:val="both"/>
        <w:rPr>
          <w:rFonts w:ascii="Times New Roman" w:hAnsi="Times New Roman" w:cs="Times New Roman"/>
          <w:sz w:val="24"/>
          <w:szCs w:val="24"/>
        </w:rPr>
      </w:pPr>
      <w:r w:rsidRPr="000745A8">
        <w:rPr>
          <w:rFonts w:ascii="Times New Roman" w:hAnsi="Times New Roman" w:cs="Times New Roman"/>
          <w:sz w:val="24"/>
          <w:szCs w:val="24"/>
        </w:rPr>
        <w:t>Podporné programy a iné fiškálne stimuly – podpora obnovy budov z národných zdrojov (ŠFRB, štátne prémie pri stavebnom sporení, Zatepľovanie rodinných domov), zdrojov štrukturálnych fondov  (napr. ROP, OP VaV, OP Zdravotníctvo, IROP, OP KŽP) a iných zdrojov (iniciatívy Munseff I., II., Slovseff I., II., III. a i.).</w:t>
      </w:r>
    </w:p>
    <w:p w14:paraId="6EF212BF" w14:textId="77777777" w:rsidR="00B51C42" w:rsidRPr="000745A8" w:rsidRDefault="00B51C42" w:rsidP="007157D7">
      <w:pPr>
        <w:pStyle w:val="Odsekzoznamu"/>
        <w:numPr>
          <w:ilvl w:val="0"/>
          <w:numId w:val="10"/>
        </w:numPr>
        <w:jc w:val="both"/>
        <w:rPr>
          <w:rFonts w:ascii="Times New Roman" w:hAnsi="Times New Roman" w:cs="Times New Roman"/>
          <w:sz w:val="24"/>
          <w:szCs w:val="24"/>
        </w:rPr>
      </w:pPr>
      <w:r w:rsidRPr="000745A8">
        <w:rPr>
          <w:rFonts w:ascii="Times New Roman" w:hAnsi="Times New Roman" w:cs="Times New Roman"/>
          <w:sz w:val="24"/>
          <w:szCs w:val="24"/>
        </w:rPr>
        <w:t>Legislatívne opatrenia - povinnosť zabezpečiť hydraulické vyváženie vykurovacej sústavy budovy po každom zásahu do jej tepelnej ochrany alebo technického systému, zabezpečiť reguláciu zásobovania teplom v budove, zabezpečiť a udržiavať hydraulicky vyregulované rozvody teplej vody (budovy nad 1000 m</w:t>
      </w:r>
      <w:r w:rsidRPr="000745A8">
        <w:rPr>
          <w:rFonts w:ascii="Times New Roman" w:hAnsi="Times New Roman" w:cs="Times New Roman"/>
          <w:sz w:val="24"/>
          <w:szCs w:val="24"/>
          <w:vertAlign w:val="superscript"/>
        </w:rPr>
        <w:t>2</w:t>
      </w:r>
      <w:r w:rsidRPr="000745A8">
        <w:rPr>
          <w:rFonts w:ascii="Times New Roman" w:hAnsi="Times New Roman" w:cs="Times New Roman"/>
          <w:sz w:val="24"/>
          <w:szCs w:val="24"/>
        </w:rPr>
        <w:t>), vybaviť rozvody tepla a teplej vody vhodnou tepelnou izoláciou (budovy nad 1000 m</w:t>
      </w:r>
      <w:r w:rsidRPr="000745A8">
        <w:rPr>
          <w:rFonts w:ascii="Times New Roman" w:hAnsi="Times New Roman" w:cs="Times New Roman"/>
          <w:sz w:val="24"/>
          <w:szCs w:val="24"/>
          <w:vertAlign w:val="superscript"/>
        </w:rPr>
        <w:t>2</w:t>
      </w:r>
      <w:r w:rsidRPr="000745A8">
        <w:rPr>
          <w:rFonts w:ascii="Times New Roman" w:hAnsi="Times New Roman" w:cs="Times New Roman"/>
          <w:sz w:val="24"/>
          <w:szCs w:val="24"/>
        </w:rPr>
        <w:t xml:space="preserve">), povinnosť zabezpečiť pravidelnú kontrolu vykurovacích systémov a klimatizačných systémov. </w:t>
      </w:r>
    </w:p>
    <w:p w14:paraId="57C61B34" w14:textId="0ABA4B87" w:rsidR="00B51C42" w:rsidRPr="000745A8" w:rsidRDefault="00B51C42" w:rsidP="007157D7">
      <w:pPr>
        <w:pStyle w:val="Odsekzoznamu"/>
        <w:numPr>
          <w:ilvl w:val="0"/>
          <w:numId w:val="10"/>
        </w:numPr>
        <w:jc w:val="both"/>
        <w:rPr>
          <w:rFonts w:ascii="Times New Roman" w:hAnsi="Times New Roman" w:cs="Times New Roman"/>
          <w:sz w:val="24"/>
          <w:szCs w:val="24"/>
        </w:rPr>
      </w:pPr>
      <w:r w:rsidRPr="000745A8">
        <w:rPr>
          <w:rFonts w:ascii="Times New Roman" w:hAnsi="Times New Roman" w:cs="Times New Roman"/>
          <w:sz w:val="24"/>
          <w:szCs w:val="24"/>
        </w:rPr>
        <w:t xml:space="preserve">Ďalšími podpornými opatreniami v sektore budov sú informačné kampane MDV SR, SIEA a poradenstvo v rámci programu „Žiť energiou“. </w:t>
      </w:r>
    </w:p>
    <w:p w14:paraId="198919B1" w14:textId="7A160601" w:rsidR="00260953" w:rsidRPr="000745A8" w:rsidRDefault="00260953" w:rsidP="00752288">
      <w:pPr>
        <w:rPr>
          <w:rFonts w:ascii="Times New Roman" w:hAnsi="Times New Roman" w:cs="Times New Roman"/>
          <w:sz w:val="24"/>
          <w:szCs w:val="24"/>
        </w:rPr>
      </w:pPr>
    </w:p>
    <w:p w14:paraId="34283AE1" w14:textId="77777777" w:rsidR="00CB1B49" w:rsidRDefault="00CB1B49">
      <w:pPr>
        <w:rPr>
          <w:rFonts w:ascii="Times New Roman" w:eastAsiaTheme="majorEastAsia" w:hAnsi="Times New Roman" w:cs="Times New Roman"/>
          <w:b/>
          <w:bCs/>
          <w:sz w:val="26"/>
          <w:szCs w:val="26"/>
        </w:rPr>
      </w:pPr>
      <w:r>
        <w:rPr>
          <w:rFonts w:ascii="Times New Roman" w:hAnsi="Times New Roman" w:cs="Times New Roman"/>
        </w:rPr>
        <w:br w:type="page"/>
      </w:r>
    </w:p>
    <w:p w14:paraId="22FB2414" w14:textId="6022DA94" w:rsidR="00752288" w:rsidRPr="000578FE" w:rsidRDefault="00752288" w:rsidP="007157D7">
      <w:pPr>
        <w:pStyle w:val="Nadpis2"/>
        <w:keepNext w:val="0"/>
        <w:keepLines w:val="0"/>
        <w:numPr>
          <w:ilvl w:val="1"/>
          <w:numId w:val="16"/>
        </w:numPr>
        <w:ind w:left="993" w:hanging="567"/>
        <w:rPr>
          <w:rFonts w:ascii="Times New Roman" w:hAnsi="Times New Roman" w:cs="Times New Roman"/>
          <w:color w:val="auto"/>
        </w:rPr>
      </w:pPr>
      <w:bookmarkStart w:id="98" w:name="_Toc480547271"/>
      <w:r w:rsidRPr="000578FE">
        <w:rPr>
          <w:rFonts w:ascii="Times New Roman" w:hAnsi="Times New Roman" w:cs="Times New Roman"/>
          <w:color w:val="auto"/>
        </w:rPr>
        <w:lastRenderedPageBreak/>
        <w:t>Energetická efektívnosť vo verejných subjektoch</w:t>
      </w:r>
      <w:bookmarkEnd w:id="98"/>
    </w:p>
    <w:p w14:paraId="17A3E637" w14:textId="22ACBFDC" w:rsidR="00752288" w:rsidRPr="000578FE" w:rsidRDefault="00752288" w:rsidP="007157D7">
      <w:pPr>
        <w:pStyle w:val="Nadpis3"/>
        <w:keepNext w:val="0"/>
        <w:keepLines w:val="0"/>
        <w:numPr>
          <w:ilvl w:val="2"/>
          <w:numId w:val="16"/>
        </w:numPr>
        <w:ind w:left="1276" w:hanging="567"/>
        <w:rPr>
          <w:rFonts w:ascii="Times New Roman" w:hAnsi="Times New Roman" w:cs="Times New Roman"/>
          <w:color w:val="auto"/>
        </w:rPr>
      </w:pPr>
      <w:bookmarkStart w:id="99" w:name="_Toc480547272"/>
      <w:r w:rsidRPr="000578FE">
        <w:rPr>
          <w:rFonts w:ascii="Times New Roman" w:hAnsi="Times New Roman" w:cs="Times New Roman"/>
          <w:color w:val="auto"/>
        </w:rPr>
        <w:t>Budovy ústredných orgánov štátnej správy (článok 5 SEE)</w:t>
      </w:r>
      <w:bookmarkEnd w:id="99"/>
    </w:p>
    <w:p w14:paraId="74110496" w14:textId="77777777" w:rsidR="002A2475" w:rsidRPr="009F2998" w:rsidRDefault="002A2475" w:rsidP="002A2475">
      <w:pPr>
        <w:pStyle w:val="CM4"/>
        <w:spacing w:before="60" w:after="60"/>
        <w:jc w:val="both"/>
        <w:rPr>
          <w:rFonts w:ascii="Times New Roman" w:hAnsi="Times New Roman" w:cs="Times New Roman"/>
          <w:color w:val="000000"/>
          <w:sz w:val="22"/>
          <w:szCs w:val="22"/>
        </w:rPr>
      </w:pPr>
    </w:p>
    <w:p w14:paraId="66688133" w14:textId="571721B9" w:rsidR="00CB175F" w:rsidRPr="000745A8" w:rsidRDefault="00CB175F" w:rsidP="00CB175F">
      <w:pPr>
        <w:pStyle w:val="CM4"/>
        <w:spacing w:before="60" w:after="60"/>
        <w:jc w:val="both"/>
        <w:rPr>
          <w:rFonts w:ascii="Times New Roman" w:hAnsi="Times New Roman" w:cs="Times New Roman"/>
          <w:color w:val="000000"/>
        </w:rPr>
      </w:pPr>
      <w:r w:rsidRPr="000745A8">
        <w:rPr>
          <w:rFonts w:ascii="Times New Roman" w:hAnsi="Times New Roman" w:cs="Times New Roman"/>
          <w:color w:val="000000"/>
        </w:rPr>
        <w:t>Podľa čl. 5 bod 1 smernice 2012/27/EÚ o energetickej efektívnosti každý členský štát musí zabezpečiť, aby sa od 1. januára 2014 každoročne obnovovali 3 % z celkovej podlahovej plochy vykurovaných alebo chladených budov, ktoré vlastnia a využívajú ústredné orgány štátnej správy, tak, aby dosiahli aspoň minimálne požiadavky na energetickú hospodárnosť budov. Tento cieľ možno plniť aj alternatívnym prístupom (čl. 5 ods. 6 smernice), ktorým sa do roku 2020 dosiahne rovnaký objem úspor energie ako základným prístupom.</w:t>
      </w:r>
    </w:p>
    <w:p w14:paraId="4D67F5D7" w14:textId="4BC3CA25" w:rsidR="00CB175F" w:rsidRPr="000745A8" w:rsidRDefault="00CB175F" w:rsidP="002814F6">
      <w:pPr>
        <w:jc w:val="both"/>
        <w:rPr>
          <w:rFonts w:ascii="Times New Roman" w:hAnsi="Times New Roman" w:cs="Times New Roman"/>
          <w:color w:val="0070C0"/>
          <w:sz w:val="24"/>
          <w:szCs w:val="24"/>
        </w:rPr>
      </w:pPr>
      <w:r w:rsidRPr="000745A8">
        <w:rPr>
          <w:rFonts w:ascii="Times New Roman" w:hAnsi="Times New Roman" w:cs="Times New Roman"/>
          <w:color w:val="000000"/>
          <w:sz w:val="24"/>
          <w:szCs w:val="24"/>
        </w:rPr>
        <w:t>Podľa § 10 ods. 6 zákona č. 321/2014 Z. z. o energetickej efektívnosti, Ministerstvo dopravy</w:t>
      </w:r>
      <w:r w:rsidR="00406E97" w:rsidRPr="000745A8">
        <w:rPr>
          <w:rFonts w:ascii="Times New Roman" w:hAnsi="Times New Roman" w:cs="Times New Roman"/>
          <w:color w:val="000000"/>
          <w:sz w:val="24"/>
          <w:szCs w:val="24"/>
        </w:rPr>
        <w:t xml:space="preserve"> a </w:t>
      </w:r>
      <w:r w:rsidRPr="000745A8">
        <w:rPr>
          <w:rFonts w:ascii="Times New Roman" w:hAnsi="Times New Roman" w:cs="Times New Roman"/>
          <w:color w:val="000000"/>
          <w:sz w:val="24"/>
          <w:szCs w:val="24"/>
        </w:rPr>
        <w:t>výstavby SR vedie zoznam relevantných budov</w:t>
      </w:r>
      <w:r w:rsidRPr="000745A8">
        <w:rPr>
          <w:rStyle w:val="Odkaznapoznmkupodiarou"/>
          <w:rFonts w:ascii="Times New Roman" w:hAnsi="Times New Roman" w:cs="Times New Roman"/>
          <w:color w:val="000000"/>
          <w:sz w:val="24"/>
          <w:szCs w:val="24"/>
        </w:rPr>
        <w:footnoteReference w:id="33"/>
      </w:r>
      <w:r w:rsidRPr="000745A8">
        <w:rPr>
          <w:rFonts w:ascii="Times New Roman" w:hAnsi="Times New Roman" w:cs="Times New Roman"/>
          <w:color w:val="000000"/>
          <w:sz w:val="24"/>
          <w:szCs w:val="24"/>
        </w:rPr>
        <w:t xml:space="preserve">, zverejňuje ho na svojom webovom sídle a každoročne ho aktualizuje do 31. decembra. V zozname uvádza celkovú  podlahovú plochu </w:t>
      </w:r>
      <w:r w:rsidRPr="000745A8">
        <w:rPr>
          <w:rFonts w:ascii="Times New Roman" w:hAnsi="Times New Roman" w:cs="Times New Roman"/>
          <w:sz w:val="24"/>
          <w:szCs w:val="24"/>
        </w:rPr>
        <w:t>budovy a energetickú hospodárnosť budovy. Celková podlahová plocha týchto budov je viac ako 400</w:t>
      </w:r>
      <w:r w:rsidR="00A91550" w:rsidRPr="000745A8">
        <w:rPr>
          <w:rFonts w:ascii="Times New Roman" w:hAnsi="Times New Roman" w:cs="Times New Roman"/>
          <w:sz w:val="24"/>
          <w:szCs w:val="24"/>
        </w:rPr>
        <w:t> </w:t>
      </w:r>
      <w:r w:rsidRPr="000745A8">
        <w:rPr>
          <w:rFonts w:ascii="Times New Roman" w:hAnsi="Times New Roman" w:cs="Times New Roman"/>
          <w:sz w:val="24"/>
          <w:szCs w:val="24"/>
        </w:rPr>
        <w:t>tis. m</w:t>
      </w:r>
      <w:r w:rsidRPr="000745A8">
        <w:rPr>
          <w:rFonts w:ascii="Times New Roman" w:hAnsi="Times New Roman" w:cs="Times New Roman"/>
          <w:sz w:val="24"/>
          <w:szCs w:val="24"/>
          <w:vertAlign w:val="superscript"/>
        </w:rPr>
        <w:t>2</w:t>
      </w:r>
      <w:r w:rsidRPr="000745A8">
        <w:rPr>
          <w:rFonts w:ascii="Times New Roman" w:hAnsi="Times New Roman" w:cs="Times New Roman"/>
          <w:sz w:val="24"/>
          <w:szCs w:val="24"/>
        </w:rPr>
        <w:t xml:space="preserve">. </w:t>
      </w:r>
      <w:r w:rsidRPr="000745A8">
        <w:rPr>
          <w:rFonts w:ascii="Times New Roman" w:hAnsi="Times New Roman" w:cs="Times New Roman"/>
          <w:bCs/>
          <w:sz w:val="24"/>
          <w:szCs w:val="24"/>
        </w:rPr>
        <w:t>Adresný zoznam relevantných budov (pre každý rok) publikuje MVD SR na svojej webovej stránke</w:t>
      </w:r>
      <w:r w:rsidRPr="000745A8">
        <w:rPr>
          <w:rStyle w:val="Odkaznapoznmkupodiarou"/>
          <w:rFonts w:ascii="Times New Roman" w:hAnsi="Times New Roman" w:cs="Times New Roman"/>
          <w:bCs/>
          <w:sz w:val="24"/>
          <w:szCs w:val="24"/>
        </w:rPr>
        <w:footnoteReference w:id="34"/>
      </w:r>
      <w:r w:rsidRPr="000745A8">
        <w:rPr>
          <w:rFonts w:ascii="Times New Roman" w:hAnsi="Times New Roman" w:cs="Times New Roman"/>
          <w:bCs/>
          <w:sz w:val="24"/>
          <w:szCs w:val="24"/>
        </w:rPr>
        <w:t>.</w:t>
      </w:r>
    </w:p>
    <w:p w14:paraId="1E346C97" w14:textId="312F0635" w:rsidR="00CB175F" w:rsidRPr="000745A8" w:rsidRDefault="00CB175F" w:rsidP="00CB175F">
      <w:pPr>
        <w:jc w:val="both"/>
        <w:rPr>
          <w:rFonts w:ascii="Times New Roman" w:hAnsi="Times New Roman" w:cs="Times New Roman"/>
          <w:bCs/>
          <w:sz w:val="24"/>
          <w:szCs w:val="24"/>
        </w:rPr>
      </w:pPr>
      <w:r w:rsidRPr="000745A8">
        <w:rPr>
          <w:rFonts w:ascii="Times New Roman" w:hAnsi="Times New Roman" w:cs="Times New Roman"/>
          <w:color w:val="000000"/>
          <w:sz w:val="24"/>
          <w:szCs w:val="24"/>
        </w:rPr>
        <w:t>Alternatívny spôsob oznámila SR v roku 2013 Komisii v dokumente „Notifikačná správa k alternatívnemu prístupu podľa článku 5 smernice 2012/27/EÚ o energetickej efektívnosti</w:t>
      </w:r>
      <w:r w:rsidRPr="000745A8">
        <w:rPr>
          <w:rFonts w:ascii="Times New Roman" w:hAnsi="Times New Roman" w:cs="Times New Roman"/>
          <w:bCs/>
          <w:sz w:val="24"/>
          <w:szCs w:val="24"/>
        </w:rPr>
        <w:t xml:space="preserve">“. Pre alternatívny prístup  bol stanovený cieľ úspor energie pre všetky verejné budovy v celkovej výške  </w:t>
      </w:r>
      <w:r w:rsidRPr="000745A8">
        <w:rPr>
          <w:rFonts w:ascii="Times New Roman" w:hAnsi="Times New Roman" w:cs="Times New Roman"/>
          <w:b/>
          <w:bCs/>
          <w:sz w:val="24"/>
          <w:szCs w:val="24"/>
        </w:rPr>
        <w:t>52,17 GWh/rok</w:t>
      </w:r>
      <w:r w:rsidRPr="000745A8">
        <w:rPr>
          <w:rFonts w:ascii="Times New Roman" w:hAnsi="Times New Roman" w:cs="Times New Roman"/>
          <w:bCs/>
          <w:sz w:val="24"/>
          <w:szCs w:val="24"/>
        </w:rPr>
        <w:t>.</w:t>
      </w:r>
      <w:r w:rsidRPr="000745A8">
        <w:rPr>
          <w:rStyle w:val="Odkaznapoznmkupodiarou"/>
          <w:rFonts w:ascii="Times New Roman" w:hAnsi="Times New Roman" w:cs="Times New Roman"/>
          <w:bCs/>
          <w:sz w:val="24"/>
          <w:szCs w:val="24"/>
        </w:rPr>
        <w:footnoteReference w:id="35"/>
      </w:r>
      <w:r w:rsidRPr="000745A8">
        <w:rPr>
          <w:rFonts w:ascii="Times New Roman" w:hAnsi="Times New Roman" w:cs="Times New Roman"/>
          <w:bCs/>
          <w:sz w:val="24"/>
          <w:szCs w:val="24"/>
        </w:rPr>
        <w:t xml:space="preserve"> </w:t>
      </w:r>
    </w:p>
    <w:p w14:paraId="4F7BA817" w14:textId="3A7F3E46" w:rsidR="00520E43" w:rsidRDefault="00CB175F" w:rsidP="002814F6">
      <w:pPr>
        <w:jc w:val="both"/>
        <w:rPr>
          <w:rFonts w:ascii="Times New Roman" w:hAnsi="Times New Roman" w:cs="Times New Roman"/>
          <w:sz w:val="24"/>
          <w:szCs w:val="24"/>
          <w:lang w:eastAsia="sk-SK"/>
        </w:rPr>
      </w:pPr>
      <w:r w:rsidRPr="000745A8">
        <w:rPr>
          <w:rFonts w:ascii="Times New Roman" w:hAnsi="Times New Roman" w:cs="Times New Roman"/>
          <w:sz w:val="24"/>
          <w:szCs w:val="24"/>
          <w:lang w:eastAsia="sk-SK"/>
        </w:rPr>
        <w:t xml:space="preserve">Aplikáciou výpočtu úspor metódou zdola-nahor podľa zoznamu </w:t>
      </w:r>
      <w:r w:rsidR="00890358" w:rsidRPr="000745A8">
        <w:rPr>
          <w:rFonts w:ascii="Times New Roman" w:hAnsi="Times New Roman" w:cs="Times New Roman"/>
          <w:sz w:val="24"/>
          <w:szCs w:val="24"/>
          <w:lang w:eastAsia="sk-SK"/>
        </w:rPr>
        <w:t xml:space="preserve">certifikátov </w:t>
      </w:r>
      <w:r w:rsidRPr="000745A8">
        <w:rPr>
          <w:rFonts w:ascii="Times New Roman" w:hAnsi="Times New Roman" w:cs="Times New Roman"/>
          <w:sz w:val="24"/>
          <w:szCs w:val="24"/>
          <w:lang w:eastAsia="sk-SK"/>
        </w:rPr>
        <w:t>obnovovaných verejných budov v informačnom systéme INFOREG,</w:t>
      </w:r>
      <w:r w:rsidR="0024151F" w:rsidRPr="000745A8">
        <w:rPr>
          <w:rStyle w:val="Odkaznapoznmkupodiarou"/>
          <w:rFonts w:ascii="Times New Roman" w:hAnsi="Times New Roman" w:cs="Times New Roman"/>
          <w:sz w:val="24"/>
          <w:szCs w:val="24"/>
          <w:lang w:eastAsia="sk-SK"/>
        </w:rPr>
        <w:footnoteReference w:id="36"/>
      </w:r>
      <w:r w:rsidRPr="000745A8">
        <w:rPr>
          <w:rFonts w:ascii="Times New Roman" w:hAnsi="Times New Roman" w:cs="Times New Roman"/>
          <w:sz w:val="24"/>
          <w:szCs w:val="24"/>
          <w:lang w:eastAsia="sk-SK"/>
        </w:rPr>
        <w:t xml:space="preserve"> bola </w:t>
      </w:r>
      <w:r w:rsidR="006F4251">
        <w:rPr>
          <w:rFonts w:ascii="Times New Roman" w:hAnsi="Times New Roman" w:cs="Times New Roman"/>
          <w:sz w:val="24"/>
          <w:szCs w:val="24"/>
          <w:lang w:eastAsia="sk-SK"/>
        </w:rPr>
        <w:t xml:space="preserve">za obdobie rokov </w:t>
      </w:r>
      <w:r w:rsidR="006F4251" w:rsidRPr="000745A8">
        <w:rPr>
          <w:rFonts w:ascii="Times New Roman" w:hAnsi="Times New Roman" w:cs="Times New Roman"/>
          <w:sz w:val="24"/>
          <w:szCs w:val="24"/>
          <w:lang w:eastAsia="sk-SK"/>
        </w:rPr>
        <w:t xml:space="preserve">2014-2016 </w:t>
      </w:r>
      <w:r w:rsidRPr="000745A8">
        <w:rPr>
          <w:rFonts w:ascii="Times New Roman" w:hAnsi="Times New Roman" w:cs="Times New Roman"/>
          <w:sz w:val="24"/>
          <w:szCs w:val="24"/>
          <w:lang w:eastAsia="sk-SK"/>
        </w:rPr>
        <w:t xml:space="preserve">identifikovaná celková úspora energie vo výške </w:t>
      </w:r>
      <w:r w:rsidR="006F4251">
        <w:rPr>
          <w:rFonts w:ascii="Times New Roman" w:hAnsi="Times New Roman" w:cs="Times New Roman"/>
          <w:b/>
          <w:sz w:val="24"/>
          <w:szCs w:val="24"/>
          <w:lang w:eastAsia="sk-SK"/>
        </w:rPr>
        <w:t xml:space="preserve">80,40 </w:t>
      </w:r>
      <w:r w:rsidRPr="000745A8">
        <w:rPr>
          <w:rFonts w:ascii="Times New Roman" w:hAnsi="Times New Roman" w:cs="Times New Roman"/>
          <w:b/>
          <w:sz w:val="24"/>
          <w:szCs w:val="24"/>
          <w:lang w:eastAsia="sk-SK"/>
        </w:rPr>
        <w:t>GWh</w:t>
      </w:r>
      <w:r w:rsidRPr="000745A8">
        <w:rPr>
          <w:rFonts w:ascii="Times New Roman" w:hAnsi="Times New Roman" w:cs="Times New Roman"/>
          <w:sz w:val="24"/>
          <w:szCs w:val="24"/>
          <w:lang w:eastAsia="sk-SK"/>
        </w:rPr>
        <w:t xml:space="preserve"> </w:t>
      </w:r>
      <w:r w:rsidR="006F4251">
        <w:rPr>
          <w:rFonts w:ascii="Times New Roman" w:hAnsi="Times New Roman" w:cs="Times New Roman"/>
          <w:sz w:val="24"/>
          <w:szCs w:val="24"/>
          <w:lang w:eastAsia="sk-SK"/>
        </w:rPr>
        <w:t xml:space="preserve"> (pozri tabuľku </w:t>
      </w:r>
      <w:r w:rsidR="00520E43">
        <w:rPr>
          <w:rFonts w:ascii="Times New Roman" w:hAnsi="Times New Roman" w:cs="Times New Roman"/>
          <w:sz w:val="24"/>
          <w:szCs w:val="24"/>
          <w:lang w:eastAsia="sk-SK"/>
        </w:rPr>
        <w:t>č. 17</w:t>
      </w:r>
      <w:r w:rsidR="006F4251">
        <w:rPr>
          <w:rFonts w:ascii="Times New Roman" w:hAnsi="Times New Roman" w:cs="Times New Roman"/>
          <w:sz w:val="24"/>
          <w:szCs w:val="24"/>
          <w:lang w:eastAsia="sk-SK"/>
        </w:rPr>
        <w:t>)</w:t>
      </w:r>
      <w:r w:rsidR="00520E43">
        <w:rPr>
          <w:rFonts w:ascii="Times New Roman" w:hAnsi="Times New Roman" w:cs="Times New Roman"/>
          <w:sz w:val="24"/>
          <w:szCs w:val="24"/>
          <w:lang w:eastAsia="sk-SK"/>
        </w:rPr>
        <w:t>.</w:t>
      </w:r>
    </w:p>
    <w:p w14:paraId="56201B8E" w14:textId="5CFE7890" w:rsidR="00520E43" w:rsidRPr="000578FE" w:rsidRDefault="00520E43">
      <w:pPr>
        <w:pStyle w:val="Popis"/>
        <w:widowControl w:val="0"/>
        <w:spacing w:after="0"/>
        <w:rPr>
          <w:rFonts w:ascii="Times New Roman" w:hAnsi="Times New Roman" w:cs="Times New Roman"/>
          <w:iCs/>
          <w:caps w:val="0"/>
          <w:sz w:val="24"/>
          <w:szCs w:val="24"/>
        </w:rPr>
      </w:pPr>
      <w:r w:rsidRPr="000578FE">
        <w:rPr>
          <w:rFonts w:ascii="Times New Roman" w:hAnsi="Times New Roman" w:cs="Times New Roman"/>
          <w:caps w:val="0"/>
          <w:sz w:val="24"/>
          <w:szCs w:val="24"/>
          <w:lang w:eastAsia="sk-SK"/>
        </w:rPr>
        <w:t xml:space="preserve">Tabuľka č. 17: </w:t>
      </w:r>
      <w:r w:rsidRPr="000578FE">
        <w:rPr>
          <w:rFonts w:ascii="Times New Roman" w:hAnsi="Times New Roman" w:cs="Times New Roman"/>
          <w:iCs/>
          <w:caps w:val="0"/>
          <w:sz w:val="24"/>
          <w:szCs w:val="24"/>
        </w:rPr>
        <w:t>Úspory energie vo verejných budovách za roky 2014 až 2016</w:t>
      </w:r>
    </w:p>
    <w:tbl>
      <w:tblPr>
        <w:tblW w:w="9062" w:type="dxa"/>
        <w:jc w:val="center"/>
        <w:tblLayout w:type="fixed"/>
        <w:tblCellMar>
          <w:left w:w="70" w:type="dxa"/>
          <w:right w:w="70" w:type="dxa"/>
        </w:tblCellMar>
        <w:tblLook w:val="04A0" w:firstRow="1" w:lastRow="0" w:firstColumn="1" w:lastColumn="0" w:noHBand="0" w:noVBand="1"/>
      </w:tblPr>
      <w:tblGrid>
        <w:gridCol w:w="4495"/>
        <w:gridCol w:w="1141"/>
        <w:gridCol w:w="1142"/>
        <w:gridCol w:w="1142"/>
        <w:gridCol w:w="1142"/>
      </w:tblGrid>
      <w:tr w:rsidR="00CB175F" w:rsidRPr="009F2998" w14:paraId="0B1C59FD" w14:textId="77777777" w:rsidTr="00CB4F37">
        <w:trPr>
          <w:trHeight w:val="558"/>
          <w:jc w:val="center"/>
        </w:trPr>
        <w:tc>
          <w:tcPr>
            <w:tcW w:w="4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B447D" w14:textId="4B16B00C" w:rsidR="00CB175F" w:rsidRPr="009F2998" w:rsidRDefault="00CB175F" w:rsidP="00CB4F37">
            <w:pPr>
              <w:spacing w:after="0" w:line="240" w:lineRule="auto"/>
              <w:rPr>
                <w:rFonts w:ascii="Times New Roman" w:eastAsia="Times New Roman" w:hAnsi="Times New Roman" w:cs="Times New Roman"/>
                <w:b/>
                <w:bCs/>
                <w:color w:val="000000"/>
                <w:lang w:eastAsia="sk-SK"/>
              </w:rPr>
            </w:pPr>
            <w:r w:rsidRPr="009F2998">
              <w:rPr>
                <w:rFonts w:ascii="Times New Roman" w:eastAsia="Times New Roman" w:hAnsi="Times New Roman" w:cs="Times New Roman"/>
                <w:b/>
                <w:bCs/>
                <w:color w:val="000000"/>
                <w:lang w:eastAsia="sk-SK"/>
              </w:rPr>
              <w:t xml:space="preserve">Verejné budovy obnovené v rokoch </w:t>
            </w:r>
            <w:r w:rsidR="00600B6A" w:rsidRPr="00600B6A">
              <w:rPr>
                <w:rFonts w:ascii="Times New Roman" w:eastAsia="Times New Roman" w:hAnsi="Times New Roman" w:cs="Times New Roman"/>
                <w:b/>
                <w:bCs/>
                <w:color w:val="000000"/>
                <w:lang w:eastAsia="sk-SK"/>
              </w:rPr>
              <w:t>2014-2016</w:t>
            </w:r>
          </w:p>
        </w:tc>
        <w:tc>
          <w:tcPr>
            <w:tcW w:w="1141" w:type="dxa"/>
            <w:tcBorders>
              <w:top w:val="single" w:sz="4" w:space="0" w:color="auto"/>
              <w:left w:val="nil"/>
              <w:bottom w:val="single" w:sz="4" w:space="0" w:color="auto"/>
              <w:right w:val="single" w:sz="4" w:space="0" w:color="auto"/>
            </w:tcBorders>
            <w:vAlign w:val="center"/>
          </w:tcPr>
          <w:p w14:paraId="760F44C0" w14:textId="77777777" w:rsidR="00CB175F" w:rsidRPr="009F2998" w:rsidRDefault="00CB175F" w:rsidP="00CB4F37">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2014</w:t>
            </w:r>
          </w:p>
          <w:p w14:paraId="42CD75AE" w14:textId="77777777" w:rsidR="00CB175F" w:rsidRPr="009F2998" w:rsidRDefault="00CB175F" w:rsidP="00CB4F37">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[GWh]</w:t>
            </w:r>
          </w:p>
        </w:tc>
        <w:tc>
          <w:tcPr>
            <w:tcW w:w="1142" w:type="dxa"/>
            <w:tcBorders>
              <w:top w:val="single" w:sz="4" w:space="0" w:color="auto"/>
              <w:left w:val="single" w:sz="4" w:space="0" w:color="auto"/>
              <w:bottom w:val="single" w:sz="4" w:space="0" w:color="auto"/>
              <w:right w:val="single" w:sz="4" w:space="0" w:color="auto"/>
            </w:tcBorders>
            <w:vAlign w:val="center"/>
          </w:tcPr>
          <w:p w14:paraId="5F287ED5" w14:textId="77777777" w:rsidR="00CB175F" w:rsidRPr="009F2998" w:rsidRDefault="00CB175F" w:rsidP="002814F6">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2015</w:t>
            </w:r>
          </w:p>
          <w:p w14:paraId="2F969D6D" w14:textId="77777777" w:rsidR="00CB175F" w:rsidRPr="009F2998" w:rsidRDefault="00CB175F" w:rsidP="002814F6">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[GWh]</w:t>
            </w:r>
          </w:p>
        </w:tc>
        <w:tc>
          <w:tcPr>
            <w:tcW w:w="1142" w:type="dxa"/>
            <w:tcBorders>
              <w:top w:val="single" w:sz="4" w:space="0" w:color="auto"/>
              <w:left w:val="single" w:sz="4" w:space="0" w:color="auto"/>
              <w:bottom w:val="single" w:sz="4" w:space="0" w:color="auto"/>
              <w:right w:val="single" w:sz="4" w:space="0" w:color="auto"/>
            </w:tcBorders>
            <w:vAlign w:val="center"/>
          </w:tcPr>
          <w:p w14:paraId="40223597" w14:textId="77777777" w:rsidR="00CB175F" w:rsidRPr="009F2998" w:rsidRDefault="00CB175F" w:rsidP="002814F6">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2016</w:t>
            </w:r>
          </w:p>
          <w:p w14:paraId="7B6EB745" w14:textId="77777777" w:rsidR="00CB175F" w:rsidRPr="009F2998" w:rsidRDefault="00CB175F" w:rsidP="002814F6">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[GWh]</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9D4F7" w14:textId="77777777" w:rsidR="00CB175F" w:rsidRPr="009F2998" w:rsidRDefault="00CB175F" w:rsidP="002814F6">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Spolu:</w:t>
            </w:r>
          </w:p>
          <w:p w14:paraId="19EBEE29" w14:textId="77777777" w:rsidR="00CB175F" w:rsidRPr="009F2998" w:rsidRDefault="00CB175F" w:rsidP="002814F6">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[GWh]</w:t>
            </w:r>
          </w:p>
        </w:tc>
      </w:tr>
      <w:tr w:rsidR="00CB175F" w:rsidRPr="009F2998" w14:paraId="322F378A" w14:textId="77777777" w:rsidTr="00CB4F37">
        <w:trPr>
          <w:trHeight w:val="325"/>
          <w:jc w:val="center"/>
        </w:trPr>
        <w:tc>
          <w:tcPr>
            <w:tcW w:w="4495" w:type="dxa"/>
            <w:tcBorders>
              <w:top w:val="nil"/>
              <w:left w:val="single" w:sz="4" w:space="0" w:color="auto"/>
              <w:bottom w:val="single" w:sz="4" w:space="0" w:color="auto"/>
              <w:right w:val="single" w:sz="4" w:space="0" w:color="auto"/>
            </w:tcBorders>
            <w:shd w:val="clear" w:color="auto" w:fill="auto"/>
            <w:noWrap/>
            <w:vAlign w:val="center"/>
            <w:hideMark/>
          </w:tcPr>
          <w:p w14:paraId="59B4F023" w14:textId="77777777" w:rsidR="00CB175F" w:rsidRPr="009F2998" w:rsidRDefault="00CB175F" w:rsidP="00CB4F37">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Administratívne budovy - obnova</w:t>
            </w:r>
          </w:p>
        </w:tc>
        <w:tc>
          <w:tcPr>
            <w:tcW w:w="1141" w:type="dxa"/>
            <w:tcBorders>
              <w:top w:val="single" w:sz="4" w:space="0" w:color="auto"/>
              <w:left w:val="nil"/>
              <w:bottom w:val="single" w:sz="4" w:space="0" w:color="auto"/>
              <w:right w:val="single" w:sz="4" w:space="0" w:color="auto"/>
            </w:tcBorders>
            <w:vAlign w:val="center"/>
          </w:tcPr>
          <w:p w14:paraId="0D6D5585" w14:textId="77777777" w:rsidR="00CB175F" w:rsidRPr="009F2998" w:rsidRDefault="00CB175F" w:rsidP="00CB4F37">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0,85</w:t>
            </w:r>
          </w:p>
        </w:tc>
        <w:tc>
          <w:tcPr>
            <w:tcW w:w="1142" w:type="dxa"/>
            <w:tcBorders>
              <w:top w:val="single" w:sz="4" w:space="0" w:color="auto"/>
              <w:left w:val="single" w:sz="4" w:space="0" w:color="auto"/>
              <w:bottom w:val="single" w:sz="4" w:space="0" w:color="auto"/>
              <w:right w:val="single" w:sz="4" w:space="0" w:color="auto"/>
            </w:tcBorders>
            <w:vAlign w:val="center"/>
          </w:tcPr>
          <w:p w14:paraId="36768AE3" w14:textId="77777777" w:rsidR="00CB175F" w:rsidRPr="009F2998" w:rsidRDefault="00CB175F" w:rsidP="002814F6">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13,88</w:t>
            </w:r>
          </w:p>
        </w:tc>
        <w:tc>
          <w:tcPr>
            <w:tcW w:w="1142" w:type="dxa"/>
            <w:tcBorders>
              <w:top w:val="single" w:sz="4" w:space="0" w:color="auto"/>
              <w:bottom w:val="single" w:sz="4" w:space="0" w:color="auto"/>
            </w:tcBorders>
            <w:shd w:val="clear" w:color="auto" w:fill="auto"/>
            <w:vAlign w:val="center"/>
          </w:tcPr>
          <w:p w14:paraId="7CBAE973" w14:textId="5987E584" w:rsidR="00CB175F" w:rsidRPr="009F2998" w:rsidRDefault="001328B6">
            <w:pPr>
              <w:spacing w:after="0" w:line="240" w:lineRule="auto"/>
              <w:jc w:val="center"/>
              <w:rPr>
                <w:rFonts w:ascii="Times New Roman" w:eastAsia="Times New Roman" w:hAnsi="Times New Roman" w:cs="Times New Roman"/>
                <w:color w:val="000000"/>
                <w:lang w:eastAsia="sk-SK"/>
              </w:rPr>
            </w:pPr>
            <w:r>
              <w:rPr>
                <w:rFonts w:ascii="Times New Roman" w:hAnsi="Times New Roman" w:cs="Times New Roman"/>
                <w:color w:val="000000"/>
              </w:rPr>
              <w:t>10</w:t>
            </w:r>
            <w:r w:rsidR="00CB175F" w:rsidRPr="009F2998">
              <w:rPr>
                <w:rFonts w:ascii="Times New Roman" w:hAnsi="Times New Roman" w:cs="Times New Roman"/>
                <w:color w:val="000000"/>
              </w:rPr>
              <w:t>,</w:t>
            </w:r>
            <w:r>
              <w:rPr>
                <w:rFonts w:ascii="Times New Roman" w:hAnsi="Times New Roman" w:cs="Times New Roman"/>
                <w:color w:val="000000"/>
              </w:rPr>
              <w:t>7</w:t>
            </w:r>
            <w:r w:rsidR="00CB175F" w:rsidRPr="009F2998">
              <w:rPr>
                <w:rFonts w:ascii="Times New Roman" w:hAnsi="Times New Roman" w:cs="Times New Roman"/>
                <w:color w:val="000000"/>
              </w:rPr>
              <w:t>9</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AC974" w14:textId="1E9798C3" w:rsidR="00CB175F" w:rsidRPr="009F2998" w:rsidRDefault="00CB175F">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2</w:t>
            </w:r>
            <w:r w:rsidR="00C5297D">
              <w:rPr>
                <w:rFonts w:ascii="Times New Roman" w:eastAsia="Times New Roman" w:hAnsi="Times New Roman" w:cs="Times New Roman"/>
                <w:b/>
                <w:color w:val="000000"/>
                <w:lang w:eastAsia="sk-SK"/>
              </w:rPr>
              <w:t>5</w:t>
            </w:r>
            <w:r w:rsidRPr="009F2998">
              <w:rPr>
                <w:rFonts w:ascii="Times New Roman" w:eastAsia="Times New Roman" w:hAnsi="Times New Roman" w:cs="Times New Roman"/>
                <w:b/>
                <w:color w:val="000000"/>
                <w:lang w:eastAsia="sk-SK"/>
              </w:rPr>
              <w:t>,</w:t>
            </w:r>
            <w:r w:rsidR="00C5297D">
              <w:rPr>
                <w:rFonts w:ascii="Times New Roman" w:eastAsia="Times New Roman" w:hAnsi="Times New Roman" w:cs="Times New Roman"/>
                <w:b/>
                <w:color w:val="000000"/>
                <w:lang w:eastAsia="sk-SK"/>
              </w:rPr>
              <w:t>5</w:t>
            </w:r>
            <w:r w:rsidRPr="009F2998">
              <w:rPr>
                <w:rFonts w:ascii="Times New Roman" w:eastAsia="Times New Roman" w:hAnsi="Times New Roman" w:cs="Times New Roman"/>
                <w:b/>
                <w:color w:val="000000"/>
                <w:lang w:eastAsia="sk-SK"/>
              </w:rPr>
              <w:t>2</w:t>
            </w:r>
          </w:p>
        </w:tc>
      </w:tr>
      <w:tr w:rsidR="00CB175F" w:rsidRPr="009F2998" w14:paraId="296F9D3E" w14:textId="77777777" w:rsidTr="00CB4F37">
        <w:trPr>
          <w:trHeight w:val="349"/>
          <w:jc w:val="center"/>
        </w:trPr>
        <w:tc>
          <w:tcPr>
            <w:tcW w:w="4495" w:type="dxa"/>
            <w:tcBorders>
              <w:top w:val="nil"/>
              <w:left w:val="single" w:sz="4" w:space="0" w:color="auto"/>
              <w:bottom w:val="single" w:sz="4" w:space="0" w:color="auto"/>
              <w:right w:val="single" w:sz="4" w:space="0" w:color="auto"/>
            </w:tcBorders>
            <w:shd w:val="clear" w:color="auto" w:fill="auto"/>
            <w:noWrap/>
            <w:vAlign w:val="center"/>
            <w:hideMark/>
          </w:tcPr>
          <w:p w14:paraId="58727F26" w14:textId="77777777" w:rsidR="00CB175F" w:rsidRPr="009F2998" w:rsidRDefault="00CB175F" w:rsidP="00CB4F37">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Budovy škôl a školských zariadení - obnova</w:t>
            </w:r>
          </w:p>
        </w:tc>
        <w:tc>
          <w:tcPr>
            <w:tcW w:w="1141" w:type="dxa"/>
            <w:tcBorders>
              <w:top w:val="single" w:sz="4" w:space="0" w:color="auto"/>
              <w:left w:val="nil"/>
              <w:bottom w:val="single" w:sz="4" w:space="0" w:color="auto"/>
              <w:right w:val="single" w:sz="4" w:space="0" w:color="auto"/>
            </w:tcBorders>
            <w:vAlign w:val="center"/>
          </w:tcPr>
          <w:p w14:paraId="3B84C2BA" w14:textId="77777777" w:rsidR="00CB175F" w:rsidRPr="009F2998" w:rsidRDefault="00CB175F" w:rsidP="00CB4F37">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w:t>
            </w:r>
          </w:p>
        </w:tc>
        <w:tc>
          <w:tcPr>
            <w:tcW w:w="1142" w:type="dxa"/>
            <w:tcBorders>
              <w:top w:val="single" w:sz="4" w:space="0" w:color="auto"/>
              <w:left w:val="single" w:sz="4" w:space="0" w:color="auto"/>
              <w:bottom w:val="single" w:sz="4" w:space="0" w:color="auto"/>
              <w:right w:val="single" w:sz="4" w:space="0" w:color="auto"/>
            </w:tcBorders>
            <w:vAlign w:val="center"/>
          </w:tcPr>
          <w:p w14:paraId="6F2F1EF4" w14:textId="77777777" w:rsidR="00CB175F" w:rsidRPr="009F2998" w:rsidRDefault="00CB175F" w:rsidP="002814F6">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24,68</w:t>
            </w:r>
          </w:p>
        </w:tc>
        <w:tc>
          <w:tcPr>
            <w:tcW w:w="1142" w:type="dxa"/>
            <w:tcBorders>
              <w:top w:val="single" w:sz="4" w:space="0" w:color="auto"/>
              <w:bottom w:val="single" w:sz="4" w:space="0" w:color="auto"/>
            </w:tcBorders>
            <w:shd w:val="clear" w:color="auto" w:fill="auto"/>
            <w:vAlign w:val="center"/>
          </w:tcPr>
          <w:p w14:paraId="7DC3581E" w14:textId="77777777" w:rsidR="00CB175F" w:rsidRPr="009F2998" w:rsidRDefault="00CB175F" w:rsidP="002814F6">
            <w:pPr>
              <w:spacing w:after="0" w:line="240" w:lineRule="auto"/>
              <w:jc w:val="center"/>
              <w:rPr>
                <w:rFonts w:ascii="Times New Roman" w:eastAsia="Times New Roman" w:hAnsi="Times New Roman" w:cs="Times New Roman"/>
                <w:color w:val="000000"/>
                <w:lang w:eastAsia="sk-SK"/>
              </w:rPr>
            </w:pPr>
            <w:r w:rsidRPr="009F2998">
              <w:rPr>
                <w:rFonts w:ascii="Times New Roman" w:hAnsi="Times New Roman" w:cs="Times New Roman"/>
                <w:color w:val="000000"/>
              </w:rPr>
              <w:t>9,96</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8833D" w14:textId="77777777" w:rsidR="00CB175F" w:rsidRPr="009F2998" w:rsidRDefault="00CB175F" w:rsidP="002814F6">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34,64</w:t>
            </w:r>
          </w:p>
        </w:tc>
      </w:tr>
      <w:tr w:rsidR="00CB175F" w:rsidRPr="009F2998" w14:paraId="2CB3263D" w14:textId="77777777" w:rsidTr="00CB4F37">
        <w:trPr>
          <w:trHeight w:val="345"/>
          <w:jc w:val="center"/>
        </w:trPr>
        <w:tc>
          <w:tcPr>
            <w:tcW w:w="4495" w:type="dxa"/>
            <w:tcBorders>
              <w:top w:val="nil"/>
              <w:left w:val="single" w:sz="4" w:space="0" w:color="auto"/>
              <w:bottom w:val="single" w:sz="4" w:space="0" w:color="auto"/>
              <w:right w:val="single" w:sz="4" w:space="0" w:color="auto"/>
            </w:tcBorders>
            <w:shd w:val="clear" w:color="auto" w:fill="auto"/>
            <w:noWrap/>
            <w:vAlign w:val="center"/>
            <w:hideMark/>
          </w:tcPr>
          <w:p w14:paraId="39F02472" w14:textId="77777777" w:rsidR="00CB175F" w:rsidRPr="009F2998" w:rsidRDefault="00CB175F" w:rsidP="00CB4F37">
            <w:pPr>
              <w:spacing w:after="0" w:line="240" w:lineRule="auto"/>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Budovy nemocníc - obnova</w:t>
            </w:r>
          </w:p>
        </w:tc>
        <w:tc>
          <w:tcPr>
            <w:tcW w:w="1141" w:type="dxa"/>
            <w:tcBorders>
              <w:top w:val="single" w:sz="4" w:space="0" w:color="auto"/>
              <w:left w:val="nil"/>
              <w:bottom w:val="single" w:sz="4" w:space="0" w:color="auto"/>
              <w:right w:val="single" w:sz="4" w:space="0" w:color="auto"/>
            </w:tcBorders>
            <w:vAlign w:val="center"/>
          </w:tcPr>
          <w:p w14:paraId="4CB309D9" w14:textId="77777777" w:rsidR="00CB175F" w:rsidRPr="009F2998" w:rsidRDefault="00CB175F" w:rsidP="00CB4F37">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w:t>
            </w:r>
          </w:p>
        </w:tc>
        <w:tc>
          <w:tcPr>
            <w:tcW w:w="1142" w:type="dxa"/>
            <w:tcBorders>
              <w:top w:val="single" w:sz="4" w:space="0" w:color="auto"/>
              <w:left w:val="single" w:sz="4" w:space="0" w:color="auto"/>
              <w:bottom w:val="single" w:sz="4" w:space="0" w:color="auto"/>
              <w:right w:val="single" w:sz="4" w:space="0" w:color="auto"/>
            </w:tcBorders>
            <w:vAlign w:val="center"/>
          </w:tcPr>
          <w:p w14:paraId="0B8D9AE8" w14:textId="77777777" w:rsidR="00CB175F" w:rsidRPr="009F2998" w:rsidRDefault="00CB175F" w:rsidP="002814F6">
            <w:pPr>
              <w:spacing w:after="0" w:line="240" w:lineRule="auto"/>
              <w:jc w:val="center"/>
              <w:rPr>
                <w:rFonts w:ascii="Times New Roman" w:eastAsia="Times New Roman" w:hAnsi="Times New Roman" w:cs="Times New Roman"/>
                <w:color w:val="000000"/>
                <w:lang w:eastAsia="sk-SK"/>
              </w:rPr>
            </w:pPr>
            <w:r w:rsidRPr="009F2998">
              <w:rPr>
                <w:rFonts w:ascii="Times New Roman" w:eastAsia="Times New Roman" w:hAnsi="Times New Roman" w:cs="Times New Roman"/>
                <w:color w:val="000000"/>
                <w:lang w:eastAsia="sk-SK"/>
              </w:rPr>
              <w:t>15,57</w:t>
            </w:r>
          </w:p>
        </w:tc>
        <w:tc>
          <w:tcPr>
            <w:tcW w:w="1142" w:type="dxa"/>
            <w:tcBorders>
              <w:top w:val="single" w:sz="4" w:space="0" w:color="auto"/>
              <w:bottom w:val="single" w:sz="4" w:space="0" w:color="auto"/>
            </w:tcBorders>
            <w:shd w:val="clear" w:color="auto" w:fill="auto"/>
            <w:vAlign w:val="center"/>
          </w:tcPr>
          <w:p w14:paraId="527C7E49" w14:textId="77777777" w:rsidR="00CB175F" w:rsidRPr="009F2998" w:rsidRDefault="00CB175F" w:rsidP="002814F6">
            <w:pPr>
              <w:spacing w:after="0" w:line="240" w:lineRule="auto"/>
              <w:jc w:val="center"/>
              <w:rPr>
                <w:rFonts w:ascii="Times New Roman" w:eastAsia="Times New Roman" w:hAnsi="Times New Roman" w:cs="Times New Roman"/>
                <w:color w:val="000000"/>
                <w:lang w:eastAsia="sk-SK"/>
              </w:rPr>
            </w:pPr>
            <w:r w:rsidRPr="009F2998">
              <w:rPr>
                <w:rFonts w:ascii="Times New Roman" w:hAnsi="Times New Roman" w:cs="Times New Roman"/>
                <w:color w:val="000000"/>
              </w:rPr>
              <w:t>4,67</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5A5B7" w14:textId="77777777" w:rsidR="00CB175F" w:rsidRPr="009F2998" w:rsidRDefault="00CB175F" w:rsidP="002814F6">
            <w:pPr>
              <w:spacing w:after="0" w:line="240" w:lineRule="auto"/>
              <w:jc w:val="center"/>
              <w:rPr>
                <w:rFonts w:ascii="Times New Roman" w:eastAsia="Times New Roman" w:hAnsi="Times New Roman" w:cs="Times New Roman"/>
                <w:b/>
                <w:color w:val="000000"/>
                <w:lang w:eastAsia="sk-SK"/>
              </w:rPr>
            </w:pPr>
            <w:r w:rsidRPr="009F2998">
              <w:rPr>
                <w:rFonts w:ascii="Times New Roman" w:eastAsia="Times New Roman" w:hAnsi="Times New Roman" w:cs="Times New Roman"/>
                <w:b/>
                <w:color w:val="000000"/>
                <w:lang w:eastAsia="sk-SK"/>
              </w:rPr>
              <w:t>20,24</w:t>
            </w:r>
          </w:p>
        </w:tc>
      </w:tr>
      <w:tr w:rsidR="00CB175F" w:rsidRPr="009F2998" w14:paraId="20B13C3E" w14:textId="77777777" w:rsidTr="00CB4F37">
        <w:trPr>
          <w:trHeight w:val="354"/>
          <w:jc w:val="center"/>
        </w:trPr>
        <w:tc>
          <w:tcPr>
            <w:tcW w:w="4495" w:type="dxa"/>
            <w:tcBorders>
              <w:top w:val="nil"/>
              <w:left w:val="single" w:sz="4" w:space="0" w:color="auto"/>
              <w:bottom w:val="single" w:sz="4" w:space="0" w:color="auto"/>
              <w:right w:val="single" w:sz="4" w:space="0" w:color="auto"/>
            </w:tcBorders>
            <w:shd w:val="clear" w:color="auto" w:fill="auto"/>
            <w:noWrap/>
            <w:vAlign w:val="center"/>
            <w:hideMark/>
          </w:tcPr>
          <w:p w14:paraId="6FCEB3F2" w14:textId="77777777" w:rsidR="00CB175F" w:rsidRPr="009F2998" w:rsidRDefault="00CB175F" w:rsidP="00CB4F37">
            <w:pPr>
              <w:spacing w:after="0" w:line="240" w:lineRule="auto"/>
              <w:rPr>
                <w:rFonts w:ascii="Times New Roman" w:eastAsia="Times New Roman" w:hAnsi="Times New Roman" w:cs="Times New Roman"/>
                <w:b/>
                <w:bCs/>
                <w:color w:val="000000"/>
                <w:lang w:eastAsia="sk-SK"/>
              </w:rPr>
            </w:pPr>
            <w:r w:rsidRPr="009F2998">
              <w:rPr>
                <w:rFonts w:ascii="Times New Roman" w:eastAsia="Times New Roman" w:hAnsi="Times New Roman" w:cs="Times New Roman"/>
                <w:b/>
                <w:bCs/>
                <w:color w:val="000000"/>
                <w:lang w:eastAsia="sk-SK"/>
              </w:rPr>
              <w:t>SPOLU</w:t>
            </w:r>
          </w:p>
        </w:tc>
        <w:tc>
          <w:tcPr>
            <w:tcW w:w="1141" w:type="dxa"/>
            <w:tcBorders>
              <w:top w:val="single" w:sz="4" w:space="0" w:color="auto"/>
              <w:left w:val="nil"/>
              <w:bottom w:val="single" w:sz="4" w:space="0" w:color="auto"/>
              <w:right w:val="single" w:sz="4" w:space="0" w:color="auto"/>
            </w:tcBorders>
            <w:vAlign w:val="center"/>
          </w:tcPr>
          <w:p w14:paraId="67DA372F" w14:textId="77777777" w:rsidR="00CB175F" w:rsidRPr="009F2998" w:rsidRDefault="00CB175F" w:rsidP="00CB4F37">
            <w:pPr>
              <w:spacing w:after="0" w:line="240" w:lineRule="auto"/>
              <w:jc w:val="center"/>
              <w:rPr>
                <w:rFonts w:ascii="Times New Roman" w:eastAsia="Times New Roman" w:hAnsi="Times New Roman" w:cs="Times New Roman"/>
                <w:b/>
                <w:bCs/>
                <w:color w:val="000000"/>
                <w:lang w:eastAsia="sk-SK"/>
              </w:rPr>
            </w:pPr>
            <w:r w:rsidRPr="009F2998">
              <w:rPr>
                <w:rFonts w:ascii="Times New Roman" w:eastAsia="Times New Roman" w:hAnsi="Times New Roman" w:cs="Times New Roman"/>
                <w:b/>
                <w:bCs/>
                <w:color w:val="000000"/>
                <w:lang w:eastAsia="sk-SK"/>
              </w:rPr>
              <w:t>0,85</w:t>
            </w:r>
          </w:p>
        </w:tc>
        <w:tc>
          <w:tcPr>
            <w:tcW w:w="1142" w:type="dxa"/>
            <w:tcBorders>
              <w:top w:val="single" w:sz="4" w:space="0" w:color="auto"/>
              <w:left w:val="single" w:sz="4" w:space="0" w:color="auto"/>
              <w:bottom w:val="single" w:sz="4" w:space="0" w:color="auto"/>
              <w:right w:val="single" w:sz="4" w:space="0" w:color="auto"/>
            </w:tcBorders>
            <w:vAlign w:val="center"/>
          </w:tcPr>
          <w:p w14:paraId="3983F20C" w14:textId="77777777" w:rsidR="00CB175F" w:rsidRPr="009F2998" w:rsidRDefault="00CB175F" w:rsidP="002814F6">
            <w:pPr>
              <w:spacing w:after="0" w:line="240" w:lineRule="auto"/>
              <w:jc w:val="center"/>
              <w:rPr>
                <w:rFonts w:ascii="Times New Roman" w:eastAsia="Times New Roman" w:hAnsi="Times New Roman" w:cs="Times New Roman"/>
                <w:b/>
                <w:bCs/>
                <w:color w:val="000000"/>
                <w:lang w:eastAsia="sk-SK"/>
              </w:rPr>
            </w:pPr>
            <w:r w:rsidRPr="009F2998">
              <w:rPr>
                <w:rFonts w:ascii="Times New Roman" w:eastAsia="Times New Roman" w:hAnsi="Times New Roman" w:cs="Times New Roman"/>
                <w:b/>
                <w:bCs/>
                <w:color w:val="000000"/>
                <w:lang w:eastAsia="sk-SK"/>
              </w:rPr>
              <w:t>54,13</w:t>
            </w:r>
          </w:p>
        </w:tc>
        <w:tc>
          <w:tcPr>
            <w:tcW w:w="1142" w:type="dxa"/>
            <w:tcBorders>
              <w:top w:val="single" w:sz="4" w:space="0" w:color="auto"/>
              <w:bottom w:val="single" w:sz="4" w:space="0" w:color="auto"/>
            </w:tcBorders>
            <w:shd w:val="clear" w:color="auto" w:fill="auto"/>
            <w:vAlign w:val="center"/>
          </w:tcPr>
          <w:p w14:paraId="15E98663" w14:textId="4C980662" w:rsidR="00CB175F" w:rsidRPr="009F2998" w:rsidRDefault="00CB175F">
            <w:pPr>
              <w:spacing w:after="0" w:line="240" w:lineRule="auto"/>
              <w:jc w:val="center"/>
              <w:rPr>
                <w:rFonts w:ascii="Times New Roman" w:eastAsia="Times New Roman" w:hAnsi="Times New Roman" w:cs="Times New Roman"/>
                <w:b/>
                <w:bCs/>
                <w:color w:val="000000"/>
                <w:lang w:eastAsia="sk-SK"/>
              </w:rPr>
            </w:pPr>
            <w:r w:rsidRPr="009F2998">
              <w:rPr>
                <w:rFonts w:ascii="Times New Roman" w:hAnsi="Times New Roman" w:cs="Times New Roman"/>
                <w:b/>
                <w:bCs/>
                <w:color w:val="000000"/>
              </w:rPr>
              <w:t>2</w:t>
            </w:r>
            <w:r w:rsidR="001328B6">
              <w:rPr>
                <w:rFonts w:ascii="Times New Roman" w:hAnsi="Times New Roman" w:cs="Times New Roman"/>
                <w:b/>
                <w:bCs/>
                <w:color w:val="000000"/>
              </w:rPr>
              <w:t>5</w:t>
            </w:r>
            <w:r w:rsidRPr="009F2998">
              <w:rPr>
                <w:rFonts w:ascii="Times New Roman" w:hAnsi="Times New Roman" w:cs="Times New Roman"/>
                <w:b/>
                <w:bCs/>
                <w:color w:val="000000"/>
              </w:rPr>
              <w:t>,</w:t>
            </w:r>
            <w:r w:rsidR="001328B6">
              <w:rPr>
                <w:rFonts w:ascii="Times New Roman" w:hAnsi="Times New Roman" w:cs="Times New Roman"/>
                <w:b/>
                <w:bCs/>
                <w:color w:val="000000"/>
              </w:rPr>
              <w:t>4</w:t>
            </w:r>
            <w:r w:rsidRPr="009F2998">
              <w:rPr>
                <w:rFonts w:ascii="Times New Roman" w:hAnsi="Times New Roman" w:cs="Times New Roman"/>
                <w:b/>
                <w:bCs/>
                <w:color w:val="000000"/>
              </w:rPr>
              <w:t>2</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53724" w14:textId="18C20DA0" w:rsidR="00CB175F" w:rsidRPr="009F2998" w:rsidRDefault="00C5297D">
            <w:pPr>
              <w:spacing w:after="0" w:line="240" w:lineRule="auto"/>
              <w:jc w:val="center"/>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80</w:t>
            </w:r>
            <w:r w:rsidR="00CB175F" w:rsidRPr="009F2998">
              <w:rPr>
                <w:rFonts w:ascii="Times New Roman" w:eastAsia="Times New Roman" w:hAnsi="Times New Roman" w:cs="Times New Roman"/>
                <w:b/>
                <w:bCs/>
                <w:color w:val="000000"/>
                <w:lang w:eastAsia="sk-SK"/>
              </w:rPr>
              <w:t>,</w:t>
            </w:r>
            <w:r>
              <w:rPr>
                <w:rFonts w:ascii="Times New Roman" w:eastAsia="Times New Roman" w:hAnsi="Times New Roman" w:cs="Times New Roman"/>
                <w:b/>
                <w:bCs/>
                <w:color w:val="000000"/>
                <w:lang w:eastAsia="sk-SK"/>
              </w:rPr>
              <w:t>4</w:t>
            </w:r>
            <w:r w:rsidR="00CB175F" w:rsidRPr="009F2998">
              <w:rPr>
                <w:rFonts w:ascii="Times New Roman" w:eastAsia="Times New Roman" w:hAnsi="Times New Roman" w:cs="Times New Roman"/>
                <w:b/>
                <w:bCs/>
                <w:color w:val="000000"/>
                <w:lang w:eastAsia="sk-SK"/>
              </w:rPr>
              <w:t>0</w:t>
            </w:r>
          </w:p>
        </w:tc>
      </w:tr>
    </w:tbl>
    <w:p w14:paraId="29641224" w14:textId="14445D82" w:rsidR="00520E43" w:rsidRPr="00AF5415" w:rsidRDefault="00CB175F" w:rsidP="000578FE">
      <w:pPr>
        <w:pStyle w:val="Popis"/>
        <w:widowControl w:val="0"/>
        <w:spacing w:after="0"/>
        <w:rPr>
          <w:rFonts w:ascii="Times New Roman" w:hAnsi="Times New Roman" w:cs="Times New Roman"/>
          <w:caps w:val="0"/>
          <w:sz w:val="22"/>
          <w:szCs w:val="22"/>
          <w:lang w:eastAsia="ar-SA"/>
        </w:rPr>
      </w:pPr>
      <w:r w:rsidRPr="000578FE">
        <w:rPr>
          <w:rFonts w:ascii="Times New Roman" w:hAnsi="Times New Roman" w:cs="Times New Roman"/>
          <w:sz w:val="20"/>
          <w:szCs w:val="20"/>
          <w:lang w:eastAsia="ar-SA"/>
        </w:rPr>
        <w:t xml:space="preserve"> </w:t>
      </w:r>
      <w:r w:rsidR="00520E43" w:rsidRPr="00AF5415">
        <w:rPr>
          <w:rFonts w:ascii="Times New Roman" w:hAnsi="Times New Roman" w:cs="Times New Roman"/>
          <w:caps w:val="0"/>
          <w:sz w:val="22"/>
          <w:szCs w:val="22"/>
          <w:lang w:eastAsia="ar-SA"/>
        </w:rPr>
        <w:t xml:space="preserve">Zdroj: </w:t>
      </w:r>
      <w:r w:rsidR="00520E43" w:rsidRPr="00AF5415">
        <w:rPr>
          <w:rFonts w:ascii="Times New Roman" w:hAnsi="Times New Roman" w:cs="Times New Roman"/>
          <w:iCs/>
          <w:caps w:val="0"/>
          <w:sz w:val="22"/>
          <w:szCs w:val="22"/>
        </w:rPr>
        <w:t xml:space="preserve">Informačný systém INFOREG    </w:t>
      </w:r>
    </w:p>
    <w:p w14:paraId="16042693" w14:textId="69A51CFB" w:rsidR="00F77093" w:rsidRDefault="00F77093">
      <w:pPr>
        <w:rPr>
          <w:rFonts w:ascii="Times New Roman" w:eastAsiaTheme="majorEastAsia" w:hAnsi="Times New Roman" w:cs="Times New Roman"/>
          <w:b/>
          <w:bCs/>
          <w:color w:val="5B9BD5" w:themeColor="accent1"/>
        </w:rPr>
      </w:pPr>
    </w:p>
    <w:p w14:paraId="18E873B7" w14:textId="77777777" w:rsidR="00CB1B49" w:rsidRDefault="00CB1B49">
      <w:pPr>
        <w:rPr>
          <w:rFonts w:ascii="Times New Roman" w:eastAsiaTheme="majorEastAsia" w:hAnsi="Times New Roman" w:cs="Times New Roman"/>
          <w:b/>
          <w:bCs/>
        </w:rPr>
      </w:pPr>
      <w:r>
        <w:rPr>
          <w:rFonts w:ascii="Times New Roman" w:hAnsi="Times New Roman" w:cs="Times New Roman"/>
        </w:rPr>
        <w:br w:type="page"/>
      </w:r>
    </w:p>
    <w:p w14:paraId="70BC5AF8" w14:textId="13575870" w:rsidR="00752288" w:rsidRPr="000578FE" w:rsidRDefault="00752288" w:rsidP="007157D7">
      <w:pPr>
        <w:pStyle w:val="Nadpis3"/>
        <w:keepNext w:val="0"/>
        <w:keepLines w:val="0"/>
        <w:numPr>
          <w:ilvl w:val="2"/>
          <w:numId w:val="16"/>
        </w:numPr>
        <w:ind w:left="1276" w:hanging="567"/>
        <w:rPr>
          <w:rFonts w:ascii="Times New Roman" w:hAnsi="Times New Roman" w:cs="Times New Roman"/>
          <w:color w:val="auto"/>
        </w:rPr>
      </w:pPr>
      <w:bookmarkStart w:id="100" w:name="_Toc480547273"/>
      <w:r w:rsidRPr="000578FE">
        <w:rPr>
          <w:rFonts w:ascii="Times New Roman" w:hAnsi="Times New Roman" w:cs="Times New Roman"/>
          <w:color w:val="auto"/>
        </w:rPr>
        <w:lastRenderedPageBreak/>
        <w:t>Budovy ostatných verejných subjektov (článok 5 SEE)</w:t>
      </w:r>
      <w:bookmarkEnd w:id="100"/>
    </w:p>
    <w:p w14:paraId="04FAD3AF" w14:textId="041CFDCA" w:rsidR="00752288" w:rsidRPr="000578FE" w:rsidRDefault="00752288" w:rsidP="009927E4">
      <w:pPr>
        <w:pStyle w:val="Nadpis4"/>
        <w:numPr>
          <w:ilvl w:val="3"/>
          <w:numId w:val="16"/>
        </w:numPr>
        <w:rPr>
          <w:rFonts w:ascii="Times New Roman" w:eastAsia="Times New Roman" w:hAnsi="Times New Roman" w:cs="Times New Roman"/>
          <w:i w:val="0"/>
          <w:color w:val="auto"/>
          <w:lang w:eastAsia="sk-SK"/>
        </w:rPr>
      </w:pPr>
      <w:bookmarkStart w:id="101" w:name="_Toc480547274"/>
      <w:r w:rsidRPr="000578FE">
        <w:rPr>
          <w:rFonts w:ascii="Times New Roman" w:eastAsia="Times New Roman" w:hAnsi="Times New Roman" w:cs="Times New Roman"/>
          <w:i w:val="0"/>
          <w:color w:val="auto"/>
          <w:lang w:eastAsia="sk-SK"/>
        </w:rPr>
        <w:t xml:space="preserve">Verejné objekty a subjekty - informácie o prijatých opatreniach na prijatie plánov </w:t>
      </w:r>
      <w:r w:rsidR="009927E4" w:rsidRPr="009927E4">
        <w:rPr>
          <w:rFonts w:ascii="Times New Roman" w:eastAsia="Times New Roman" w:hAnsi="Times New Roman" w:cs="Times New Roman"/>
          <w:i w:val="0"/>
          <w:color w:val="auto"/>
          <w:lang w:eastAsia="sk-SK"/>
        </w:rPr>
        <w:t>energetickej efektívnosti</w:t>
      </w:r>
      <w:bookmarkEnd w:id="101"/>
    </w:p>
    <w:p w14:paraId="13D40979" w14:textId="22496DCE" w:rsidR="00F7234C" w:rsidRPr="00F77093" w:rsidRDefault="00E43041" w:rsidP="00F7234C">
      <w:pPr>
        <w:jc w:val="both"/>
        <w:rPr>
          <w:rFonts w:ascii="Times New Roman" w:hAnsi="Times New Roman" w:cs="Times New Roman"/>
          <w:sz w:val="24"/>
          <w:szCs w:val="24"/>
        </w:rPr>
      </w:pPr>
      <w:r w:rsidRPr="00F77093">
        <w:rPr>
          <w:rFonts w:ascii="Times New Roman" w:hAnsi="Times New Roman" w:cs="Times New Roman"/>
          <w:sz w:val="24"/>
          <w:szCs w:val="24"/>
          <w:lang w:eastAsia="sk-SK"/>
        </w:rPr>
        <w:t>SR zabezpečila financovanie na vypracovanie lokálnych a regionálnych nízkouhlí</w:t>
      </w:r>
      <w:r w:rsidR="00AD151D" w:rsidRPr="00F77093">
        <w:rPr>
          <w:rFonts w:ascii="Times New Roman" w:hAnsi="Times New Roman" w:cs="Times New Roman"/>
          <w:sz w:val="24"/>
          <w:szCs w:val="24"/>
          <w:lang w:eastAsia="sk-SK"/>
        </w:rPr>
        <w:t>k</w:t>
      </w:r>
      <w:r w:rsidRPr="00F77093">
        <w:rPr>
          <w:rFonts w:ascii="Times New Roman" w:hAnsi="Times New Roman" w:cs="Times New Roman"/>
          <w:sz w:val="24"/>
          <w:szCs w:val="24"/>
          <w:lang w:eastAsia="sk-SK"/>
        </w:rPr>
        <w:t>ových stratégií z EŠIF 2014-2020 prostredníctvom OP KŽP</w:t>
      </w:r>
      <w:r w:rsidR="00AD151D" w:rsidRPr="00F77093">
        <w:rPr>
          <w:rFonts w:ascii="Times New Roman" w:hAnsi="Times New Roman" w:cs="Times New Roman"/>
          <w:sz w:val="24"/>
          <w:szCs w:val="24"/>
          <w:lang w:eastAsia="sk-SK"/>
        </w:rPr>
        <w:t xml:space="preserve">. </w:t>
      </w:r>
      <w:r w:rsidR="00AD151D" w:rsidRPr="00F77093">
        <w:rPr>
          <w:rFonts w:ascii="Times New Roman" w:hAnsi="Times New Roman" w:cs="Times New Roman"/>
          <w:sz w:val="24"/>
          <w:szCs w:val="24"/>
        </w:rPr>
        <w:t xml:space="preserve">Cieľom uvedenej aktivity bude v súlade s pripravovanou národnou nízkouhlíkovou stratégiou vypracovanie a implementácia regionálnych a lokálnych nízkouhlíkových stratégií alebo ich častí s posúdením stavu zásobovania všetkými dostupnými formami využiteľnej energie, vrátane energie používanej v doprave, spracovaných s využitím metodiky akčného plánu udržateľného energetického rozvoja používanej v rámci Dohovoru starostov a primátorov. Dôraz by mal byť kladený na nízkouhlíkové opatrenia najmä na energetickú efektívnosť, využívanie OZE s ohľadom na ochranu životného prostredia, najmä v súvislosti s produkciou emisií skleníkových plynov a emisií znečisťujúcich látok do ovzdušia. Ak je v predmetnej lokalite systém centralizovaného zásobovania teplom, musí byť neoddeliteľnou súčasťou nízkouhlíkovej stratégie aj aktualizácia koncepcie rozvoja obce v oblasti tepelnej energetiky so zohľadnením klesajúceho dopytu po využiteľnom teple a stanovením postupu následného optimálneho prispôsobenia sa distribúcie a výroby tepla. Na programové obdobie 2014-2020 sú plánované verejné finančné prostriedky vo výške 14,1 mil. </w:t>
      </w:r>
      <w:r w:rsidR="000C2919">
        <w:rPr>
          <w:rFonts w:ascii="Times New Roman" w:hAnsi="Times New Roman" w:cs="Times New Roman"/>
          <w:sz w:val="24"/>
          <w:szCs w:val="24"/>
        </w:rPr>
        <w:t>Eur</w:t>
      </w:r>
      <w:r w:rsidR="00AD151D" w:rsidRPr="00F77093">
        <w:rPr>
          <w:rFonts w:ascii="Times New Roman" w:hAnsi="Times New Roman" w:cs="Times New Roman"/>
          <w:sz w:val="24"/>
          <w:szCs w:val="24"/>
        </w:rPr>
        <w:t>.</w:t>
      </w:r>
      <w:r w:rsidR="00F7234C" w:rsidRPr="00F77093">
        <w:rPr>
          <w:rFonts w:ascii="Times New Roman" w:hAnsi="Times New Roman" w:cs="Times New Roman"/>
          <w:sz w:val="24"/>
          <w:szCs w:val="24"/>
        </w:rPr>
        <w:t xml:space="preserve"> Reálne využívanie tohto mechanizmu sa očakáva od roku 2017. </w:t>
      </w:r>
    </w:p>
    <w:p w14:paraId="2483CDDC" w14:textId="71DB39ED" w:rsidR="00E43041" w:rsidRPr="000578FE" w:rsidRDefault="00E064E6" w:rsidP="009927E4">
      <w:pPr>
        <w:pStyle w:val="Nadpis4"/>
        <w:numPr>
          <w:ilvl w:val="3"/>
          <w:numId w:val="16"/>
        </w:numPr>
        <w:rPr>
          <w:rFonts w:ascii="Times New Roman" w:eastAsia="Times New Roman" w:hAnsi="Times New Roman" w:cs="Times New Roman"/>
          <w:i w:val="0"/>
          <w:color w:val="auto"/>
          <w:lang w:eastAsia="sk-SK"/>
        </w:rPr>
      </w:pPr>
      <w:bookmarkStart w:id="102" w:name="_Toc480547275"/>
      <w:r w:rsidRPr="000578FE">
        <w:rPr>
          <w:rFonts w:ascii="Times New Roman" w:eastAsia="Times New Roman" w:hAnsi="Times New Roman" w:cs="Times New Roman"/>
          <w:i w:val="0"/>
          <w:color w:val="auto"/>
          <w:lang w:eastAsia="sk-SK"/>
        </w:rPr>
        <w:t>Z</w:t>
      </w:r>
      <w:r w:rsidR="00E43041" w:rsidRPr="000578FE">
        <w:rPr>
          <w:rFonts w:ascii="Times New Roman" w:eastAsia="Times New Roman" w:hAnsi="Times New Roman" w:cs="Times New Roman"/>
          <w:i w:val="0"/>
          <w:color w:val="auto"/>
          <w:lang w:eastAsia="sk-SK"/>
        </w:rPr>
        <w:t xml:space="preserve">oznam verejných subjektov, ktoré vypracovali akčný plán </w:t>
      </w:r>
      <w:r w:rsidR="009927E4" w:rsidRPr="009927E4">
        <w:rPr>
          <w:rFonts w:ascii="Times New Roman" w:eastAsia="Times New Roman" w:hAnsi="Times New Roman" w:cs="Times New Roman"/>
          <w:i w:val="0"/>
          <w:color w:val="auto"/>
          <w:lang w:eastAsia="sk-SK"/>
        </w:rPr>
        <w:t>energetickej efektívnosti</w:t>
      </w:r>
      <w:bookmarkEnd w:id="102"/>
    </w:p>
    <w:p w14:paraId="6F7D2E83" w14:textId="77777777" w:rsidR="00E43041" w:rsidRPr="009F2998" w:rsidRDefault="00E43041" w:rsidP="00E43041">
      <w:pPr>
        <w:rPr>
          <w:rFonts w:ascii="Times New Roman" w:hAnsi="Times New Roman" w:cs="Times New Roman"/>
        </w:rPr>
      </w:pPr>
    </w:p>
    <w:p w14:paraId="10314647" w14:textId="77777777" w:rsidR="00E43041" w:rsidRPr="00F77093" w:rsidRDefault="00E43041" w:rsidP="00E43041">
      <w:pPr>
        <w:jc w:val="both"/>
        <w:rPr>
          <w:rFonts w:ascii="Times New Roman" w:hAnsi="Times New Roman" w:cs="Times New Roman"/>
          <w:sz w:val="24"/>
          <w:szCs w:val="24"/>
        </w:rPr>
      </w:pPr>
      <w:r w:rsidRPr="00F77093">
        <w:rPr>
          <w:rFonts w:ascii="Times New Roman" w:hAnsi="Times New Roman" w:cs="Times New Roman"/>
          <w:sz w:val="24"/>
          <w:szCs w:val="24"/>
        </w:rPr>
        <w:t xml:space="preserve">Plán energetickej efektívnosti v súlade s článkom 5 ods. 7 smernice vypracovali v rámci „Dohovoru primátorov a starostov“ nasledujúce  mestá a obce: Bratislava, Nitra, Moldava nad Bodvou, Trakovice, Malženice, Pobedim, Turčianske Teplice. </w:t>
      </w:r>
    </w:p>
    <w:p w14:paraId="4F7F2802" w14:textId="77777777" w:rsidR="00E43041" w:rsidRPr="000578FE" w:rsidRDefault="00E43041" w:rsidP="007157D7">
      <w:pPr>
        <w:pStyle w:val="Nadpis3"/>
        <w:keepNext w:val="0"/>
        <w:keepLines w:val="0"/>
        <w:numPr>
          <w:ilvl w:val="2"/>
          <w:numId w:val="16"/>
        </w:numPr>
        <w:ind w:left="1276" w:hanging="567"/>
        <w:rPr>
          <w:rFonts w:ascii="Times New Roman" w:hAnsi="Times New Roman" w:cs="Times New Roman"/>
          <w:color w:val="auto"/>
        </w:rPr>
      </w:pPr>
      <w:bookmarkStart w:id="103" w:name="_Toc473638156"/>
      <w:bookmarkStart w:id="104" w:name="_Toc473638157"/>
      <w:bookmarkStart w:id="105" w:name="_Toc480547276"/>
      <w:bookmarkEnd w:id="103"/>
      <w:bookmarkEnd w:id="104"/>
      <w:r w:rsidRPr="000578FE">
        <w:rPr>
          <w:rFonts w:ascii="Times New Roman" w:hAnsi="Times New Roman" w:cs="Times New Roman"/>
          <w:color w:val="auto"/>
        </w:rPr>
        <w:t>Obstarávanie verejnými subjektmi (článok 6 SEE)</w:t>
      </w:r>
      <w:bookmarkEnd w:id="105"/>
    </w:p>
    <w:p w14:paraId="5207DE9D" w14:textId="364D926D" w:rsidR="00F7234C" w:rsidRPr="00F77093" w:rsidRDefault="00F7234C" w:rsidP="00E43041">
      <w:pPr>
        <w:rPr>
          <w:rStyle w:val="Siln"/>
          <w:rFonts w:ascii="Times New Roman" w:hAnsi="Times New Roman" w:cs="Times New Roman"/>
          <w:color w:val="3D3D3D"/>
          <w:sz w:val="24"/>
          <w:szCs w:val="24"/>
        </w:rPr>
      </w:pPr>
    </w:p>
    <w:p w14:paraId="4A795682" w14:textId="47F4BB40" w:rsidR="00F7234C" w:rsidRPr="00F77093" w:rsidRDefault="00F7234C" w:rsidP="001570B9">
      <w:pPr>
        <w:shd w:val="clear" w:color="auto" w:fill="FFFFFF"/>
        <w:spacing w:after="0" w:line="240" w:lineRule="auto"/>
        <w:jc w:val="both"/>
        <w:rPr>
          <w:rFonts w:ascii="Times New Roman" w:eastAsia="Times New Roman" w:hAnsi="Times New Roman" w:cs="Times New Roman"/>
          <w:sz w:val="24"/>
          <w:szCs w:val="24"/>
          <w:lang w:eastAsia="sk-SK"/>
        </w:rPr>
      </w:pPr>
      <w:r w:rsidRPr="00F77093">
        <w:rPr>
          <w:rStyle w:val="Siln"/>
          <w:rFonts w:ascii="Times New Roman" w:hAnsi="Times New Roman" w:cs="Times New Roman"/>
          <w:b w:val="0"/>
          <w:sz w:val="24"/>
          <w:szCs w:val="24"/>
        </w:rPr>
        <w:t>Povinnosť obstarávať výrobky a služby s vysokou energetickou efektívnosťou</w:t>
      </w:r>
      <w:r w:rsidRPr="00F77093">
        <w:rPr>
          <w:rFonts w:ascii="Times New Roman" w:hAnsi="Times New Roman" w:cs="Times New Roman"/>
          <w:sz w:val="24"/>
          <w:szCs w:val="24"/>
        </w:rPr>
        <w:t xml:space="preserve"> je ustanovená zákonom č. </w:t>
      </w:r>
      <w:r w:rsidR="0030375D" w:rsidRPr="0030375D">
        <w:rPr>
          <w:rFonts w:ascii="Times New Roman" w:hAnsi="Times New Roman" w:cs="Times New Roman"/>
          <w:sz w:val="24"/>
          <w:szCs w:val="24"/>
        </w:rPr>
        <w:t xml:space="preserve">343/2015 </w:t>
      </w:r>
      <w:r w:rsidRPr="00F77093">
        <w:rPr>
          <w:rFonts w:ascii="Times New Roman" w:hAnsi="Times New Roman" w:cs="Times New Roman"/>
          <w:sz w:val="24"/>
          <w:szCs w:val="24"/>
        </w:rPr>
        <w:t xml:space="preserve">Z. z. o verejnom obstarávaní a o zmene a doplnení niektorých zákonov v znení neskorších predpisov. </w:t>
      </w:r>
      <w:r w:rsidRPr="00CB1B49">
        <w:rPr>
          <w:rFonts w:ascii="Times New Roman" w:hAnsi="Times New Roman" w:cs="Times New Roman"/>
          <w:sz w:val="24"/>
          <w:szCs w:val="24"/>
        </w:rPr>
        <w:t xml:space="preserve">Podľa § </w:t>
      </w:r>
      <w:r w:rsidR="00914629" w:rsidRPr="00AF5415">
        <w:rPr>
          <w:rFonts w:ascii="Times New Roman" w:hAnsi="Times New Roman" w:cs="Times New Roman"/>
          <w:sz w:val="24"/>
          <w:szCs w:val="24"/>
        </w:rPr>
        <w:t>42</w:t>
      </w:r>
      <w:r w:rsidR="00914629" w:rsidRPr="00CB1B49">
        <w:rPr>
          <w:rFonts w:ascii="Times New Roman" w:hAnsi="Times New Roman" w:cs="Times New Roman"/>
          <w:sz w:val="24"/>
          <w:szCs w:val="24"/>
        </w:rPr>
        <w:t xml:space="preserve"> </w:t>
      </w:r>
      <w:r w:rsidRPr="00CB1B49">
        <w:rPr>
          <w:rFonts w:ascii="Times New Roman" w:hAnsi="Times New Roman" w:cs="Times New Roman"/>
          <w:sz w:val="24"/>
          <w:szCs w:val="24"/>
        </w:rPr>
        <w:t xml:space="preserve">ods. 5 zákona č. </w:t>
      </w:r>
      <w:r w:rsidR="0030375D" w:rsidRPr="00CB1B49">
        <w:rPr>
          <w:rFonts w:ascii="Times New Roman" w:hAnsi="Times New Roman" w:cs="Times New Roman"/>
          <w:sz w:val="24"/>
          <w:szCs w:val="24"/>
        </w:rPr>
        <w:t xml:space="preserve">343/2015 </w:t>
      </w:r>
      <w:r w:rsidRPr="00CB1B49">
        <w:rPr>
          <w:rFonts w:ascii="Times New Roman" w:hAnsi="Times New Roman" w:cs="Times New Roman"/>
          <w:sz w:val="24"/>
          <w:szCs w:val="24"/>
        </w:rPr>
        <w:t xml:space="preserve">Z. z. ak ide o obstaranie energeticky významného výrobku, verejný obstarávateľ v opise predmetu zákazky určí požiadavky len na taký energeticky významný výrobok, ktorý spĺňa kritériá najvyššej výkonnosti a patrí do najvyššej triedy energetickej účinnosti podľa osobitného predpisu. </w:t>
      </w:r>
      <w:r w:rsidRPr="00CB1B49">
        <w:rPr>
          <w:rFonts w:ascii="Times New Roman" w:eastAsia="Times New Roman" w:hAnsi="Times New Roman" w:cs="Times New Roman"/>
          <w:sz w:val="24"/>
          <w:szCs w:val="24"/>
          <w:lang w:eastAsia="sk-SK"/>
        </w:rPr>
        <w:t xml:space="preserve">Povinnosť obstarávať výrobky, ktoré spĺňajú kritériá najvyššej výkonnosti a patria do najvyššej triedy energetickej účinnosti sa nevzťahuje na zákazky, pri ktorých predpokladaná hodnota je nižšia ako finančné limity podľa § </w:t>
      </w:r>
      <w:r w:rsidR="00914629" w:rsidRPr="00AF5415">
        <w:rPr>
          <w:rFonts w:ascii="Times New Roman" w:eastAsia="Times New Roman" w:hAnsi="Times New Roman" w:cs="Times New Roman"/>
          <w:sz w:val="24"/>
          <w:szCs w:val="24"/>
          <w:lang w:eastAsia="sk-SK"/>
        </w:rPr>
        <w:t>5</w:t>
      </w:r>
      <w:r w:rsidRPr="00CB1B49">
        <w:rPr>
          <w:rFonts w:ascii="Times New Roman" w:eastAsia="Times New Roman" w:hAnsi="Times New Roman" w:cs="Times New Roman"/>
          <w:sz w:val="24"/>
          <w:szCs w:val="24"/>
          <w:lang w:eastAsia="sk-SK"/>
        </w:rPr>
        <w:t xml:space="preserve"> ods. 2 zákona č. </w:t>
      </w:r>
      <w:r w:rsidR="0030375D" w:rsidRPr="00CB1B49">
        <w:rPr>
          <w:rFonts w:ascii="Times New Roman" w:eastAsia="Times New Roman" w:hAnsi="Times New Roman" w:cs="Times New Roman"/>
          <w:sz w:val="24"/>
          <w:szCs w:val="24"/>
          <w:lang w:eastAsia="sk-SK"/>
        </w:rPr>
        <w:t xml:space="preserve">343/2015 </w:t>
      </w:r>
      <w:r w:rsidRPr="00CB1B49">
        <w:rPr>
          <w:rFonts w:ascii="Times New Roman" w:eastAsia="Times New Roman" w:hAnsi="Times New Roman" w:cs="Times New Roman"/>
          <w:sz w:val="24"/>
          <w:szCs w:val="24"/>
          <w:lang w:eastAsia="sk-SK"/>
        </w:rPr>
        <w:t>Z. z. alebo ak obstaranie výrobku podľa</w:t>
      </w:r>
      <w:r w:rsidR="00914629" w:rsidRPr="00AF5415">
        <w:rPr>
          <w:rFonts w:ascii="Times New Roman" w:eastAsia="Times New Roman" w:hAnsi="Times New Roman" w:cs="Times New Roman"/>
          <w:sz w:val="24"/>
          <w:szCs w:val="24"/>
          <w:lang w:eastAsia="sk-SK"/>
        </w:rPr>
        <w:t xml:space="preserve"> </w:t>
      </w:r>
      <w:r w:rsidR="00914629" w:rsidRPr="00AF5415">
        <w:rPr>
          <w:rFonts w:ascii="Times New Roman" w:hAnsi="Times New Roman" w:cs="Times New Roman"/>
          <w:sz w:val="24"/>
          <w:szCs w:val="24"/>
        </w:rPr>
        <w:t xml:space="preserve">§ 42 </w:t>
      </w:r>
      <w:r w:rsidRPr="00CB1B49">
        <w:rPr>
          <w:rFonts w:ascii="Times New Roman" w:eastAsia="Times New Roman" w:hAnsi="Times New Roman" w:cs="Times New Roman"/>
          <w:sz w:val="24"/>
          <w:szCs w:val="24"/>
          <w:lang w:eastAsia="sk-SK"/>
        </w:rPr>
        <w:t xml:space="preserve"> odseku 5 v najvyššej triede energetickej účinnosti najvyššej výkonnosti nie je vhodné vzhľadom na efektívnosť nákladov, nie je ekonomicky únosné pre verejného obstarávateľa, nie je technicky vhodné</w:t>
      </w:r>
      <w:r w:rsidRPr="00F77093">
        <w:rPr>
          <w:rFonts w:ascii="Times New Roman" w:eastAsia="Times New Roman" w:hAnsi="Times New Roman" w:cs="Times New Roman"/>
          <w:sz w:val="24"/>
          <w:szCs w:val="24"/>
          <w:lang w:eastAsia="sk-SK"/>
        </w:rPr>
        <w:t xml:space="preserve"> alebo neumožňuje hospodársku súťaž.</w:t>
      </w:r>
    </w:p>
    <w:p w14:paraId="5717A846" w14:textId="10B97966" w:rsidR="004D4277" w:rsidRDefault="00F7234C" w:rsidP="001570B9">
      <w:pPr>
        <w:shd w:val="clear" w:color="auto" w:fill="FFFFFF"/>
        <w:spacing w:after="0" w:line="240" w:lineRule="auto"/>
        <w:jc w:val="both"/>
        <w:outlineLvl w:val="5"/>
        <w:rPr>
          <w:rFonts w:ascii="Times New Roman" w:eastAsia="Times New Roman" w:hAnsi="Times New Roman" w:cs="Times New Roman"/>
          <w:sz w:val="24"/>
          <w:szCs w:val="24"/>
          <w:lang w:eastAsia="sk-SK"/>
        </w:rPr>
      </w:pPr>
      <w:r w:rsidRPr="00F77093">
        <w:rPr>
          <w:rFonts w:ascii="Times New Roman" w:eastAsia="Times New Roman" w:hAnsi="Times New Roman" w:cs="Times New Roman"/>
          <w:bCs/>
          <w:sz w:val="24"/>
          <w:szCs w:val="24"/>
          <w:lang w:eastAsia="sk-SK"/>
        </w:rPr>
        <w:t>Povinnosť obstarávať výrobky, ktoré spĺňajú kritériá najvyššej výkonnosti a patria do najvyššej triedy energetickej účinnosti sa teda vzťahuje len na nadlimitné zákazky.</w:t>
      </w:r>
      <w:r w:rsidRPr="00F77093">
        <w:rPr>
          <w:rFonts w:ascii="Times New Roman" w:eastAsia="Times New Roman" w:hAnsi="Times New Roman" w:cs="Times New Roman"/>
          <w:sz w:val="24"/>
          <w:szCs w:val="24"/>
          <w:lang w:eastAsia="sk-SK"/>
        </w:rPr>
        <w:t xml:space="preserve"> Finančné limity ustanovuje Úrad pre verejné obstarávanie. </w:t>
      </w:r>
    </w:p>
    <w:p w14:paraId="3672EDA3" w14:textId="77777777" w:rsidR="00CB1B49" w:rsidRPr="00F77093" w:rsidRDefault="00CB1B49" w:rsidP="001570B9">
      <w:pPr>
        <w:shd w:val="clear" w:color="auto" w:fill="FFFFFF"/>
        <w:spacing w:after="0" w:line="240" w:lineRule="auto"/>
        <w:jc w:val="both"/>
        <w:outlineLvl w:val="5"/>
        <w:rPr>
          <w:rFonts w:ascii="Times New Roman" w:eastAsia="Times New Roman" w:hAnsi="Times New Roman" w:cs="Times New Roman"/>
          <w:sz w:val="24"/>
          <w:szCs w:val="24"/>
          <w:lang w:eastAsia="sk-SK"/>
        </w:rPr>
      </w:pPr>
    </w:p>
    <w:p w14:paraId="6AF7E2E3" w14:textId="57D43191" w:rsidR="004D4277" w:rsidRPr="00F77093" w:rsidRDefault="004D4277" w:rsidP="001570B9">
      <w:pPr>
        <w:shd w:val="clear" w:color="auto" w:fill="FFFFFF"/>
        <w:spacing w:after="0" w:line="240" w:lineRule="auto"/>
        <w:jc w:val="both"/>
        <w:outlineLvl w:val="5"/>
        <w:rPr>
          <w:rFonts w:ascii="Times New Roman" w:eastAsia="Times New Roman" w:hAnsi="Times New Roman" w:cs="Times New Roman"/>
          <w:sz w:val="24"/>
          <w:szCs w:val="24"/>
          <w:lang w:eastAsia="sk-SK"/>
        </w:rPr>
      </w:pPr>
      <w:r w:rsidRPr="00F77093">
        <w:rPr>
          <w:rFonts w:ascii="Times New Roman" w:eastAsia="Times New Roman" w:hAnsi="Times New Roman" w:cs="Times New Roman"/>
          <w:bCs/>
          <w:sz w:val="24"/>
          <w:szCs w:val="24"/>
          <w:lang w:eastAsia="sk-SK"/>
        </w:rPr>
        <w:t xml:space="preserve">Pre verejný sektor odporúča MH SR </w:t>
      </w:r>
      <w:r w:rsidRPr="00F77093">
        <w:rPr>
          <w:rFonts w:ascii="Times New Roman" w:eastAsia="Times New Roman" w:hAnsi="Times New Roman" w:cs="Times New Roman"/>
          <w:sz w:val="24"/>
          <w:szCs w:val="24"/>
          <w:lang w:eastAsia="sk-SK"/>
        </w:rPr>
        <w:t>pri vyhodnocovaní ponúk na výrobky a služby zohľadňovať náklady životného cyklu výrobkov a aj pri podlimitných zákazkách obstarávať výrobky, ktoré spĺňajú kritériá najvyššej výkonnosti a patria do najvyššej triedy energetickej účinnosti</w:t>
      </w:r>
      <w:r w:rsidR="00CB1B49">
        <w:rPr>
          <w:rFonts w:ascii="Times New Roman" w:eastAsia="Times New Roman" w:hAnsi="Times New Roman" w:cs="Times New Roman"/>
          <w:sz w:val="24"/>
          <w:szCs w:val="24"/>
          <w:lang w:eastAsia="sk-SK"/>
        </w:rPr>
        <w:t>,</w:t>
      </w:r>
      <w:r w:rsidRPr="00F77093">
        <w:rPr>
          <w:rFonts w:ascii="Times New Roman" w:eastAsia="Times New Roman" w:hAnsi="Times New Roman" w:cs="Times New Roman"/>
          <w:sz w:val="24"/>
          <w:szCs w:val="24"/>
          <w:lang w:eastAsia="sk-SK"/>
        </w:rPr>
        <w:t xml:space="preserve"> a to najmä pri</w:t>
      </w:r>
      <w:r w:rsidR="001570B9" w:rsidRPr="00F77093">
        <w:rPr>
          <w:rFonts w:ascii="Times New Roman" w:eastAsia="Times New Roman" w:hAnsi="Times New Roman" w:cs="Times New Roman"/>
          <w:sz w:val="24"/>
          <w:szCs w:val="24"/>
          <w:lang w:eastAsia="sk-SK"/>
        </w:rPr>
        <w:t>:</w:t>
      </w:r>
    </w:p>
    <w:p w14:paraId="42C81227" w14:textId="77777777" w:rsidR="004D4277" w:rsidRPr="00F77093" w:rsidRDefault="004D4277" w:rsidP="008C48EE">
      <w:pPr>
        <w:shd w:val="clear" w:color="auto" w:fill="FFFFFF"/>
        <w:spacing w:after="0" w:line="240" w:lineRule="auto"/>
        <w:rPr>
          <w:rFonts w:ascii="Times New Roman" w:eastAsia="Times New Roman" w:hAnsi="Times New Roman" w:cs="Times New Roman"/>
          <w:sz w:val="24"/>
          <w:szCs w:val="24"/>
          <w:lang w:eastAsia="sk-SK"/>
        </w:rPr>
      </w:pPr>
      <w:r w:rsidRPr="00F77093">
        <w:rPr>
          <w:rFonts w:ascii="Times New Roman" w:eastAsia="Times New Roman" w:hAnsi="Times New Roman" w:cs="Times New Roman"/>
          <w:sz w:val="24"/>
          <w:szCs w:val="24"/>
          <w:lang w:eastAsia="sk-SK"/>
        </w:rPr>
        <w:lastRenderedPageBreak/>
        <w:t>- zariadeniach na výrobu tepla,</w:t>
      </w:r>
      <w:r w:rsidRPr="00F77093">
        <w:rPr>
          <w:rFonts w:ascii="Times New Roman" w:eastAsia="Times New Roman" w:hAnsi="Times New Roman" w:cs="Times New Roman"/>
          <w:sz w:val="24"/>
          <w:szCs w:val="24"/>
          <w:lang w:eastAsia="sk-SK"/>
        </w:rPr>
        <w:br/>
        <w:t>- klimatizačných a vetracích zariadeniach,</w:t>
      </w:r>
      <w:r w:rsidRPr="00F77093">
        <w:rPr>
          <w:rFonts w:ascii="Times New Roman" w:eastAsia="Times New Roman" w:hAnsi="Times New Roman" w:cs="Times New Roman"/>
          <w:sz w:val="24"/>
          <w:szCs w:val="24"/>
          <w:lang w:eastAsia="sk-SK"/>
        </w:rPr>
        <w:br/>
        <w:t>- výpočtovej technike,</w:t>
      </w:r>
      <w:r w:rsidRPr="00F77093">
        <w:rPr>
          <w:rFonts w:ascii="Times New Roman" w:eastAsia="Times New Roman" w:hAnsi="Times New Roman" w:cs="Times New Roman"/>
          <w:sz w:val="24"/>
          <w:szCs w:val="24"/>
          <w:lang w:eastAsia="sk-SK"/>
        </w:rPr>
        <w:br/>
        <w:t>- osvetlení vnútorných priestorov.</w:t>
      </w:r>
    </w:p>
    <w:p w14:paraId="215DB8D2" w14:textId="77777777" w:rsidR="004D4277" w:rsidRPr="00F77093" w:rsidRDefault="004D4277" w:rsidP="008C48EE">
      <w:pPr>
        <w:shd w:val="clear" w:color="auto" w:fill="FFFFFF"/>
        <w:spacing w:after="0" w:line="240" w:lineRule="auto"/>
        <w:rPr>
          <w:rFonts w:ascii="Times New Roman" w:eastAsia="Times New Roman" w:hAnsi="Times New Roman" w:cs="Times New Roman"/>
          <w:sz w:val="24"/>
          <w:szCs w:val="24"/>
          <w:lang w:eastAsia="sk-SK"/>
        </w:rPr>
      </w:pPr>
    </w:p>
    <w:p w14:paraId="77506F72" w14:textId="77777777" w:rsidR="00BE27E4" w:rsidRPr="00F77093" w:rsidRDefault="004D4277" w:rsidP="008C48EE">
      <w:pPr>
        <w:spacing w:after="0" w:line="240" w:lineRule="auto"/>
        <w:jc w:val="both"/>
        <w:rPr>
          <w:rStyle w:val="Siln"/>
          <w:rFonts w:ascii="Times New Roman" w:hAnsi="Times New Roman" w:cs="Times New Roman"/>
          <w:b w:val="0"/>
          <w:sz w:val="24"/>
          <w:szCs w:val="24"/>
        </w:rPr>
      </w:pPr>
      <w:r w:rsidRPr="00F77093">
        <w:rPr>
          <w:rFonts w:ascii="Times New Roman" w:hAnsi="Times New Roman" w:cs="Times New Roman"/>
          <w:bCs/>
          <w:sz w:val="24"/>
          <w:szCs w:val="24"/>
        </w:rPr>
        <w:t>Opatrenia na zlepšenie energetickej efektívnosti pri verejnom obstarávaní a u</w:t>
      </w:r>
      <w:r w:rsidRPr="00F77093">
        <w:rPr>
          <w:rStyle w:val="Siln"/>
          <w:rFonts w:ascii="Times New Roman" w:hAnsi="Times New Roman" w:cs="Times New Roman"/>
          <w:b w:val="0"/>
          <w:sz w:val="24"/>
          <w:szCs w:val="24"/>
        </w:rPr>
        <w:t>smernenie pri zadávaní zákaziek podľa zákona o verejnom obstarávaní ako hodnotiace kritérium z hľadiska efektívnosti prevádzkových nákladov pri obstarávaní energeticky významných výrobkov, pneumatík, služieb, verejných budov, obnovy verejných budov, balíka energeticky významných výrobkov a pod.</w:t>
      </w:r>
      <w:r w:rsidR="00BE27E4" w:rsidRPr="00F77093">
        <w:rPr>
          <w:rStyle w:val="Siln"/>
          <w:rFonts w:ascii="Times New Roman" w:hAnsi="Times New Roman" w:cs="Times New Roman"/>
          <w:b w:val="0"/>
          <w:sz w:val="24"/>
          <w:szCs w:val="24"/>
        </w:rPr>
        <w:t xml:space="preserve"> zverejňuje na webovom sídle SIEA.</w:t>
      </w:r>
    </w:p>
    <w:p w14:paraId="5A724CF5" w14:textId="6556E0C4" w:rsidR="00E43041" w:rsidRPr="00F77093" w:rsidRDefault="00E43041" w:rsidP="00E43041">
      <w:pPr>
        <w:rPr>
          <w:rFonts w:ascii="Times New Roman" w:hAnsi="Times New Roman" w:cs="Times New Roman"/>
          <w:b/>
          <w:bCs/>
          <w:color w:val="3D3D3D"/>
          <w:sz w:val="24"/>
          <w:szCs w:val="24"/>
        </w:rPr>
      </w:pPr>
    </w:p>
    <w:p w14:paraId="3644BC41" w14:textId="7ABC294E" w:rsidR="005303D3" w:rsidRDefault="005303D3">
      <w:pPr>
        <w:rPr>
          <w:rFonts w:ascii="Times New Roman" w:eastAsiaTheme="majorEastAsia" w:hAnsi="Times New Roman" w:cs="Times New Roman"/>
          <w:b/>
          <w:bCs/>
          <w:sz w:val="26"/>
          <w:szCs w:val="26"/>
        </w:rPr>
      </w:pPr>
    </w:p>
    <w:p w14:paraId="5C2EA26D" w14:textId="2AAEFBCC" w:rsidR="00E43041" w:rsidRPr="000578FE" w:rsidRDefault="00E43041" w:rsidP="007157D7">
      <w:pPr>
        <w:pStyle w:val="Nadpis2"/>
        <w:keepNext w:val="0"/>
        <w:keepLines w:val="0"/>
        <w:numPr>
          <w:ilvl w:val="1"/>
          <w:numId w:val="16"/>
        </w:numPr>
        <w:ind w:left="993" w:hanging="567"/>
        <w:rPr>
          <w:rFonts w:ascii="Times New Roman" w:hAnsi="Times New Roman" w:cs="Times New Roman"/>
          <w:color w:val="auto"/>
        </w:rPr>
      </w:pPr>
      <w:bookmarkStart w:id="106" w:name="_Toc480547277"/>
      <w:r w:rsidRPr="000578FE">
        <w:rPr>
          <w:rFonts w:ascii="Times New Roman" w:hAnsi="Times New Roman" w:cs="Times New Roman"/>
          <w:color w:val="auto"/>
        </w:rPr>
        <w:t>Ďalšie opatrenia zamerané na efektívnosť konečného využitia energie v priemysle a doprave</w:t>
      </w:r>
      <w:bookmarkEnd w:id="106"/>
    </w:p>
    <w:p w14:paraId="041A174D" w14:textId="024A3841" w:rsidR="00E43041" w:rsidRPr="000578FE" w:rsidRDefault="00BF460E" w:rsidP="007157D7">
      <w:pPr>
        <w:pStyle w:val="Nadpis3"/>
        <w:numPr>
          <w:ilvl w:val="2"/>
          <w:numId w:val="16"/>
        </w:numPr>
        <w:ind w:left="1418" w:hanging="709"/>
        <w:rPr>
          <w:rFonts w:ascii="Times New Roman" w:eastAsia="Times New Roman" w:hAnsi="Times New Roman" w:cs="Times New Roman"/>
          <w:color w:val="auto"/>
          <w:lang w:eastAsia="sk-SK"/>
        </w:rPr>
      </w:pPr>
      <w:bookmarkStart w:id="107" w:name="_Toc480547278"/>
      <w:r w:rsidRPr="000578FE">
        <w:rPr>
          <w:rFonts w:ascii="Times New Roman" w:eastAsia="Times New Roman" w:hAnsi="Times New Roman" w:cs="Times New Roman"/>
          <w:color w:val="auto"/>
          <w:lang w:eastAsia="sk-SK"/>
        </w:rPr>
        <w:t>P</w:t>
      </w:r>
      <w:r w:rsidR="00E43041" w:rsidRPr="000578FE">
        <w:rPr>
          <w:rFonts w:ascii="Times New Roman" w:eastAsia="Times New Roman" w:hAnsi="Times New Roman" w:cs="Times New Roman"/>
          <w:color w:val="auto"/>
          <w:lang w:eastAsia="sk-SK"/>
        </w:rPr>
        <w:t xml:space="preserve">odrobnosti o významných opatreniach na zvýšenie </w:t>
      </w:r>
      <w:r w:rsidR="009927E4">
        <w:rPr>
          <w:rFonts w:ascii="Times New Roman" w:eastAsia="Times New Roman" w:hAnsi="Times New Roman" w:cs="Times New Roman"/>
          <w:color w:val="auto"/>
          <w:lang w:eastAsia="sk-SK"/>
        </w:rPr>
        <w:t>energetickej efektívnosti</w:t>
      </w:r>
      <w:r w:rsidR="009927E4" w:rsidRPr="000578FE">
        <w:rPr>
          <w:rFonts w:ascii="Times New Roman" w:eastAsia="Times New Roman" w:hAnsi="Times New Roman" w:cs="Times New Roman"/>
          <w:color w:val="auto"/>
          <w:lang w:eastAsia="sk-SK"/>
        </w:rPr>
        <w:t xml:space="preserve"> </w:t>
      </w:r>
      <w:r w:rsidR="00E43041" w:rsidRPr="000578FE">
        <w:rPr>
          <w:rFonts w:ascii="Times New Roman" w:eastAsia="Times New Roman" w:hAnsi="Times New Roman" w:cs="Times New Roman"/>
          <w:color w:val="auto"/>
          <w:lang w:eastAsia="sk-SK"/>
        </w:rPr>
        <w:t>v priemysle</w:t>
      </w:r>
      <w:bookmarkEnd w:id="107"/>
    </w:p>
    <w:p w14:paraId="77FCA76E" w14:textId="77777777" w:rsidR="00E43041" w:rsidRPr="009F2998" w:rsidRDefault="00E43041" w:rsidP="00E43041">
      <w:pPr>
        <w:rPr>
          <w:rFonts w:ascii="Times New Roman" w:hAnsi="Times New Roman" w:cs="Times New Roman"/>
          <w:lang w:eastAsia="sk-SK"/>
        </w:rPr>
      </w:pPr>
    </w:p>
    <w:p w14:paraId="32B02B96" w14:textId="77777777" w:rsidR="00E43041" w:rsidRPr="00F77093" w:rsidRDefault="00E43041" w:rsidP="008C48EE">
      <w:pPr>
        <w:jc w:val="both"/>
        <w:rPr>
          <w:rFonts w:ascii="Times New Roman" w:hAnsi="Times New Roman" w:cs="Times New Roman"/>
          <w:sz w:val="24"/>
          <w:szCs w:val="24"/>
          <w:lang w:eastAsia="sk-SK"/>
        </w:rPr>
      </w:pPr>
      <w:r w:rsidRPr="00F77093">
        <w:rPr>
          <w:rFonts w:ascii="Times New Roman" w:hAnsi="Times New Roman" w:cs="Times New Roman"/>
          <w:sz w:val="24"/>
          <w:szCs w:val="24"/>
          <w:lang w:eastAsia="sk-SK"/>
        </w:rPr>
        <w:t>Pre oblasť energetického priemyslu a dodávku pitnej vody zaviedla SR povinnosť pravidelne sledovať a vyhodnocovať energetickú náročnosť prepravy, prenosu a distribúcie elektriny, zemného plynu, pohonných látok tepla ako aj energetickú náročnosť prevádzky verejných vodovodov a kanalizácií.</w:t>
      </w:r>
    </w:p>
    <w:p w14:paraId="2B84E04D" w14:textId="77777777" w:rsidR="00E43041" w:rsidRPr="00F77093" w:rsidRDefault="00E43041" w:rsidP="008C48EE">
      <w:pPr>
        <w:jc w:val="both"/>
        <w:rPr>
          <w:rFonts w:ascii="Times New Roman" w:hAnsi="Times New Roman" w:cs="Times New Roman"/>
          <w:sz w:val="24"/>
          <w:szCs w:val="24"/>
          <w:lang w:eastAsia="sk-SK"/>
        </w:rPr>
      </w:pPr>
      <w:r w:rsidRPr="00F77093">
        <w:rPr>
          <w:rFonts w:ascii="Times New Roman" w:hAnsi="Times New Roman" w:cs="Times New Roman"/>
          <w:sz w:val="24"/>
          <w:szCs w:val="24"/>
          <w:lang w:eastAsia="sk-SK"/>
        </w:rPr>
        <w:t>Pri výstavbe zariadenia na výrobu elektriny resp. zariadenia na výrobu tepla je pri podmienkach ustanovených zákonom o energetickej efektívnosti povinnosť zabezpečiť vypracovanie energetického auditu, v ktorom sa posúdi alternatívna možnosť vybudovania zariadenia na kombinovanú výrobu elektriny a tepla.</w:t>
      </w:r>
    </w:p>
    <w:p w14:paraId="16FFF617" w14:textId="77777777" w:rsidR="009959E6" w:rsidRPr="009F2998" w:rsidRDefault="009959E6" w:rsidP="00E43041">
      <w:pPr>
        <w:rPr>
          <w:rFonts w:ascii="Times New Roman" w:hAnsi="Times New Roman" w:cs="Times New Roman"/>
          <w:lang w:eastAsia="sk-SK"/>
        </w:rPr>
      </w:pPr>
    </w:p>
    <w:p w14:paraId="239DB667" w14:textId="51D9B00E" w:rsidR="00E43041" w:rsidRPr="000578FE" w:rsidRDefault="004C542E" w:rsidP="007157D7">
      <w:pPr>
        <w:pStyle w:val="Nadpis3"/>
        <w:numPr>
          <w:ilvl w:val="2"/>
          <w:numId w:val="16"/>
        </w:numPr>
        <w:ind w:left="1418" w:hanging="709"/>
        <w:rPr>
          <w:rFonts w:ascii="Times New Roman" w:eastAsia="Times New Roman" w:hAnsi="Times New Roman" w:cs="Times New Roman"/>
          <w:color w:val="auto"/>
          <w:lang w:eastAsia="sk-SK"/>
        </w:rPr>
      </w:pPr>
      <w:bookmarkStart w:id="108" w:name="_Toc480547279"/>
      <w:r w:rsidRPr="000578FE">
        <w:rPr>
          <w:rFonts w:ascii="Times New Roman" w:eastAsia="Times New Roman" w:hAnsi="Times New Roman" w:cs="Times New Roman"/>
          <w:color w:val="auto"/>
          <w:lang w:eastAsia="sk-SK"/>
        </w:rPr>
        <w:t>P</w:t>
      </w:r>
      <w:r w:rsidR="00E43041" w:rsidRPr="000578FE">
        <w:rPr>
          <w:rFonts w:ascii="Times New Roman" w:eastAsia="Times New Roman" w:hAnsi="Times New Roman" w:cs="Times New Roman"/>
          <w:color w:val="auto"/>
          <w:lang w:eastAsia="sk-SK"/>
        </w:rPr>
        <w:t xml:space="preserve">odrobnosti o významných opatreniach na zvýšenie </w:t>
      </w:r>
      <w:r w:rsidRPr="000578FE">
        <w:rPr>
          <w:rFonts w:ascii="Times New Roman" w:eastAsia="Times New Roman" w:hAnsi="Times New Roman" w:cs="Times New Roman"/>
          <w:color w:val="auto"/>
          <w:lang w:eastAsia="sk-SK"/>
        </w:rPr>
        <w:t xml:space="preserve">energetickej efektívnosti </w:t>
      </w:r>
      <w:r w:rsidR="00E43041" w:rsidRPr="000578FE">
        <w:rPr>
          <w:rFonts w:ascii="Times New Roman" w:eastAsia="Times New Roman" w:hAnsi="Times New Roman" w:cs="Times New Roman"/>
          <w:color w:val="auto"/>
          <w:lang w:eastAsia="sk-SK"/>
        </w:rPr>
        <w:t>v osobnej a nákladnej doprave</w:t>
      </w:r>
      <w:bookmarkEnd w:id="108"/>
    </w:p>
    <w:p w14:paraId="289E2E8A" w14:textId="77777777" w:rsidR="003F4AC4" w:rsidRPr="007345A8" w:rsidRDefault="003F4AC4" w:rsidP="003F4AC4">
      <w:pPr>
        <w:rPr>
          <w:rFonts w:ascii="Times New Roman" w:hAnsi="Times New Roman" w:cs="Times New Roman"/>
          <w:lang w:eastAsia="sk-SK"/>
        </w:rPr>
      </w:pPr>
    </w:p>
    <w:p w14:paraId="47CC90F0" w14:textId="77777777" w:rsidR="003F4AC4" w:rsidRPr="00F77093" w:rsidRDefault="003F4AC4" w:rsidP="00F77093">
      <w:pPr>
        <w:jc w:val="both"/>
        <w:rPr>
          <w:rFonts w:ascii="Times New Roman" w:hAnsi="Times New Roman" w:cs="Times New Roman"/>
          <w:sz w:val="24"/>
          <w:lang w:eastAsia="sk-SK"/>
        </w:rPr>
      </w:pPr>
      <w:r w:rsidRPr="00F77093">
        <w:rPr>
          <w:rFonts w:ascii="Times New Roman" w:hAnsi="Times New Roman" w:cs="Times New Roman"/>
          <w:sz w:val="24"/>
          <w:lang w:eastAsia="sk-SK"/>
        </w:rPr>
        <w:t>Najväčší vplyv na dosahované úspory má budovanie cestnej infraštruktúry. SR pripravuje nové projekty cestných prepojení a budovanie rýchlostných komunikácií.</w:t>
      </w:r>
    </w:p>
    <w:p w14:paraId="0DE11A10" w14:textId="528B3724" w:rsidR="003F4AC4" w:rsidRPr="00F77093" w:rsidRDefault="003F4AC4" w:rsidP="00F77093">
      <w:pPr>
        <w:jc w:val="both"/>
        <w:rPr>
          <w:rFonts w:ascii="Times New Roman" w:hAnsi="Times New Roman" w:cs="Times New Roman"/>
          <w:sz w:val="24"/>
          <w:lang w:eastAsia="sk-SK"/>
        </w:rPr>
      </w:pPr>
      <w:r w:rsidRPr="00F77093">
        <w:rPr>
          <w:rFonts w:ascii="Times New Roman" w:hAnsi="Times New Roman" w:cs="Times New Roman"/>
          <w:sz w:val="24"/>
          <w:lang w:eastAsia="sk-SK"/>
        </w:rPr>
        <w:t xml:space="preserve">SR pripravila dotačný program pre elektromobilu v osobnej doprave, kde prijímateľom môže byť fyzická osoba. Dotácia do výšky 5 000 </w:t>
      </w:r>
      <w:r w:rsidR="000C2919">
        <w:rPr>
          <w:rFonts w:ascii="Times New Roman" w:hAnsi="Times New Roman" w:cs="Times New Roman"/>
          <w:sz w:val="24"/>
          <w:lang w:eastAsia="sk-SK"/>
        </w:rPr>
        <w:t>Eur</w:t>
      </w:r>
      <w:r w:rsidRPr="00F77093">
        <w:rPr>
          <w:rFonts w:ascii="Times New Roman" w:hAnsi="Times New Roman" w:cs="Times New Roman"/>
          <w:sz w:val="24"/>
          <w:lang w:eastAsia="sk-SK"/>
        </w:rPr>
        <w:t xml:space="preserve"> na jedno vozidlo má za cieľ stimulovať trh s elektromobilmi. Dotačný program bol spustený na jeseň 2016.</w:t>
      </w:r>
    </w:p>
    <w:p w14:paraId="7DD9608F" w14:textId="77777777" w:rsidR="003F4AC4" w:rsidRPr="009F2998" w:rsidRDefault="003F4AC4" w:rsidP="00E43041">
      <w:pPr>
        <w:rPr>
          <w:rFonts w:ascii="Times New Roman" w:hAnsi="Times New Roman" w:cs="Times New Roman"/>
          <w:lang w:eastAsia="sk-SK"/>
        </w:rPr>
      </w:pPr>
    </w:p>
    <w:p w14:paraId="5337D0C2" w14:textId="3C3EE2CD" w:rsidR="00E43041" w:rsidRPr="000578FE" w:rsidRDefault="00BF460E" w:rsidP="007157D7">
      <w:pPr>
        <w:pStyle w:val="Nadpis3"/>
        <w:numPr>
          <w:ilvl w:val="2"/>
          <w:numId w:val="16"/>
        </w:numPr>
        <w:ind w:left="1418" w:hanging="709"/>
        <w:rPr>
          <w:rFonts w:ascii="Times New Roman" w:eastAsia="Times New Roman" w:hAnsi="Times New Roman" w:cs="Times New Roman"/>
          <w:color w:val="auto"/>
          <w:lang w:eastAsia="sk-SK"/>
        </w:rPr>
      </w:pPr>
      <w:bookmarkStart w:id="109" w:name="_Toc480547280"/>
      <w:r w:rsidRPr="000578FE">
        <w:rPr>
          <w:rFonts w:ascii="Times New Roman" w:eastAsia="Times New Roman" w:hAnsi="Times New Roman" w:cs="Times New Roman"/>
          <w:color w:val="auto"/>
          <w:lang w:eastAsia="sk-SK"/>
        </w:rPr>
        <w:t>P</w:t>
      </w:r>
      <w:r w:rsidR="00E43041" w:rsidRPr="000578FE">
        <w:rPr>
          <w:rFonts w:ascii="Times New Roman" w:eastAsia="Times New Roman" w:hAnsi="Times New Roman" w:cs="Times New Roman"/>
          <w:color w:val="auto"/>
          <w:lang w:eastAsia="sk-SK"/>
        </w:rPr>
        <w:t xml:space="preserve">odrobnosti o významných opatreniach zameraných na </w:t>
      </w:r>
      <w:r w:rsidR="009927E4">
        <w:rPr>
          <w:rFonts w:ascii="Times New Roman" w:eastAsia="Times New Roman" w:hAnsi="Times New Roman" w:cs="Times New Roman"/>
          <w:color w:val="auto"/>
          <w:lang w:eastAsia="sk-SK"/>
        </w:rPr>
        <w:t>energetickej efektívnosti</w:t>
      </w:r>
      <w:r w:rsidR="009927E4" w:rsidRPr="000578FE" w:rsidDel="009927E4">
        <w:rPr>
          <w:rFonts w:ascii="Times New Roman" w:eastAsia="Times New Roman" w:hAnsi="Times New Roman" w:cs="Times New Roman"/>
          <w:color w:val="auto"/>
          <w:lang w:eastAsia="sk-SK"/>
        </w:rPr>
        <w:t xml:space="preserve"> </w:t>
      </w:r>
      <w:r w:rsidR="00E43041" w:rsidRPr="000578FE">
        <w:rPr>
          <w:rFonts w:ascii="Times New Roman" w:eastAsia="Times New Roman" w:hAnsi="Times New Roman" w:cs="Times New Roman"/>
          <w:color w:val="auto"/>
          <w:lang w:eastAsia="sk-SK"/>
        </w:rPr>
        <w:t>konečného využitia energie v priemysle</w:t>
      </w:r>
      <w:bookmarkEnd w:id="109"/>
    </w:p>
    <w:p w14:paraId="1F507A5F" w14:textId="77777777" w:rsidR="00E43041" w:rsidRPr="007345A8" w:rsidRDefault="00E43041" w:rsidP="00E43041">
      <w:pPr>
        <w:rPr>
          <w:rFonts w:ascii="Times New Roman" w:hAnsi="Times New Roman" w:cs="Times New Roman"/>
          <w:lang w:eastAsia="sk-SK"/>
        </w:rPr>
      </w:pPr>
    </w:p>
    <w:p w14:paraId="1C5F7478" w14:textId="1ECEA827" w:rsidR="00F77093" w:rsidRDefault="00B55FEA">
      <w:pPr>
        <w:rPr>
          <w:rFonts w:ascii="Times New Roman" w:hAnsi="Times New Roman" w:cs="Times New Roman"/>
        </w:rPr>
      </w:pPr>
      <w:r w:rsidRPr="00F77093">
        <w:rPr>
          <w:rFonts w:ascii="Times New Roman" w:hAnsi="Times New Roman" w:cs="Times New Roman"/>
          <w:sz w:val="24"/>
          <w:lang w:eastAsia="sk-SK"/>
        </w:rPr>
        <w:t xml:space="preserve">MH SR v roku 2016 vypracovalo schému na podporu vypracovania energetických auditov pre MSP v Bratislavskom samosprávnom kraji s celkovou alokáciou 300 000 </w:t>
      </w:r>
      <w:r w:rsidR="000C2919">
        <w:rPr>
          <w:rFonts w:ascii="Times New Roman" w:hAnsi="Times New Roman" w:cs="Times New Roman"/>
          <w:sz w:val="24"/>
          <w:lang w:eastAsia="sk-SK"/>
        </w:rPr>
        <w:t>Eur</w:t>
      </w:r>
      <w:r w:rsidRPr="00F77093">
        <w:rPr>
          <w:rFonts w:ascii="Times New Roman" w:hAnsi="Times New Roman" w:cs="Times New Roman"/>
          <w:sz w:val="24"/>
          <w:lang w:eastAsia="sk-SK"/>
        </w:rPr>
        <w:t xml:space="preserve">. </w:t>
      </w:r>
      <w:r w:rsidR="00474145" w:rsidRPr="00F77093">
        <w:rPr>
          <w:rFonts w:ascii="Times New Roman" w:hAnsi="Times New Roman" w:cs="Times New Roman"/>
          <w:sz w:val="24"/>
          <w:lang w:eastAsia="sk-SK"/>
        </w:rPr>
        <w:t xml:space="preserve">Pre menej </w:t>
      </w:r>
      <w:r w:rsidR="00474145" w:rsidRPr="00F77093">
        <w:rPr>
          <w:rFonts w:ascii="Times New Roman" w:hAnsi="Times New Roman" w:cs="Times New Roman"/>
          <w:sz w:val="24"/>
          <w:lang w:eastAsia="sk-SK"/>
        </w:rPr>
        <w:lastRenderedPageBreak/>
        <w:t xml:space="preserve">rozvinuté regióny bude podobný mechanizmus zabezpečený prostredníctvom financovania z OP KŽP s využitím prostriedkov EŠIF vo výške 12 mil. </w:t>
      </w:r>
      <w:r w:rsidR="000C2919">
        <w:rPr>
          <w:rFonts w:ascii="Times New Roman" w:hAnsi="Times New Roman" w:cs="Times New Roman"/>
          <w:sz w:val="24"/>
          <w:lang w:eastAsia="sk-SK"/>
        </w:rPr>
        <w:t>Eur</w:t>
      </w:r>
      <w:r w:rsidR="00474145" w:rsidRPr="00F77093">
        <w:rPr>
          <w:rFonts w:ascii="Times New Roman" w:hAnsi="Times New Roman" w:cs="Times New Roman"/>
          <w:sz w:val="24"/>
          <w:lang w:eastAsia="sk-SK"/>
        </w:rPr>
        <w:t xml:space="preserve">. </w:t>
      </w:r>
    </w:p>
    <w:p w14:paraId="33DA0B2C" w14:textId="77777777" w:rsidR="00031AC9" w:rsidRDefault="00031AC9">
      <w:pPr>
        <w:rPr>
          <w:rFonts w:ascii="Times New Roman" w:eastAsiaTheme="majorEastAsia" w:hAnsi="Times New Roman" w:cs="Times New Roman"/>
          <w:b/>
          <w:bCs/>
          <w:color w:val="5B9BD5" w:themeColor="accent1"/>
          <w:sz w:val="26"/>
          <w:szCs w:val="26"/>
        </w:rPr>
      </w:pPr>
    </w:p>
    <w:p w14:paraId="564FCC46" w14:textId="76427789" w:rsidR="00EA16CC" w:rsidRDefault="00EA16CC">
      <w:pPr>
        <w:rPr>
          <w:rFonts w:ascii="Times New Roman" w:eastAsiaTheme="majorEastAsia" w:hAnsi="Times New Roman" w:cs="Times New Roman"/>
          <w:b/>
          <w:bCs/>
          <w:sz w:val="26"/>
          <w:szCs w:val="26"/>
        </w:rPr>
      </w:pPr>
    </w:p>
    <w:p w14:paraId="40E1CBFC" w14:textId="3062B894" w:rsidR="00E43041" w:rsidRPr="000578FE" w:rsidRDefault="00E43041" w:rsidP="007157D7">
      <w:pPr>
        <w:pStyle w:val="Nadpis2"/>
        <w:keepNext w:val="0"/>
        <w:keepLines w:val="0"/>
        <w:numPr>
          <w:ilvl w:val="1"/>
          <w:numId w:val="16"/>
        </w:numPr>
        <w:ind w:left="993" w:hanging="567"/>
        <w:rPr>
          <w:rFonts w:ascii="Times New Roman" w:hAnsi="Times New Roman" w:cs="Times New Roman"/>
          <w:color w:val="auto"/>
        </w:rPr>
      </w:pPr>
      <w:bookmarkStart w:id="110" w:name="_Toc480547281"/>
      <w:r w:rsidRPr="000578FE">
        <w:rPr>
          <w:rFonts w:ascii="Times New Roman" w:hAnsi="Times New Roman" w:cs="Times New Roman"/>
          <w:color w:val="auto"/>
        </w:rPr>
        <w:t>Podpora efektívneho vykurovania a chladenia</w:t>
      </w:r>
      <w:bookmarkEnd w:id="110"/>
    </w:p>
    <w:p w14:paraId="315B642E" w14:textId="5016ED3C" w:rsidR="00E43041" w:rsidRPr="000578FE" w:rsidRDefault="00E43041" w:rsidP="007157D7">
      <w:pPr>
        <w:pStyle w:val="Nadpis3"/>
        <w:keepNext w:val="0"/>
        <w:keepLines w:val="0"/>
        <w:numPr>
          <w:ilvl w:val="2"/>
          <w:numId w:val="16"/>
        </w:numPr>
        <w:ind w:left="1134" w:hanging="567"/>
        <w:rPr>
          <w:rFonts w:ascii="Times New Roman" w:hAnsi="Times New Roman" w:cs="Times New Roman"/>
          <w:color w:val="auto"/>
        </w:rPr>
      </w:pPr>
      <w:bookmarkStart w:id="111" w:name="_Toc480547282"/>
      <w:r w:rsidRPr="000578FE">
        <w:rPr>
          <w:rFonts w:ascii="Times New Roman" w:hAnsi="Times New Roman" w:cs="Times New Roman"/>
          <w:color w:val="auto"/>
        </w:rPr>
        <w:t>Komplexné posúdenie (článok 14 SEE)</w:t>
      </w:r>
      <w:bookmarkEnd w:id="111"/>
    </w:p>
    <w:p w14:paraId="1A1F0630" w14:textId="77777777" w:rsidR="00E43041" w:rsidRPr="007345A8" w:rsidRDefault="00E43041" w:rsidP="00E43041">
      <w:pPr>
        <w:rPr>
          <w:rFonts w:ascii="Times New Roman" w:hAnsi="Times New Roman" w:cs="Times New Roman"/>
        </w:rPr>
      </w:pPr>
    </w:p>
    <w:p w14:paraId="333D323C" w14:textId="446C8414" w:rsidR="00E43041" w:rsidRPr="00F77093" w:rsidRDefault="00E43041" w:rsidP="00E43041">
      <w:pPr>
        <w:jc w:val="both"/>
        <w:rPr>
          <w:rFonts w:ascii="Times New Roman" w:hAnsi="Times New Roman" w:cs="Times New Roman"/>
          <w:sz w:val="24"/>
          <w:lang w:eastAsia="sk-SK"/>
        </w:rPr>
      </w:pPr>
      <w:r w:rsidRPr="00F77093">
        <w:rPr>
          <w:rFonts w:ascii="Times New Roman" w:hAnsi="Times New Roman" w:cs="Times New Roman"/>
          <w:sz w:val="24"/>
          <w:lang w:eastAsia="sk-SK"/>
        </w:rPr>
        <w:t xml:space="preserve">Komplexné posúdenie podľa čl. 14 odsek 1 sa prvýkrát vykonalo v roku 2015. Podľa výsledkov tohto posúdenia  bolo v roku 2014 vyrobené  v SR  4 473 GWh elektriny vysoko účinnou kombinovanou  výrobou, čo je asi 14,7 % z celkovej výroby elektriny na Slovensku. Dodávka  tepla  vyrobeného vysoko účinnou  kombinovanou výrobou vo výške 11 446 GWh predstavuje 32,8 % z celkovej výroby využiteľného tepla. </w:t>
      </w:r>
    </w:p>
    <w:p w14:paraId="4DBCF69F" w14:textId="59478A47" w:rsidR="00E43041" w:rsidRPr="00F77093" w:rsidRDefault="00E43041" w:rsidP="00F77093">
      <w:pPr>
        <w:jc w:val="both"/>
        <w:rPr>
          <w:rFonts w:ascii="Times New Roman" w:hAnsi="Times New Roman" w:cs="Times New Roman"/>
          <w:sz w:val="24"/>
          <w:lang w:eastAsia="sk-SK"/>
        </w:rPr>
      </w:pPr>
      <w:r w:rsidRPr="00F77093">
        <w:rPr>
          <w:rFonts w:ascii="Times New Roman" w:hAnsi="Times New Roman" w:cs="Times New Roman"/>
          <w:sz w:val="24"/>
          <w:lang w:eastAsia="sk-SK"/>
        </w:rPr>
        <w:t xml:space="preserve"> Z hľadiska technológií kombinovanej výroby v súčasnosti prevažuje výroba elektriny v parných odberovo kondenzačných alebo protitlakových turbínach. Za posledných päť rokov sa výrazne zvýšil podiel inštalovaného výkon</w:t>
      </w:r>
      <w:r w:rsidR="00B854CC" w:rsidRPr="00F77093">
        <w:rPr>
          <w:rFonts w:ascii="Times New Roman" w:hAnsi="Times New Roman" w:cs="Times New Roman"/>
          <w:sz w:val="24"/>
          <w:lang w:eastAsia="sk-SK"/>
        </w:rPr>
        <w:t>u</w:t>
      </w:r>
      <w:r w:rsidRPr="00F77093">
        <w:rPr>
          <w:rFonts w:ascii="Times New Roman" w:hAnsi="Times New Roman" w:cs="Times New Roman"/>
          <w:sz w:val="24"/>
          <w:lang w:eastAsia="sk-SK"/>
        </w:rPr>
        <w:t xml:space="preserve"> kombinovanej výroby elektriny a tepla s technológiou kombinovanej výroby so spaľovacími motormi. Podiel ich  inštalovaného výkonu na celkovom inštalovanom výkone predstavuje v súčasnosti  26,8 %.</w:t>
      </w:r>
    </w:p>
    <w:p w14:paraId="654E0EE5" w14:textId="2890AF12" w:rsidR="00E43041" w:rsidRPr="00F77093" w:rsidRDefault="00E43041" w:rsidP="00F77093">
      <w:pPr>
        <w:jc w:val="both"/>
        <w:rPr>
          <w:rFonts w:ascii="Times New Roman" w:hAnsi="Times New Roman" w:cs="Times New Roman"/>
          <w:sz w:val="24"/>
          <w:lang w:eastAsia="sk-SK"/>
        </w:rPr>
      </w:pPr>
      <w:r w:rsidRPr="00F77093">
        <w:rPr>
          <w:rFonts w:ascii="Times New Roman" w:hAnsi="Times New Roman" w:cs="Times New Roman"/>
          <w:sz w:val="24"/>
          <w:lang w:eastAsia="sk-SK"/>
        </w:rPr>
        <w:t>Z hľadiska zastúpenia palív pri kombinovanej  výrobe majú dominantný podiel fosílne palivá a to zemný plyn 21%, čierne uhlie 18% a hnedé uhlie 10%. Za posledných päť rokov sa výrazne zvýšil podiel OZE . Biomasa 12%, bioplyn 9%. Okrem výstavby teplárni spaľujúcich drevnú biomasu, sa na celkovom podiele spaľovania biomasy podieľa  aj jej spoluspaľovanie s fosílnymi palivami v existujúcich  alebo rekonštruovaných zdrojoch tepla vo verejných a závodných teplárňach.</w:t>
      </w:r>
    </w:p>
    <w:p w14:paraId="22CF8E9B" w14:textId="42990CBE" w:rsidR="00E43041" w:rsidRPr="000578FE" w:rsidRDefault="00BF460E" w:rsidP="007157D7">
      <w:pPr>
        <w:pStyle w:val="Nadpis4"/>
        <w:numPr>
          <w:ilvl w:val="3"/>
          <w:numId w:val="16"/>
        </w:numPr>
        <w:rPr>
          <w:rFonts w:ascii="Times New Roman" w:eastAsia="Times New Roman" w:hAnsi="Times New Roman" w:cs="Times New Roman"/>
          <w:i w:val="0"/>
          <w:color w:val="auto"/>
          <w:lang w:eastAsia="sk-SK"/>
        </w:rPr>
      </w:pPr>
      <w:bookmarkStart w:id="112" w:name="_Toc480547283"/>
      <w:r w:rsidRPr="000578FE">
        <w:rPr>
          <w:rFonts w:ascii="Times New Roman" w:eastAsia="Times New Roman" w:hAnsi="Times New Roman" w:cs="Times New Roman"/>
          <w:i w:val="0"/>
          <w:color w:val="auto"/>
          <w:lang w:eastAsia="sk-SK"/>
        </w:rPr>
        <w:t>P</w:t>
      </w:r>
      <w:r w:rsidR="00E43041" w:rsidRPr="000578FE">
        <w:rPr>
          <w:rFonts w:ascii="Times New Roman" w:eastAsia="Times New Roman" w:hAnsi="Times New Roman" w:cs="Times New Roman"/>
          <w:i w:val="0"/>
          <w:color w:val="auto"/>
          <w:lang w:eastAsia="sk-SK"/>
        </w:rPr>
        <w:t>osúdenie pokroku dosiahnutého vo vykonávaní komplexného posúdenia potenciálu vysokoúčinnej KVET a efektívneho CZTaCH</w:t>
      </w:r>
      <w:bookmarkEnd w:id="112"/>
    </w:p>
    <w:p w14:paraId="2D22FAE7" w14:textId="77777777" w:rsidR="00031AC9" w:rsidRPr="000578FE" w:rsidRDefault="00031AC9" w:rsidP="000578FE">
      <w:pPr>
        <w:rPr>
          <w:lang w:eastAsia="sk-SK"/>
        </w:rPr>
      </w:pPr>
    </w:p>
    <w:p w14:paraId="24F3213D" w14:textId="6CAC8646" w:rsidR="001B2DCB" w:rsidRDefault="00E43041" w:rsidP="00F77093">
      <w:pPr>
        <w:jc w:val="both"/>
        <w:rPr>
          <w:rFonts w:ascii="Times New Roman" w:hAnsi="Times New Roman" w:cs="Times New Roman"/>
          <w:sz w:val="24"/>
          <w:lang w:eastAsia="sk-SK"/>
        </w:rPr>
      </w:pPr>
      <w:r w:rsidRPr="00F77093">
        <w:rPr>
          <w:rFonts w:ascii="Times New Roman" w:hAnsi="Times New Roman" w:cs="Times New Roman"/>
          <w:sz w:val="24"/>
          <w:lang w:eastAsia="sk-SK"/>
        </w:rPr>
        <w:t>Na základe posúdenia potenciálu vysoko účinnej KVET sa plánuje zvýšiť elektrický inštalovaný výkon zariadení o zhruba 106 MW v porovnaní s rokom 2014 a to najmä inš</w:t>
      </w:r>
      <w:r w:rsidR="001B2DCB" w:rsidRPr="00F77093">
        <w:rPr>
          <w:rFonts w:ascii="Times New Roman" w:hAnsi="Times New Roman" w:cs="Times New Roman"/>
          <w:sz w:val="24"/>
          <w:lang w:eastAsia="sk-SK"/>
        </w:rPr>
        <w:t>taláciou spaľovacích motorov.</w:t>
      </w:r>
    </w:p>
    <w:p w14:paraId="32003D3F" w14:textId="45EBEA87" w:rsidR="00031AC9" w:rsidRPr="00F77093" w:rsidRDefault="00031AC9" w:rsidP="00F77093">
      <w:pPr>
        <w:jc w:val="both"/>
        <w:rPr>
          <w:rFonts w:ascii="Times New Roman" w:hAnsi="Times New Roman" w:cs="Times New Roman"/>
          <w:sz w:val="24"/>
          <w:lang w:eastAsia="sk-SK"/>
        </w:rPr>
      </w:pPr>
      <w:r>
        <w:rPr>
          <w:rFonts w:ascii="Times New Roman" w:hAnsi="Times New Roman" w:cs="Times New Roman"/>
          <w:sz w:val="24"/>
          <w:lang w:eastAsia="sk-SK"/>
        </w:rPr>
        <w:t>T</w:t>
      </w:r>
      <w:r w:rsidRPr="0016691E">
        <w:rPr>
          <w:rFonts w:ascii="Times New Roman" w:hAnsi="Times New Roman" w:cs="Times New Roman"/>
          <w:sz w:val="24"/>
          <w:szCs w:val="24"/>
          <w:lang w:eastAsia="sk-SK"/>
        </w:rPr>
        <w:t xml:space="preserve">abuľka č. 18: </w:t>
      </w:r>
      <w:r w:rsidRPr="000578FE">
        <w:rPr>
          <w:rFonts w:ascii="Times New Roman" w:hAnsi="Times New Roman" w:cs="Times New Roman"/>
          <w:sz w:val="24"/>
          <w:szCs w:val="24"/>
        </w:rPr>
        <w:t>Predpokladaný ekonomický potenciál výroby elektriny kombinovanou výrobou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82"/>
        <w:gridCol w:w="954"/>
        <w:gridCol w:w="834"/>
        <w:gridCol w:w="964"/>
        <w:gridCol w:w="834"/>
        <w:gridCol w:w="964"/>
        <w:gridCol w:w="834"/>
        <w:gridCol w:w="964"/>
        <w:gridCol w:w="832"/>
      </w:tblGrid>
      <w:tr w:rsidR="00E43041" w:rsidRPr="009F2998" w14:paraId="4A05FE6E" w14:textId="77777777" w:rsidTr="000578FE">
        <w:trPr>
          <w:trHeight w:val="255"/>
        </w:trPr>
        <w:tc>
          <w:tcPr>
            <w:tcW w:w="1030" w:type="pct"/>
            <w:vMerge w:val="restart"/>
            <w:shd w:val="clear" w:color="auto" w:fill="auto"/>
            <w:noWrap/>
            <w:vAlign w:val="center"/>
          </w:tcPr>
          <w:p w14:paraId="7FFC3431"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Rok</w:t>
            </w:r>
          </w:p>
        </w:tc>
        <w:tc>
          <w:tcPr>
            <w:tcW w:w="1982" w:type="pct"/>
            <w:gridSpan w:val="4"/>
            <w:shd w:val="clear" w:color="auto" w:fill="auto"/>
            <w:noWrap/>
            <w:vAlign w:val="center"/>
          </w:tcPr>
          <w:p w14:paraId="096B2E5F"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Skutočnosť</w:t>
            </w:r>
          </w:p>
        </w:tc>
        <w:tc>
          <w:tcPr>
            <w:tcW w:w="1987" w:type="pct"/>
            <w:gridSpan w:val="4"/>
            <w:shd w:val="clear" w:color="auto" w:fill="auto"/>
            <w:noWrap/>
            <w:vAlign w:val="center"/>
          </w:tcPr>
          <w:p w14:paraId="6FDE9BA5"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Predpoklad</w:t>
            </w:r>
          </w:p>
        </w:tc>
      </w:tr>
      <w:tr w:rsidR="00E43041" w:rsidRPr="009F2998" w14:paraId="4979A6D9" w14:textId="77777777" w:rsidTr="000578FE">
        <w:trPr>
          <w:trHeight w:val="255"/>
        </w:trPr>
        <w:tc>
          <w:tcPr>
            <w:tcW w:w="1030" w:type="pct"/>
            <w:vMerge/>
            <w:shd w:val="clear" w:color="auto" w:fill="auto"/>
            <w:vAlign w:val="center"/>
          </w:tcPr>
          <w:p w14:paraId="62FE949B" w14:textId="77777777" w:rsidR="00E43041" w:rsidRPr="009F2998" w:rsidRDefault="00E43041" w:rsidP="002E3164">
            <w:pPr>
              <w:rPr>
                <w:rFonts w:ascii="Times New Roman" w:hAnsi="Times New Roman" w:cs="Times New Roman"/>
              </w:rPr>
            </w:pPr>
          </w:p>
        </w:tc>
        <w:tc>
          <w:tcPr>
            <w:tcW w:w="989" w:type="pct"/>
            <w:gridSpan w:val="2"/>
            <w:shd w:val="clear" w:color="auto" w:fill="auto"/>
            <w:noWrap/>
            <w:vAlign w:val="center"/>
          </w:tcPr>
          <w:p w14:paraId="5B97E58F"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2011</w:t>
            </w:r>
          </w:p>
        </w:tc>
        <w:tc>
          <w:tcPr>
            <w:tcW w:w="994" w:type="pct"/>
            <w:gridSpan w:val="2"/>
            <w:shd w:val="clear" w:color="auto" w:fill="auto"/>
            <w:noWrap/>
            <w:vAlign w:val="center"/>
          </w:tcPr>
          <w:p w14:paraId="6D4E8453"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2014</w:t>
            </w:r>
          </w:p>
        </w:tc>
        <w:tc>
          <w:tcPr>
            <w:tcW w:w="994" w:type="pct"/>
            <w:gridSpan w:val="2"/>
            <w:shd w:val="clear" w:color="auto" w:fill="auto"/>
            <w:noWrap/>
            <w:vAlign w:val="center"/>
          </w:tcPr>
          <w:p w14:paraId="78375B23"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2020</w:t>
            </w:r>
          </w:p>
        </w:tc>
        <w:tc>
          <w:tcPr>
            <w:tcW w:w="994" w:type="pct"/>
            <w:gridSpan w:val="2"/>
            <w:shd w:val="clear" w:color="auto" w:fill="auto"/>
            <w:noWrap/>
            <w:vAlign w:val="center"/>
          </w:tcPr>
          <w:p w14:paraId="7EB038A2"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2025</w:t>
            </w:r>
          </w:p>
        </w:tc>
      </w:tr>
      <w:tr w:rsidR="00E43041" w:rsidRPr="009F2998" w14:paraId="7B289E0F" w14:textId="77777777" w:rsidTr="000578FE">
        <w:trPr>
          <w:trHeight w:val="510"/>
        </w:trPr>
        <w:tc>
          <w:tcPr>
            <w:tcW w:w="1030" w:type="pct"/>
            <w:vMerge w:val="restart"/>
            <w:shd w:val="clear" w:color="auto" w:fill="auto"/>
            <w:noWrap/>
            <w:vAlign w:val="center"/>
          </w:tcPr>
          <w:p w14:paraId="5B02A062"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 xml:space="preserve">Technológia KVET </w:t>
            </w:r>
          </w:p>
        </w:tc>
        <w:tc>
          <w:tcPr>
            <w:tcW w:w="528" w:type="pct"/>
            <w:shd w:val="clear" w:color="auto" w:fill="auto"/>
            <w:vAlign w:val="center"/>
          </w:tcPr>
          <w:p w14:paraId="0ECFA95E" w14:textId="77777777" w:rsidR="00E43041" w:rsidRPr="000578FE" w:rsidRDefault="00E43041" w:rsidP="002E3164">
            <w:pPr>
              <w:jc w:val="center"/>
              <w:rPr>
                <w:rFonts w:ascii="Times New Roman" w:hAnsi="Times New Roman" w:cs="Times New Roman"/>
                <w:sz w:val="16"/>
                <w:szCs w:val="16"/>
              </w:rPr>
            </w:pPr>
            <w:r w:rsidRPr="000578FE">
              <w:rPr>
                <w:rFonts w:ascii="Times New Roman" w:hAnsi="Times New Roman" w:cs="Times New Roman"/>
                <w:sz w:val="16"/>
                <w:szCs w:val="16"/>
              </w:rPr>
              <w:t>Inštalovaný výkon</w:t>
            </w:r>
          </w:p>
        </w:tc>
        <w:tc>
          <w:tcPr>
            <w:tcW w:w="461" w:type="pct"/>
            <w:shd w:val="clear" w:color="auto" w:fill="auto"/>
            <w:vAlign w:val="center"/>
          </w:tcPr>
          <w:p w14:paraId="4FA145DA" w14:textId="77777777" w:rsidR="00E43041" w:rsidRPr="000578FE" w:rsidRDefault="00E43041" w:rsidP="002E3164">
            <w:pPr>
              <w:jc w:val="center"/>
              <w:rPr>
                <w:rFonts w:ascii="Times New Roman" w:hAnsi="Times New Roman" w:cs="Times New Roman"/>
                <w:sz w:val="16"/>
                <w:szCs w:val="16"/>
              </w:rPr>
            </w:pPr>
            <w:r w:rsidRPr="000578FE">
              <w:rPr>
                <w:rFonts w:ascii="Times New Roman" w:hAnsi="Times New Roman" w:cs="Times New Roman"/>
                <w:sz w:val="16"/>
                <w:szCs w:val="16"/>
              </w:rPr>
              <w:t>Vyrobená elektrina</w:t>
            </w:r>
          </w:p>
        </w:tc>
        <w:tc>
          <w:tcPr>
            <w:tcW w:w="533" w:type="pct"/>
            <w:shd w:val="clear" w:color="auto" w:fill="auto"/>
            <w:vAlign w:val="center"/>
          </w:tcPr>
          <w:p w14:paraId="790199B4" w14:textId="77777777" w:rsidR="00E43041" w:rsidRPr="000578FE" w:rsidRDefault="00E43041" w:rsidP="002E3164">
            <w:pPr>
              <w:jc w:val="center"/>
              <w:rPr>
                <w:rFonts w:ascii="Times New Roman" w:hAnsi="Times New Roman" w:cs="Times New Roman"/>
                <w:sz w:val="16"/>
                <w:szCs w:val="16"/>
              </w:rPr>
            </w:pPr>
            <w:r w:rsidRPr="000578FE">
              <w:rPr>
                <w:rFonts w:ascii="Times New Roman" w:hAnsi="Times New Roman" w:cs="Times New Roman"/>
                <w:sz w:val="16"/>
                <w:szCs w:val="16"/>
              </w:rPr>
              <w:t>Inštalovaný výkon</w:t>
            </w:r>
          </w:p>
        </w:tc>
        <w:tc>
          <w:tcPr>
            <w:tcW w:w="461" w:type="pct"/>
            <w:shd w:val="clear" w:color="auto" w:fill="auto"/>
            <w:vAlign w:val="center"/>
          </w:tcPr>
          <w:p w14:paraId="4D72829B" w14:textId="77777777" w:rsidR="00E43041" w:rsidRPr="000578FE" w:rsidRDefault="00E43041" w:rsidP="002E3164">
            <w:pPr>
              <w:jc w:val="center"/>
              <w:rPr>
                <w:rFonts w:ascii="Times New Roman" w:hAnsi="Times New Roman" w:cs="Times New Roman"/>
                <w:sz w:val="16"/>
                <w:szCs w:val="16"/>
              </w:rPr>
            </w:pPr>
            <w:r w:rsidRPr="000578FE">
              <w:rPr>
                <w:rFonts w:ascii="Times New Roman" w:hAnsi="Times New Roman" w:cs="Times New Roman"/>
                <w:sz w:val="16"/>
                <w:szCs w:val="16"/>
              </w:rPr>
              <w:t>Vyrobená elektrina</w:t>
            </w:r>
          </w:p>
        </w:tc>
        <w:tc>
          <w:tcPr>
            <w:tcW w:w="533" w:type="pct"/>
            <w:shd w:val="clear" w:color="auto" w:fill="auto"/>
            <w:vAlign w:val="center"/>
          </w:tcPr>
          <w:p w14:paraId="3D0943A8" w14:textId="77777777" w:rsidR="00E43041" w:rsidRPr="000578FE" w:rsidRDefault="00E43041" w:rsidP="002E3164">
            <w:pPr>
              <w:jc w:val="center"/>
              <w:rPr>
                <w:rFonts w:ascii="Times New Roman" w:hAnsi="Times New Roman" w:cs="Times New Roman"/>
                <w:sz w:val="16"/>
                <w:szCs w:val="16"/>
              </w:rPr>
            </w:pPr>
            <w:r w:rsidRPr="000578FE">
              <w:rPr>
                <w:rFonts w:ascii="Times New Roman" w:hAnsi="Times New Roman" w:cs="Times New Roman"/>
                <w:sz w:val="16"/>
                <w:szCs w:val="16"/>
              </w:rPr>
              <w:t>Inštalovaný výkon</w:t>
            </w:r>
          </w:p>
        </w:tc>
        <w:tc>
          <w:tcPr>
            <w:tcW w:w="461" w:type="pct"/>
            <w:shd w:val="clear" w:color="auto" w:fill="auto"/>
            <w:vAlign w:val="center"/>
          </w:tcPr>
          <w:p w14:paraId="27756B95" w14:textId="77777777" w:rsidR="00E43041" w:rsidRPr="000578FE" w:rsidRDefault="00E43041" w:rsidP="002E3164">
            <w:pPr>
              <w:jc w:val="center"/>
              <w:rPr>
                <w:rFonts w:ascii="Times New Roman" w:hAnsi="Times New Roman" w:cs="Times New Roman"/>
                <w:sz w:val="16"/>
                <w:szCs w:val="16"/>
              </w:rPr>
            </w:pPr>
            <w:r w:rsidRPr="000578FE">
              <w:rPr>
                <w:rFonts w:ascii="Times New Roman" w:hAnsi="Times New Roman" w:cs="Times New Roman"/>
                <w:sz w:val="16"/>
                <w:szCs w:val="16"/>
              </w:rPr>
              <w:t>Vyrobená elektrina</w:t>
            </w:r>
          </w:p>
        </w:tc>
        <w:tc>
          <w:tcPr>
            <w:tcW w:w="533" w:type="pct"/>
            <w:shd w:val="clear" w:color="auto" w:fill="auto"/>
            <w:vAlign w:val="center"/>
          </w:tcPr>
          <w:p w14:paraId="5EAD0E04" w14:textId="77777777" w:rsidR="00E43041" w:rsidRPr="000578FE" w:rsidRDefault="00E43041" w:rsidP="002E3164">
            <w:pPr>
              <w:jc w:val="center"/>
              <w:rPr>
                <w:rFonts w:ascii="Times New Roman" w:hAnsi="Times New Roman" w:cs="Times New Roman"/>
                <w:sz w:val="16"/>
                <w:szCs w:val="16"/>
              </w:rPr>
            </w:pPr>
            <w:r w:rsidRPr="000578FE">
              <w:rPr>
                <w:rFonts w:ascii="Times New Roman" w:hAnsi="Times New Roman" w:cs="Times New Roman"/>
                <w:sz w:val="16"/>
                <w:szCs w:val="16"/>
              </w:rPr>
              <w:t>Inštalovaný výkon</w:t>
            </w:r>
          </w:p>
        </w:tc>
        <w:tc>
          <w:tcPr>
            <w:tcW w:w="461" w:type="pct"/>
            <w:shd w:val="clear" w:color="auto" w:fill="auto"/>
            <w:vAlign w:val="center"/>
          </w:tcPr>
          <w:p w14:paraId="2FFF95F5" w14:textId="77777777" w:rsidR="00E43041" w:rsidRPr="000578FE" w:rsidRDefault="00E43041" w:rsidP="002E3164">
            <w:pPr>
              <w:jc w:val="center"/>
              <w:rPr>
                <w:rFonts w:ascii="Times New Roman" w:hAnsi="Times New Roman" w:cs="Times New Roman"/>
                <w:sz w:val="16"/>
                <w:szCs w:val="16"/>
              </w:rPr>
            </w:pPr>
            <w:r w:rsidRPr="000578FE">
              <w:rPr>
                <w:rFonts w:ascii="Times New Roman" w:hAnsi="Times New Roman" w:cs="Times New Roman"/>
                <w:sz w:val="16"/>
                <w:szCs w:val="16"/>
              </w:rPr>
              <w:t>Vyrobená elektrina</w:t>
            </w:r>
          </w:p>
        </w:tc>
      </w:tr>
      <w:tr w:rsidR="00E43041" w:rsidRPr="009F2998" w14:paraId="14707AD0" w14:textId="77777777" w:rsidTr="000578FE">
        <w:trPr>
          <w:trHeight w:val="255"/>
        </w:trPr>
        <w:tc>
          <w:tcPr>
            <w:tcW w:w="1030" w:type="pct"/>
            <w:vMerge/>
            <w:vAlign w:val="center"/>
          </w:tcPr>
          <w:p w14:paraId="60449F48" w14:textId="77777777" w:rsidR="00E43041" w:rsidRPr="009F2998" w:rsidRDefault="00E43041" w:rsidP="002E3164">
            <w:pPr>
              <w:rPr>
                <w:rFonts w:ascii="Times New Roman" w:hAnsi="Times New Roman" w:cs="Times New Roman"/>
              </w:rPr>
            </w:pPr>
          </w:p>
        </w:tc>
        <w:tc>
          <w:tcPr>
            <w:tcW w:w="528" w:type="pct"/>
            <w:shd w:val="clear" w:color="auto" w:fill="auto"/>
            <w:noWrap/>
            <w:vAlign w:val="center"/>
          </w:tcPr>
          <w:p w14:paraId="439F7455"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(MWe)</w:t>
            </w:r>
          </w:p>
        </w:tc>
        <w:tc>
          <w:tcPr>
            <w:tcW w:w="461" w:type="pct"/>
            <w:shd w:val="clear" w:color="auto" w:fill="auto"/>
            <w:noWrap/>
            <w:vAlign w:val="center"/>
          </w:tcPr>
          <w:p w14:paraId="573EBF4A"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(GWh)</w:t>
            </w:r>
          </w:p>
        </w:tc>
        <w:tc>
          <w:tcPr>
            <w:tcW w:w="533" w:type="pct"/>
            <w:shd w:val="clear" w:color="auto" w:fill="auto"/>
            <w:noWrap/>
            <w:vAlign w:val="center"/>
          </w:tcPr>
          <w:p w14:paraId="1D3D4EA1"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(MWe)</w:t>
            </w:r>
          </w:p>
        </w:tc>
        <w:tc>
          <w:tcPr>
            <w:tcW w:w="461" w:type="pct"/>
            <w:shd w:val="clear" w:color="auto" w:fill="auto"/>
            <w:noWrap/>
            <w:vAlign w:val="center"/>
          </w:tcPr>
          <w:p w14:paraId="53FE3AAC"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(GWh)</w:t>
            </w:r>
          </w:p>
        </w:tc>
        <w:tc>
          <w:tcPr>
            <w:tcW w:w="533" w:type="pct"/>
            <w:shd w:val="clear" w:color="auto" w:fill="auto"/>
            <w:noWrap/>
            <w:vAlign w:val="center"/>
          </w:tcPr>
          <w:p w14:paraId="5B1DBD90"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(MWe)</w:t>
            </w:r>
          </w:p>
        </w:tc>
        <w:tc>
          <w:tcPr>
            <w:tcW w:w="461" w:type="pct"/>
            <w:shd w:val="clear" w:color="auto" w:fill="auto"/>
            <w:noWrap/>
            <w:vAlign w:val="center"/>
          </w:tcPr>
          <w:p w14:paraId="1EFE186D"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(GWh)</w:t>
            </w:r>
          </w:p>
        </w:tc>
        <w:tc>
          <w:tcPr>
            <w:tcW w:w="533" w:type="pct"/>
            <w:shd w:val="clear" w:color="auto" w:fill="auto"/>
            <w:noWrap/>
            <w:vAlign w:val="center"/>
          </w:tcPr>
          <w:p w14:paraId="14FBE2A5"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(MWe)</w:t>
            </w:r>
          </w:p>
        </w:tc>
        <w:tc>
          <w:tcPr>
            <w:tcW w:w="461" w:type="pct"/>
            <w:shd w:val="clear" w:color="auto" w:fill="auto"/>
            <w:noWrap/>
            <w:vAlign w:val="center"/>
          </w:tcPr>
          <w:p w14:paraId="1E328DA3"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(GWh)</w:t>
            </w:r>
          </w:p>
        </w:tc>
      </w:tr>
      <w:tr w:rsidR="00E43041" w:rsidRPr="009F2998" w14:paraId="2301070F" w14:textId="77777777" w:rsidTr="000578FE">
        <w:trPr>
          <w:trHeight w:val="450"/>
        </w:trPr>
        <w:tc>
          <w:tcPr>
            <w:tcW w:w="1030" w:type="pct"/>
            <w:shd w:val="clear" w:color="auto" w:fill="auto"/>
            <w:vAlign w:val="center"/>
          </w:tcPr>
          <w:p w14:paraId="3A2433D0" w14:textId="77777777" w:rsidR="00E43041" w:rsidRPr="009F2998" w:rsidRDefault="00E43041" w:rsidP="002E3164">
            <w:pPr>
              <w:rPr>
                <w:rFonts w:ascii="Times New Roman" w:hAnsi="Times New Roman" w:cs="Times New Roman"/>
              </w:rPr>
            </w:pPr>
            <w:r w:rsidRPr="009F2998">
              <w:rPr>
                <w:rFonts w:ascii="Times New Roman" w:hAnsi="Times New Roman" w:cs="Times New Roman"/>
              </w:rPr>
              <w:t>Plynová turbína s kombinovaným cyklom</w:t>
            </w:r>
          </w:p>
        </w:tc>
        <w:tc>
          <w:tcPr>
            <w:tcW w:w="528" w:type="pct"/>
            <w:shd w:val="clear" w:color="auto" w:fill="auto"/>
            <w:noWrap/>
            <w:vAlign w:val="center"/>
          </w:tcPr>
          <w:p w14:paraId="19E47986"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394,9</w:t>
            </w:r>
          </w:p>
        </w:tc>
        <w:tc>
          <w:tcPr>
            <w:tcW w:w="461" w:type="pct"/>
            <w:shd w:val="clear" w:color="auto" w:fill="auto"/>
            <w:noWrap/>
            <w:vAlign w:val="center"/>
          </w:tcPr>
          <w:p w14:paraId="6D16BDAD"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874,0</w:t>
            </w:r>
          </w:p>
        </w:tc>
        <w:tc>
          <w:tcPr>
            <w:tcW w:w="533" w:type="pct"/>
            <w:shd w:val="clear" w:color="auto" w:fill="auto"/>
            <w:noWrap/>
            <w:vAlign w:val="center"/>
          </w:tcPr>
          <w:p w14:paraId="1C77984D"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394,9</w:t>
            </w:r>
          </w:p>
        </w:tc>
        <w:tc>
          <w:tcPr>
            <w:tcW w:w="461" w:type="pct"/>
            <w:shd w:val="clear" w:color="auto" w:fill="auto"/>
            <w:noWrap/>
            <w:vAlign w:val="center"/>
          </w:tcPr>
          <w:p w14:paraId="331A7E97"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908,9</w:t>
            </w:r>
          </w:p>
        </w:tc>
        <w:tc>
          <w:tcPr>
            <w:tcW w:w="533" w:type="pct"/>
            <w:shd w:val="clear" w:color="auto" w:fill="auto"/>
            <w:noWrap/>
            <w:vAlign w:val="center"/>
          </w:tcPr>
          <w:p w14:paraId="1A773EAD"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394,9</w:t>
            </w:r>
          </w:p>
        </w:tc>
        <w:tc>
          <w:tcPr>
            <w:tcW w:w="461" w:type="pct"/>
            <w:shd w:val="clear" w:color="auto" w:fill="auto"/>
            <w:noWrap/>
            <w:vAlign w:val="center"/>
          </w:tcPr>
          <w:p w14:paraId="6BAC21D3"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947,8</w:t>
            </w:r>
          </w:p>
        </w:tc>
        <w:tc>
          <w:tcPr>
            <w:tcW w:w="533" w:type="pct"/>
            <w:shd w:val="clear" w:color="auto" w:fill="auto"/>
            <w:noWrap/>
            <w:vAlign w:val="center"/>
          </w:tcPr>
          <w:p w14:paraId="459A9795"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394,9</w:t>
            </w:r>
          </w:p>
        </w:tc>
        <w:tc>
          <w:tcPr>
            <w:tcW w:w="461" w:type="pct"/>
            <w:shd w:val="clear" w:color="auto" w:fill="auto"/>
            <w:noWrap/>
            <w:vAlign w:val="center"/>
          </w:tcPr>
          <w:p w14:paraId="56B6199A"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967,6</w:t>
            </w:r>
          </w:p>
        </w:tc>
      </w:tr>
      <w:tr w:rsidR="00E43041" w:rsidRPr="009F2998" w14:paraId="2CBF7585" w14:textId="77777777" w:rsidTr="000578FE">
        <w:trPr>
          <w:trHeight w:val="450"/>
        </w:trPr>
        <w:tc>
          <w:tcPr>
            <w:tcW w:w="1030" w:type="pct"/>
            <w:shd w:val="clear" w:color="auto" w:fill="auto"/>
            <w:vAlign w:val="center"/>
          </w:tcPr>
          <w:p w14:paraId="79788351" w14:textId="77777777" w:rsidR="00E43041" w:rsidRPr="009F2998" w:rsidRDefault="00E43041" w:rsidP="002E3164">
            <w:pPr>
              <w:rPr>
                <w:rFonts w:ascii="Times New Roman" w:hAnsi="Times New Roman" w:cs="Times New Roman"/>
              </w:rPr>
            </w:pPr>
            <w:r w:rsidRPr="009F2998">
              <w:rPr>
                <w:rFonts w:ascii="Times New Roman" w:hAnsi="Times New Roman" w:cs="Times New Roman"/>
              </w:rPr>
              <w:lastRenderedPageBreak/>
              <w:t>Protitlaková parná turbína</w:t>
            </w:r>
          </w:p>
        </w:tc>
        <w:tc>
          <w:tcPr>
            <w:tcW w:w="528" w:type="pct"/>
            <w:shd w:val="clear" w:color="auto" w:fill="auto"/>
            <w:noWrap/>
            <w:vAlign w:val="center"/>
          </w:tcPr>
          <w:p w14:paraId="1F52B576"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583,0</w:t>
            </w:r>
          </w:p>
        </w:tc>
        <w:tc>
          <w:tcPr>
            <w:tcW w:w="461" w:type="pct"/>
            <w:shd w:val="clear" w:color="auto" w:fill="auto"/>
            <w:noWrap/>
            <w:vAlign w:val="center"/>
          </w:tcPr>
          <w:p w14:paraId="43082D15"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1370,6</w:t>
            </w:r>
          </w:p>
        </w:tc>
        <w:tc>
          <w:tcPr>
            <w:tcW w:w="533" w:type="pct"/>
            <w:shd w:val="clear" w:color="auto" w:fill="auto"/>
            <w:noWrap/>
            <w:vAlign w:val="center"/>
          </w:tcPr>
          <w:p w14:paraId="2BB667D4"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577,0</w:t>
            </w:r>
          </w:p>
        </w:tc>
        <w:tc>
          <w:tcPr>
            <w:tcW w:w="461" w:type="pct"/>
            <w:shd w:val="clear" w:color="auto" w:fill="auto"/>
            <w:noWrap/>
            <w:vAlign w:val="center"/>
          </w:tcPr>
          <w:p w14:paraId="0FBA0AC2"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1 288,1</w:t>
            </w:r>
          </w:p>
        </w:tc>
        <w:tc>
          <w:tcPr>
            <w:tcW w:w="533" w:type="pct"/>
            <w:shd w:val="clear" w:color="auto" w:fill="auto"/>
            <w:noWrap/>
            <w:vAlign w:val="center"/>
          </w:tcPr>
          <w:p w14:paraId="6F3B66AD"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582,8</w:t>
            </w:r>
          </w:p>
        </w:tc>
        <w:tc>
          <w:tcPr>
            <w:tcW w:w="461" w:type="pct"/>
            <w:shd w:val="clear" w:color="auto" w:fill="auto"/>
            <w:noWrap/>
            <w:vAlign w:val="center"/>
          </w:tcPr>
          <w:p w14:paraId="54DEEF83"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1340,4</w:t>
            </w:r>
          </w:p>
        </w:tc>
        <w:tc>
          <w:tcPr>
            <w:tcW w:w="533" w:type="pct"/>
            <w:shd w:val="clear" w:color="auto" w:fill="auto"/>
            <w:noWrap/>
            <w:vAlign w:val="center"/>
          </w:tcPr>
          <w:p w14:paraId="07974764"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594,4</w:t>
            </w:r>
          </w:p>
        </w:tc>
        <w:tc>
          <w:tcPr>
            <w:tcW w:w="461" w:type="pct"/>
            <w:shd w:val="clear" w:color="auto" w:fill="auto"/>
            <w:noWrap/>
            <w:vAlign w:val="center"/>
          </w:tcPr>
          <w:p w14:paraId="519A6FCA"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1 367,2</w:t>
            </w:r>
          </w:p>
        </w:tc>
      </w:tr>
      <w:tr w:rsidR="00E43041" w:rsidRPr="009F2998" w14:paraId="44FF53FC" w14:textId="77777777" w:rsidTr="000578FE">
        <w:trPr>
          <w:trHeight w:val="450"/>
        </w:trPr>
        <w:tc>
          <w:tcPr>
            <w:tcW w:w="1030" w:type="pct"/>
            <w:shd w:val="clear" w:color="auto" w:fill="auto"/>
            <w:vAlign w:val="center"/>
          </w:tcPr>
          <w:p w14:paraId="480C40B0" w14:textId="77777777" w:rsidR="00E43041" w:rsidRPr="009F2998" w:rsidRDefault="00E43041" w:rsidP="002E3164">
            <w:pPr>
              <w:rPr>
                <w:rFonts w:ascii="Times New Roman" w:hAnsi="Times New Roman" w:cs="Times New Roman"/>
              </w:rPr>
            </w:pPr>
            <w:r w:rsidRPr="009F2998">
              <w:rPr>
                <w:rFonts w:ascii="Times New Roman" w:hAnsi="Times New Roman" w:cs="Times New Roman"/>
              </w:rPr>
              <w:t>Kondenzačná parná turbína s odberom pary</w:t>
            </w:r>
          </w:p>
        </w:tc>
        <w:tc>
          <w:tcPr>
            <w:tcW w:w="528" w:type="pct"/>
            <w:shd w:val="clear" w:color="auto" w:fill="auto"/>
            <w:noWrap/>
            <w:vAlign w:val="center"/>
          </w:tcPr>
          <w:p w14:paraId="191A83D2"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1622,9</w:t>
            </w:r>
          </w:p>
        </w:tc>
        <w:tc>
          <w:tcPr>
            <w:tcW w:w="461" w:type="pct"/>
            <w:shd w:val="clear" w:color="auto" w:fill="auto"/>
            <w:noWrap/>
            <w:vAlign w:val="center"/>
          </w:tcPr>
          <w:p w14:paraId="293FC7A3"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1299,9</w:t>
            </w:r>
          </w:p>
        </w:tc>
        <w:tc>
          <w:tcPr>
            <w:tcW w:w="533" w:type="pct"/>
            <w:shd w:val="clear" w:color="auto" w:fill="auto"/>
            <w:noWrap/>
            <w:vAlign w:val="center"/>
          </w:tcPr>
          <w:p w14:paraId="0EDA8279"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1631,1</w:t>
            </w:r>
          </w:p>
        </w:tc>
        <w:tc>
          <w:tcPr>
            <w:tcW w:w="461" w:type="pct"/>
            <w:shd w:val="clear" w:color="auto" w:fill="auto"/>
            <w:noWrap/>
            <w:vAlign w:val="center"/>
          </w:tcPr>
          <w:p w14:paraId="6FCC0FA8"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1 081,4</w:t>
            </w:r>
          </w:p>
        </w:tc>
        <w:tc>
          <w:tcPr>
            <w:tcW w:w="533" w:type="pct"/>
            <w:shd w:val="clear" w:color="auto" w:fill="auto"/>
            <w:noWrap/>
            <w:vAlign w:val="center"/>
          </w:tcPr>
          <w:p w14:paraId="0281869D"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1647,4</w:t>
            </w:r>
          </w:p>
        </w:tc>
        <w:tc>
          <w:tcPr>
            <w:tcW w:w="461" w:type="pct"/>
            <w:shd w:val="clear" w:color="auto" w:fill="auto"/>
            <w:noWrap/>
            <w:vAlign w:val="center"/>
          </w:tcPr>
          <w:p w14:paraId="3E15DBC6"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1153,2</w:t>
            </w:r>
          </w:p>
        </w:tc>
        <w:tc>
          <w:tcPr>
            <w:tcW w:w="533" w:type="pct"/>
            <w:shd w:val="clear" w:color="auto" w:fill="auto"/>
            <w:noWrap/>
            <w:vAlign w:val="center"/>
          </w:tcPr>
          <w:p w14:paraId="679D113F"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1663,9</w:t>
            </w:r>
          </w:p>
        </w:tc>
        <w:tc>
          <w:tcPr>
            <w:tcW w:w="461" w:type="pct"/>
            <w:shd w:val="clear" w:color="auto" w:fill="auto"/>
            <w:noWrap/>
            <w:vAlign w:val="center"/>
          </w:tcPr>
          <w:p w14:paraId="0FAB9853"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1 164,7</w:t>
            </w:r>
          </w:p>
        </w:tc>
      </w:tr>
      <w:tr w:rsidR="00E43041" w:rsidRPr="009F2998" w14:paraId="3C863664" w14:textId="77777777" w:rsidTr="000578FE">
        <w:trPr>
          <w:trHeight w:val="450"/>
        </w:trPr>
        <w:tc>
          <w:tcPr>
            <w:tcW w:w="1030" w:type="pct"/>
            <w:shd w:val="clear" w:color="auto" w:fill="auto"/>
            <w:vAlign w:val="center"/>
          </w:tcPr>
          <w:p w14:paraId="1245CE5B" w14:textId="77777777" w:rsidR="00E43041" w:rsidRPr="009F2998" w:rsidRDefault="00E43041" w:rsidP="002E3164">
            <w:pPr>
              <w:rPr>
                <w:rFonts w:ascii="Times New Roman" w:hAnsi="Times New Roman" w:cs="Times New Roman"/>
              </w:rPr>
            </w:pPr>
            <w:r w:rsidRPr="009F2998">
              <w:rPr>
                <w:rFonts w:ascii="Times New Roman" w:hAnsi="Times New Roman" w:cs="Times New Roman"/>
              </w:rPr>
              <w:t>Plynová turbína s regeneráciou tepla</w:t>
            </w:r>
          </w:p>
        </w:tc>
        <w:tc>
          <w:tcPr>
            <w:tcW w:w="528" w:type="pct"/>
            <w:shd w:val="clear" w:color="auto" w:fill="auto"/>
            <w:noWrap/>
            <w:vAlign w:val="center"/>
          </w:tcPr>
          <w:p w14:paraId="1B0A2A70"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25,4</w:t>
            </w:r>
          </w:p>
        </w:tc>
        <w:tc>
          <w:tcPr>
            <w:tcW w:w="461" w:type="pct"/>
            <w:shd w:val="clear" w:color="auto" w:fill="auto"/>
            <w:noWrap/>
            <w:vAlign w:val="center"/>
          </w:tcPr>
          <w:p w14:paraId="700AD90F"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124,8</w:t>
            </w:r>
          </w:p>
        </w:tc>
        <w:tc>
          <w:tcPr>
            <w:tcW w:w="533" w:type="pct"/>
            <w:shd w:val="clear" w:color="auto" w:fill="auto"/>
            <w:noWrap/>
            <w:vAlign w:val="center"/>
          </w:tcPr>
          <w:p w14:paraId="6B361480"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25,4</w:t>
            </w:r>
          </w:p>
        </w:tc>
        <w:tc>
          <w:tcPr>
            <w:tcW w:w="461" w:type="pct"/>
            <w:shd w:val="clear" w:color="auto" w:fill="auto"/>
            <w:noWrap/>
            <w:vAlign w:val="center"/>
          </w:tcPr>
          <w:p w14:paraId="14BD5CAD"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91,6</w:t>
            </w:r>
          </w:p>
        </w:tc>
        <w:tc>
          <w:tcPr>
            <w:tcW w:w="533" w:type="pct"/>
            <w:shd w:val="clear" w:color="auto" w:fill="auto"/>
            <w:noWrap/>
            <w:vAlign w:val="center"/>
          </w:tcPr>
          <w:p w14:paraId="3F991B29"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30,5</w:t>
            </w:r>
          </w:p>
        </w:tc>
        <w:tc>
          <w:tcPr>
            <w:tcW w:w="461" w:type="pct"/>
            <w:shd w:val="clear" w:color="auto" w:fill="auto"/>
            <w:noWrap/>
            <w:vAlign w:val="center"/>
          </w:tcPr>
          <w:p w14:paraId="6FB3C437"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115,8</w:t>
            </w:r>
          </w:p>
        </w:tc>
        <w:tc>
          <w:tcPr>
            <w:tcW w:w="533" w:type="pct"/>
            <w:shd w:val="clear" w:color="auto" w:fill="auto"/>
            <w:noWrap/>
            <w:vAlign w:val="center"/>
          </w:tcPr>
          <w:p w14:paraId="5E7B6764"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36,6</w:t>
            </w:r>
          </w:p>
        </w:tc>
        <w:tc>
          <w:tcPr>
            <w:tcW w:w="461" w:type="pct"/>
            <w:shd w:val="clear" w:color="auto" w:fill="auto"/>
            <w:noWrap/>
            <w:vAlign w:val="center"/>
          </w:tcPr>
          <w:p w14:paraId="3F3A5972"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139,0</w:t>
            </w:r>
          </w:p>
        </w:tc>
      </w:tr>
      <w:tr w:rsidR="00E43041" w:rsidRPr="009F2998" w14:paraId="47106A84" w14:textId="77777777" w:rsidTr="000578FE">
        <w:trPr>
          <w:trHeight w:val="450"/>
        </w:trPr>
        <w:tc>
          <w:tcPr>
            <w:tcW w:w="1030" w:type="pct"/>
            <w:shd w:val="clear" w:color="auto" w:fill="auto"/>
            <w:vAlign w:val="center"/>
          </w:tcPr>
          <w:p w14:paraId="03E17B37" w14:textId="77777777" w:rsidR="00E43041" w:rsidRPr="009F2998" w:rsidRDefault="00E43041" w:rsidP="002E3164">
            <w:pPr>
              <w:rPr>
                <w:rFonts w:ascii="Times New Roman" w:hAnsi="Times New Roman" w:cs="Times New Roman"/>
              </w:rPr>
            </w:pPr>
            <w:r w:rsidRPr="009F2998">
              <w:rPr>
                <w:rFonts w:ascii="Times New Roman" w:hAnsi="Times New Roman" w:cs="Times New Roman"/>
              </w:rPr>
              <w:t>Spaľovací motor</w:t>
            </w:r>
          </w:p>
        </w:tc>
        <w:tc>
          <w:tcPr>
            <w:tcW w:w="528" w:type="pct"/>
            <w:shd w:val="clear" w:color="auto" w:fill="auto"/>
            <w:noWrap/>
            <w:vAlign w:val="center"/>
          </w:tcPr>
          <w:p w14:paraId="7C409B22"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47,1</w:t>
            </w:r>
          </w:p>
        </w:tc>
        <w:tc>
          <w:tcPr>
            <w:tcW w:w="461" w:type="pct"/>
            <w:shd w:val="clear" w:color="auto" w:fill="auto"/>
            <w:noWrap/>
            <w:vAlign w:val="center"/>
          </w:tcPr>
          <w:p w14:paraId="558C635B"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231,5</w:t>
            </w:r>
          </w:p>
        </w:tc>
        <w:tc>
          <w:tcPr>
            <w:tcW w:w="533" w:type="pct"/>
            <w:shd w:val="clear" w:color="auto" w:fill="auto"/>
            <w:noWrap/>
            <w:vAlign w:val="center"/>
          </w:tcPr>
          <w:p w14:paraId="05CC8B94"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187,1</w:t>
            </w:r>
          </w:p>
        </w:tc>
        <w:tc>
          <w:tcPr>
            <w:tcW w:w="461" w:type="pct"/>
            <w:shd w:val="clear" w:color="auto" w:fill="auto"/>
            <w:noWrap/>
            <w:vAlign w:val="center"/>
          </w:tcPr>
          <w:p w14:paraId="1313675D"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1 095,0</w:t>
            </w:r>
          </w:p>
        </w:tc>
        <w:tc>
          <w:tcPr>
            <w:tcW w:w="533" w:type="pct"/>
            <w:shd w:val="clear" w:color="auto" w:fill="auto"/>
            <w:noWrap/>
            <w:vAlign w:val="center"/>
          </w:tcPr>
          <w:p w14:paraId="6A710FE8"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261,9</w:t>
            </w:r>
          </w:p>
        </w:tc>
        <w:tc>
          <w:tcPr>
            <w:tcW w:w="461" w:type="pct"/>
            <w:shd w:val="clear" w:color="auto" w:fill="auto"/>
            <w:noWrap/>
            <w:vAlign w:val="center"/>
          </w:tcPr>
          <w:p w14:paraId="0E7C2F2B"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1571,3</w:t>
            </w:r>
          </w:p>
        </w:tc>
        <w:tc>
          <w:tcPr>
            <w:tcW w:w="533" w:type="pct"/>
            <w:shd w:val="clear" w:color="auto" w:fill="auto"/>
            <w:noWrap/>
            <w:vAlign w:val="center"/>
          </w:tcPr>
          <w:p w14:paraId="4D2A5013"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340,4</w:t>
            </w:r>
          </w:p>
        </w:tc>
        <w:tc>
          <w:tcPr>
            <w:tcW w:w="461" w:type="pct"/>
            <w:shd w:val="clear" w:color="auto" w:fill="auto"/>
            <w:noWrap/>
            <w:vAlign w:val="center"/>
          </w:tcPr>
          <w:p w14:paraId="6B4EBF5E"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2 042,7</w:t>
            </w:r>
          </w:p>
        </w:tc>
      </w:tr>
      <w:tr w:rsidR="00E43041" w:rsidRPr="009F2998" w14:paraId="61CB4B61" w14:textId="77777777" w:rsidTr="000578FE">
        <w:trPr>
          <w:trHeight w:val="450"/>
        </w:trPr>
        <w:tc>
          <w:tcPr>
            <w:tcW w:w="1030" w:type="pct"/>
            <w:shd w:val="clear" w:color="auto" w:fill="auto"/>
            <w:vAlign w:val="center"/>
          </w:tcPr>
          <w:p w14:paraId="5BD31D0C" w14:textId="77777777" w:rsidR="00E43041" w:rsidRPr="009F2998" w:rsidRDefault="00E43041" w:rsidP="002E3164">
            <w:pPr>
              <w:rPr>
                <w:rFonts w:ascii="Times New Roman" w:hAnsi="Times New Roman" w:cs="Times New Roman"/>
              </w:rPr>
            </w:pPr>
            <w:r w:rsidRPr="009F2998">
              <w:rPr>
                <w:rFonts w:ascii="Times New Roman" w:hAnsi="Times New Roman" w:cs="Times New Roman"/>
              </w:rPr>
              <w:t>Ostatné technológie</w:t>
            </w:r>
          </w:p>
        </w:tc>
        <w:tc>
          <w:tcPr>
            <w:tcW w:w="528" w:type="pct"/>
            <w:shd w:val="clear" w:color="auto" w:fill="auto"/>
            <w:noWrap/>
            <w:vAlign w:val="center"/>
          </w:tcPr>
          <w:p w14:paraId="4D0E400F"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0,0</w:t>
            </w:r>
          </w:p>
        </w:tc>
        <w:tc>
          <w:tcPr>
            <w:tcW w:w="461" w:type="pct"/>
            <w:shd w:val="clear" w:color="auto" w:fill="auto"/>
            <w:noWrap/>
            <w:vAlign w:val="center"/>
          </w:tcPr>
          <w:p w14:paraId="36BC4C1A"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0,0</w:t>
            </w:r>
          </w:p>
        </w:tc>
        <w:tc>
          <w:tcPr>
            <w:tcW w:w="533" w:type="pct"/>
            <w:shd w:val="clear" w:color="auto" w:fill="auto"/>
            <w:noWrap/>
            <w:vAlign w:val="center"/>
          </w:tcPr>
          <w:p w14:paraId="70C05450"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1,2</w:t>
            </w:r>
          </w:p>
        </w:tc>
        <w:tc>
          <w:tcPr>
            <w:tcW w:w="461" w:type="pct"/>
            <w:shd w:val="clear" w:color="auto" w:fill="auto"/>
            <w:noWrap/>
            <w:vAlign w:val="center"/>
          </w:tcPr>
          <w:p w14:paraId="1D6F7D39"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7,9</w:t>
            </w:r>
          </w:p>
        </w:tc>
        <w:tc>
          <w:tcPr>
            <w:tcW w:w="533" w:type="pct"/>
            <w:shd w:val="clear" w:color="auto" w:fill="auto"/>
            <w:noWrap/>
            <w:vAlign w:val="center"/>
          </w:tcPr>
          <w:p w14:paraId="5923A66F"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5,9</w:t>
            </w:r>
          </w:p>
        </w:tc>
        <w:tc>
          <w:tcPr>
            <w:tcW w:w="461" w:type="pct"/>
            <w:shd w:val="clear" w:color="auto" w:fill="auto"/>
            <w:noWrap/>
            <w:vAlign w:val="center"/>
          </w:tcPr>
          <w:p w14:paraId="47B4C90A"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38,7</w:t>
            </w:r>
          </w:p>
        </w:tc>
        <w:tc>
          <w:tcPr>
            <w:tcW w:w="533" w:type="pct"/>
            <w:shd w:val="clear" w:color="auto" w:fill="auto"/>
            <w:noWrap/>
            <w:vAlign w:val="center"/>
          </w:tcPr>
          <w:p w14:paraId="7D9160DE"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8,8</w:t>
            </w:r>
          </w:p>
        </w:tc>
        <w:tc>
          <w:tcPr>
            <w:tcW w:w="461" w:type="pct"/>
            <w:shd w:val="clear" w:color="auto" w:fill="auto"/>
            <w:noWrap/>
            <w:vAlign w:val="center"/>
          </w:tcPr>
          <w:p w14:paraId="4D3E157D" w14:textId="77777777" w:rsidR="00E43041" w:rsidRPr="009F2998" w:rsidRDefault="00E43041" w:rsidP="002E3164">
            <w:pPr>
              <w:jc w:val="center"/>
              <w:rPr>
                <w:rFonts w:ascii="Times New Roman" w:hAnsi="Times New Roman" w:cs="Times New Roman"/>
              </w:rPr>
            </w:pPr>
            <w:r w:rsidRPr="009F2998">
              <w:rPr>
                <w:rFonts w:ascii="Times New Roman" w:hAnsi="Times New Roman" w:cs="Times New Roman"/>
              </w:rPr>
              <w:t>58,1</w:t>
            </w:r>
          </w:p>
        </w:tc>
      </w:tr>
      <w:tr w:rsidR="00E43041" w:rsidRPr="009F2998" w14:paraId="407C5341" w14:textId="77777777" w:rsidTr="000578FE">
        <w:trPr>
          <w:trHeight w:val="450"/>
        </w:trPr>
        <w:tc>
          <w:tcPr>
            <w:tcW w:w="1030" w:type="pct"/>
            <w:tcBorders>
              <w:bottom w:val="single" w:sz="6" w:space="0" w:color="auto"/>
            </w:tcBorders>
            <w:shd w:val="clear" w:color="auto" w:fill="auto"/>
            <w:noWrap/>
            <w:vAlign w:val="center"/>
          </w:tcPr>
          <w:p w14:paraId="4F17A274" w14:textId="77777777" w:rsidR="00E43041" w:rsidRPr="009F2998" w:rsidRDefault="00E43041" w:rsidP="002E3164">
            <w:pPr>
              <w:rPr>
                <w:rFonts w:ascii="Times New Roman" w:hAnsi="Times New Roman" w:cs="Times New Roman"/>
                <w:b/>
                <w:bCs/>
              </w:rPr>
            </w:pPr>
            <w:r w:rsidRPr="009F2998">
              <w:rPr>
                <w:rFonts w:ascii="Times New Roman" w:hAnsi="Times New Roman" w:cs="Times New Roman"/>
                <w:b/>
                <w:bCs/>
              </w:rPr>
              <w:t>Spolu</w:t>
            </w:r>
          </w:p>
        </w:tc>
        <w:tc>
          <w:tcPr>
            <w:tcW w:w="528" w:type="pct"/>
            <w:tcBorders>
              <w:bottom w:val="single" w:sz="6" w:space="0" w:color="auto"/>
            </w:tcBorders>
            <w:shd w:val="clear" w:color="auto" w:fill="auto"/>
            <w:noWrap/>
            <w:vAlign w:val="center"/>
          </w:tcPr>
          <w:p w14:paraId="58C00A4A" w14:textId="77777777" w:rsidR="00E43041" w:rsidRPr="009F2998" w:rsidRDefault="00E43041" w:rsidP="002E3164">
            <w:pPr>
              <w:jc w:val="center"/>
              <w:rPr>
                <w:rFonts w:ascii="Times New Roman" w:hAnsi="Times New Roman" w:cs="Times New Roman"/>
                <w:b/>
                <w:bCs/>
              </w:rPr>
            </w:pPr>
            <w:r w:rsidRPr="009F2998">
              <w:rPr>
                <w:rFonts w:ascii="Times New Roman" w:hAnsi="Times New Roman" w:cs="Times New Roman"/>
                <w:b/>
                <w:bCs/>
              </w:rPr>
              <w:t>2 673,3</w:t>
            </w:r>
          </w:p>
        </w:tc>
        <w:tc>
          <w:tcPr>
            <w:tcW w:w="461" w:type="pct"/>
            <w:tcBorders>
              <w:bottom w:val="single" w:sz="6" w:space="0" w:color="auto"/>
            </w:tcBorders>
            <w:shd w:val="clear" w:color="auto" w:fill="auto"/>
            <w:noWrap/>
            <w:vAlign w:val="center"/>
          </w:tcPr>
          <w:p w14:paraId="5A57A407" w14:textId="77777777" w:rsidR="00E43041" w:rsidRPr="009F2998" w:rsidRDefault="00E43041" w:rsidP="002E3164">
            <w:pPr>
              <w:jc w:val="center"/>
              <w:rPr>
                <w:rFonts w:ascii="Times New Roman" w:hAnsi="Times New Roman" w:cs="Times New Roman"/>
                <w:b/>
                <w:bCs/>
              </w:rPr>
            </w:pPr>
            <w:r w:rsidRPr="009F2998">
              <w:rPr>
                <w:rFonts w:ascii="Times New Roman" w:hAnsi="Times New Roman" w:cs="Times New Roman"/>
                <w:b/>
                <w:bCs/>
              </w:rPr>
              <w:t>3 900,8</w:t>
            </w:r>
          </w:p>
        </w:tc>
        <w:tc>
          <w:tcPr>
            <w:tcW w:w="533" w:type="pct"/>
            <w:tcBorders>
              <w:bottom w:val="single" w:sz="6" w:space="0" w:color="auto"/>
            </w:tcBorders>
            <w:shd w:val="clear" w:color="auto" w:fill="auto"/>
            <w:noWrap/>
            <w:vAlign w:val="center"/>
          </w:tcPr>
          <w:p w14:paraId="6F3C9701" w14:textId="77777777" w:rsidR="00E43041" w:rsidRPr="009F2998" w:rsidRDefault="00E43041" w:rsidP="002E3164">
            <w:pPr>
              <w:jc w:val="center"/>
              <w:rPr>
                <w:rFonts w:ascii="Times New Roman" w:hAnsi="Times New Roman" w:cs="Times New Roman"/>
                <w:b/>
                <w:bCs/>
              </w:rPr>
            </w:pPr>
            <w:r w:rsidRPr="009F2998">
              <w:rPr>
                <w:rFonts w:ascii="Times New Roman" w:hAnsi="Times New Roman" w:cs="Times New Roman"/>
                <w:b/>
                <w:bCs/>
              </w:rPr>
              <w:t>2 816,7</w:t>
            </w:r>
          </w:p>
        </w:tc>
        <w:tc>
          <w:tcPr>
            <w:tcW w:w="461" w:type="pct"/>
            <w:tcBorders>
              <w:bottom w:val="single" w:sz="6" w:space="0" w:color="auto"/>
            </w:tcBorders>
            <w:shd w:val="clear" w:color="auto" w:fill="auto"/>
            <w:noWrap/>
            <w:vAlign w:val="center"/>
          </w:tcPr>
          <w:p w14:paraId="0279E1E0" w14:textId="77777777" w:rsidR="00E43041" w:rsidRPr="009F2998" w:rsidRDefault="00E43041" w:rsidP="002E3164">
            <w:pPr>
              <w:jc w:val="center"/>
              <w:rPr>
                <w:rFonts w:ascii="Times New Roman" w:hAnsi="Times New Roman" w:cs="Times New Roman"/>
                <w:b/>
                <w:bCs/>
              </w:rPr>
            </w:pPr>
            <w:r w:rsidRPr="009F2998">
              <w:rPr>
                <w:rFonts w:ascii="Times New Roman" w:hAnsi="Times New Roman" w:cs="Times New Roman"/>
                <w:b/>
                <w:bCs/>
              </w:rPr>
              <w:t>4 472,8</w:t>
            </w:r>
          </w:p>
        </w:tc>
        <w:tc>
          <w:tcPr>
            <w:tcW w:w="533" w:type="pct"/>
            <w:tcBorders>
              <w:bottom w:val="single" w:sz="6" w:space="0" w:color="auto"/>
            </w:tcBorders>
            <w:shd w:val="clear" w:color="auto" w:fill="auto"/>
            <w:noWrap/>
            <w:vAlign w:val="center"/>
          </w:tcPr>
          <w:p w14:paraId="18DB000E" w14:textId="77777777" w:rsidR="00E43041" w:rsidRPr="009F2998" w:rsidRDefault="00E43041" w:rsidP="002E3164">
            <w:pPr>
              <w:jc w:val="center"/>
              <w:rPr>
                <w:rFonts w:ascii="Times New Roman" w:hAnsi="Times New Roman" w:cs="Times New Roman"/>
                <w:b/>
                <w:bCs/>
              </w:rPr>
            </w:pPr>
            <w:r w:rsidRPr="009F2998">
              <w:rPr>
                <w:rFonts w:ascii="Times New Roman" w:hAnsi="Times New Roman" w:cs="Times New Roman"/>
                <w:b/>
                <w:bCs/>
              </w:rPr>
              <w:t>2 923,3</w:t>
            </w:r>
          </w:p>
        </w:tc>
        <w:tc>
          <w:tcPr>
            <w:tcW w:w="461" w:type="pct"/>
            <w:tcBorders>
              <w:bottom w:val="single" w:sz="6" w:space="0" w:color="auto"/>
            </w:tcBorders>
            <w:shd w:val="clear" w:color="auto" w:fill="auto"/>
            <w:noWrap/>
            <w:vAlign w:val="center"/>
          </w:tcPr>
          <w:p w14:paraId="249DDCFA" w14:textId="77777777" w:rsidR="00E43041" w:rsidRPr="009F2998" w:rsidRDefault="00E43041" w:rsidP="002E3164">
            <w:pPr>
              <w:jc w:val="center"/>
              <w:rPr>
                <w:rFonts w:ascii="Times New Roman" w:hAnsi="Times New Roman" w:cs="Times New Roman"/>
                <w:b/>
                <w:bCs/>
              </w:rPr>
            </w:pPr>
            <w:r w:rsidRPr="009F2998">
              <w:rPr>
                <w:rFonts w:ascii="Times New Roman" w:hAnsi="Times New Roman" w:cs="Times New Roman"/>
                <w:b/>
                <w:bCs/>
              </w:rPr>
              <w:t>5 167,2</w:t>
            </w:r>
          </w:p>
        </w:tc>
        <w:tc>
          <w:tcPr>
            <w:tcW w:w="533" w:type="pct"/>
            <w:tcBorders>
              <w:bottom w:val="single" w:sz="6" w:space="0" w:color="auto"/>
            </w:tcBorders>
            <w:shd w:val="clear" w:color="auto" w:fill="auto"/>
            <w:noWrap/>
            <w:vAlign w:val="center"/>
          </w:tcPr>
          <w:p w14:paraId="57331CAA" w14:textId="77777777" w:rsidR="00E43041" w:rsidRPr="009F2998" w:rsidRDefault="00E43041" w:rsidP="002E3164">
            <w:pPr>
              <w:jc w:val="center"/>
              <w:rPr>
                <w:rFonts w:ascii="Times New Roman" w:hAnsi="Times New Roman" w:cs="Times New Roman"/>
                <w:b/>
                <w:bCs/>
              </w:rPr>
            </w:pPr>
            <w:r w:rsidRPr="009F2998">
              <w:rPr>
                <w:rFonts w:ascii="Times New Roman" w:hAnsi="Times New Roman" w:cs="Times New Roman"/>
                <w:b/>
                <w:bCs/>
              </w:rPr>
              <w:t>3 039,1</w:t>
            </w:r>
          </w:p>
        </w:tc>
        <w:tc>
          <w:tcPr>
            <w:tcW w:w="461" w:type="pct"/>
            <w:tcBorders>
              <w:bottom w:val="single" w:sz="6" w:space="0" w:color="auto"/>
            </w:tcBorders>
            <w:shd w:val="clear" w:color="auto" w:fill="auto"/>
            <w:noWrap/>
            <w:vAlign w:val="center"/>
          </w:tcPr>
          <w:p w14:paraId="5EDF8849" w14:textId="77777777" w:rsidR="00E43041" w:rsidRPr="009F2998" w:rsidRDefault="00E43041" w:rsidP="002E3164">
            <w:pPr>
              <w:jc w:val="center"/>
              <w:rPr>
                <w:rFonts w:ascii="Times New Roman" w:hAnsi="Times New Roman" w:cs="Times New Roman"/>
                <w:b/>
                <w:bCs/>
              </w:rPr>
            </w:pPr>
            <w:r w:rsidRPr="009F2998">
              <w:rPr>
                <w:rFonts w:ascii="Times New Roman" w:hAnsi="Times New Roman" w:cs="Times New Roman"/>
                <w:b/>
                <w:bCs/>
              </w:rPr>
              <w:t>5 739,2</w:t>
            </w:r>
          </w:p>
        </w:tc>
      </w:tr>
    </w:tbl>
    <w:p w14:paraId="50C7C8D7" w14:textId="77777777" w:rsidR="00260953" w:rsidRPr="00F77093" w:rsidRDefault="00260953" w:rsidP="00F77093">
      <w:pPr>
        <w:jc w:val="both"/>
        <w:rPr>
          <w:rFonts w:ascii="Times New Roman" w:hAnsi="Times New Roman" w:cs="Times New Roman"/>
          <w:sz w:val="24"/>
          <w:lang w:eastAsia="sk-SK"/>
        </w:rPr>
      </w:pPr>
    </w:p>
    <w:p w14:paraId="21E9991D" w14:textId="77777777" w:rsidR="00E43041" w:rsidRPr="00F77093" w:rsidRDefault="00E43041" w:rsidP="00F77093">
      <w:pPr>
        <w:jc w:val="both"/>
        <w:rPr>
          <w:rFonts w:ascii="Times New Roman" w:hAnsi="Times New Roman" w:cs="Times New Roman"/>
          <w:sz w:val="24"/>
          <w:lang w:eastAsia="sk-SK"/>
        </w:rPr>
      </w:pPr>
      <w:r w:rsidRPr="00F77093">
        <w:rPr>
          <w:rFonts w:ascii="Times New Roman" w:hAnsi="Times New Roman" w:cs="Times New Roman"/>
          <w:sz w:val="24"/>
          <w:lang w:eastAsia="sk-SK"/>
        </w:rPr>
        <w:t xml:space="preserve">Zvýšenie výroby elektriny v zariadeniach KVET v roku 2020 v porovnaní s rokom 2014 sa plánuje na cca 17% z celkovej vyrobenej elektriny. </w:t>
      </w:r>
    </w:p>
    <w:p w14:paraId="19A3A06A" w14:textId="77777777" w:rsidR="00E43041" w:rsidRPr="00F77093" w:rsidRDefault="00E43041" w:rsidP="00F77093">
      <w:pPr>
        <w:jc w:val="both"/>
        <w:rPr>
          <w:rFonts w:ascii="Times New Roman" w:hAnsi="Times New Roman" w:cs="Times New Roman"/>
          <w:sz w:val="24"/>
          <w:lang w:eastAsia="sk-SK"/>
        </w:rPr>
      </w:pPr>
      <w:r w:rsidRPr="00F77093">
        <w:rPr>
          <w:rFonts w:ascii="Times New Roman" w:hAnsi="Times New Roman" w:cs="Times New Roman"/>
          <w:sz w:val="24"/>
          <w:lang w:eastAsia="sk-SK"/>
        </w:rPr>
        <w:t xml:space="preserve">Využitie plánovaného potenciálu nie je členené na jednotlivé roky. Priemerný ročný inštalovaný výkon by mal dosiahnuť zhruba 17,8 MW, avšak z dôvodu preťaženosti elektrizačnej sústavy bola v roku 2015 významne obmedzená výstavba resp. zvyšovanie výkonu zariadení na kombinovanú výrobu elektriny a tepla a pre nasledujúce obdobie je nevyhnutné počkať na výsledky štúdie o možnosti pripájania zariadení na výrobu elektriny do elektrizačnej sústavy a následne prehodnotiť potenciál využitia vysokoúčinnej KVET. </w:t>
      </w:r>
    </w:p>
    <w:p w14:paraId="354DC2CC" w14:textId="77777777" w:rsidR="00E43041" w:rsidRPr="00F77093" w:rsidRDefault="00E43041" w:rsidP="00F77093">
      <w:pPr>
        <w:jc w:val="both"/>
        <w:rPr>
          <w:rFonts w:ascii="Times New Roman" w:hAnsi="Times New Roman" w:cs="Times New Roman"/>
          <w:sz w:val="24"/>
          <w:lang w:eastAsia="sk-SK"/>
        </w:rPr>
      </w:pPr>
      <w:r w:rsidRPr="00F77093">
        <w:rPr>
          <w:rFonts w:ascii="Times New Roman" w:hAnsi="Times New Roman" w:cs="Times New Roman"/>
          <w:sz w:val="24"/>
          <w:lang w:eastAsia="sk-SK"/>
        </w:rPr>
        <w:t>Ďalším dôvodom na odklad budovania a modernizácie zariadení na vysokoúčinnú KVET a účinné systémy CZT je očakávaná zmena systému tarifnej politiky pre výrobu elektriny z OZE a vysokoúčinnou KVET a vyhlásenie výzvy z OP KŽP na podporu investícií v tejto oblasti.</w:t>
      </w:r>
    </w:p>
    <w:p w14:paraId="0336E01C" w14:textId="77777777" w:rsidR="00E43041" w:rsidRPr="009F2998" w:rsidRDefault="00E43041" w:rsidP="00E43041">
      <w:pPr>
        <w:spacing w:before="120" w:line="276" w:lineRule="auto"/>
        <w:ind w:firstLine="658"/>
        <w:jc w:val="both"/>
        <w:rPr>
          <w:rFonts w:ascii="Times New Roman" w:hAnsi="Times New Roman" w:cs="Times New Roman"/>
        </w:rPr>
      </w:pPr>
    </w:p>
    <w:p w14:paraId="6B403709" w14:textId="4E7F1634" w:rsidR="00E43041" w:rsidRPr="000578FE" w:rsidRDefault="00BF460E" w:rsidP="007157D7">
      <w:pPr>
        <w:pStyle w:val="Nadpis4"/>
        <w:numPr>
          <w:ilvl w:val="3"/>
          <w:numId w:val="16"/>
        </w:numPr>
        <w:rPr>
          <w:rFonts w:ascii="Times New Roman" w:eastAsia="Times New Roman" w:hAnsi="Times New Roman" w:cs="Times New Roman"/>
          <w:i w:val="0"/>
          <w:color w:val="auto"/>
          <w:lang w:eastAsia="sk-SK"/>
        </w:rPr>
      </w:pPr>
      <w:bookmarkStart w:id="113" w:name="_Toc480547284"/>
      <w:r w:rsidRPr="000578FE">
        <w:rPr>
          <w:rFonts w:ascii="Times New Roman" w:eastAsia="Times New Roman" w:hAnsi="Times New Roman" w:cs="Times New Roman"/>
          <w:i w:val="0"/>
          <w:color w:val="auto"/>
          <w:lang w:eastAsia="sk-SK"/>
        </w:rPr>
        <w:t>O</w:t>
      </w:r>
      <w:r w:rsidR="00E43041" w:rsidRPr="000578FE">
        <w:rPr>
          <w:rFonts w:ascii="Times New Roman" w:eastAsia="Times New Roman" w:hAnsi="Times New Roman" w:cs="Times New Roman"/>
          <w:i w:val="0"/>
          <w:color w:val="auto"/>
          <w:lang w:eastAsia="sk-SK"/>
        </w:rPr>
        <w:t>pis postupu a metodiky, ktoré ste použili pri vykonaní analýzy nákladov a prínosov s cieľom splniť kritéria prílohy IX k SEE</w:t>
      </w:r>
      <w:bookmarkEnd w:id="113"/>
    </w:p>
    <w:p w14:paraId="33EE3889" w14:textId="77777777" w:rsidR="00E43041" w:rsidRPr="00F77093" w:rsidRDefault="00E43041" w:rsidP="00F77093">
      <w:pPr>
        <w:jc w:val="both"/>
        <w:rPr>
          <w:rFonts w:ascii="Times New Roman" w:hAnsi="Times New Roman" w:cs="Times New Roman"/>
          <w:sz w:val="24"/>
          <w:lang w:eastAsia="sk-SK"/>
        </w:rPr>
      </w:pPr>
      <w:r w:rsidRPr="00F77093">
        <w:rPr>
          <w:rFonts w:ascii="Times New Roman" w:hAnsi="Times New Roman" w:cs="Times New Roman"/>
          <w:sz w:val="24"/>
          <w:lang w:eastAsia="sk-SK"/>
        </w:rPr>
        <w:t>Špecifikom ekonomického hodnotenia je, že okrem štandardných ekonomických kritérií, ktoré majú vplyv na hodnotenie výstavby zariadení kombinovanej výroby elektriny a tepla je potrebné uvažovať s podmienkami v súčasnosti uplatňovaným a predpokladaným systémom regulácie oprávnených nákladov v cene tepla a elektriny regulačným úradom.</w:t>
      </w:r>
    </w:p>
    <w:p w14:paraId="54FBA899" w14:textId="2ECFE265" w:rsidR="00E43041" w:rsidRPr="00F77093" w:rsidRDefault="00E43041" w:rsidP="00F77093">
      <w:pPr>
        <w:jc w:val="both"/>
        <w:rPr>
          <w:rFonts w:ascii="Times New Roman" w:hAnsi="Times New Roman" w:cs="Times New Roman"/>
          <w:sz w:val="24"/>
          <w:lang w:eastAsia="sk-SK"/>
        </w:rPr>
      </w:pPr>
      <w:r w:rsidRPr="00F77093">
        <w:rPr>
          <w:rFonts w:ascii="Times New Roman" w:hAnsi="Times New Roman" w:cs="Times New Roman"/>
          <w:sz w:val="24"/>
          <w:lang w:eastAsia="sk-SK"/>
        </w:rPr>
        <w:t>Cena tepla z kombinovanej výroby sa v súčasnosti stanovuje ako maximálna cena, ktorá zohľadňuje ekonomicky oprávnené náklady a primeraný zisk. Cena elektriny za ktorú vykupujú elektrinu distribučné spoločnosti je určovaná ako cena pevná. Cena tepla a elektriny  je každoročne regulovaná regulačným úradom. Systém regulácie ekonomicky oprávnených nákladov určuje výpočet týchto nákladov a spôsob  ich delenia tzv. energetickou me</w:t>
      </w:r>
      <w:r w:rsidR="003523EB" w:rsidRPr="00F77093">
        <w:rPr>
          <w:rFonts w:ascii="Times New Roman" w:hAnsi="Times New Roman" w:cs="Times New Roman"/>
          <w:sz w:val="24"/>
          <w:lang w:eastAsia="sk-SK"/>
        </w:rPr>
        <w:t>tódu, ktorá priraď</w:t>
      </w:r>
      <w:r w:rsidRPr="00F77093">
        <w:rPr>
          <w:rFonts w:ascii="Times New Roman" w:hAnsi="Times New Roman" w:cs="Times New Roman"/>
          <w:sz w:val="24"/>
          <w:lang w:eastAsia="sk-SK"/>
        </w:rPr>
        <w:t xml:space="preserve">uje elektrine a teplu podiel spoločne vynaložených oprávnených nákladov kombinovanej výroby. </w:t>
      </w:r>
    </w:p>
    <w:p w14:paraId="557FE4B3" w14:textId="77777777" w:rsidR="00E43041" w:rsidRPr="00F77093" w:rsidRDefault="00E43041" w:rsidP="00F77093">
      <w:pPr>
        <w:jc w:val="both"/>
        <w:rPr>
          <w:rFonts w:ascii="Times New Roman" w:hAnsi="Times New Roman" w:cs="Times New Roman"/>
          <w:sz w:val="24"/>
          <w:lang w:eastAsia="sk-SK"/>
        </w:rPr>
      </w:pPr>
      <w:r w:rsidRPr="00F77093">
        <w:rPr>
          <w:rFonts w:ascii="Times New Roman" w:hAnsi="Times New Roman" w:cs="Times New Roman"/>
          <w:sz w:val="24"/>
          <w:lang w:eastAsia="sk-SK"/>
        </w:rPr>
        <w:t xml:space="preserve">Pri ekonomickom hodnotení možnosti uplatnenia vysoko účinnej kombinovanej výroby, technológiou spaľovací motor s palivom zemný plyn, bolo vykonané ekonomické hodnotenie </w:t>
      </w:r>
      <w:r w:rsidRPr="00F77093">
        <w:rPr>
          <w:rFonts w:ascii="Times New Roman" w:hAnsi="Times New Roman" w:cs="Times New Roman"/>
          <w:sz w:val="24"/>
          <w:lang w:eastAsia="sk-SK"/>
        </w:rPr>
        <w:lastRenderedPageBreak/>
        <w:t xml:space="preserve">s uplatnením delenia spoločných nákladov na výstavbu a prevádzku zariadenia kombinovanej výroby na elektrinu a teplo s použitím  tzv. obchodno - hodnotovej  (ekonomickej) metódy. Pri tejto metóde sa od celkových nákladov výrobcu elektriny kombinovanou výrobou odpočíta nákladový ekvivalent tržieb za elektrinu (predanú za trhových podmienok) a teplo je zaťažené rozdielom ostávajúcich nákladov. Keď takto určená cena je konkurencie schopná na trhu, potom sa výstavba zariadenia na kombinovanú výrobu oplatí.  V opačnom prípade sa môže realizovať KVET pre vlastnú spotrebu elektriny, alebo pri výstavbe využiť existujúce podporné mechanizmy (kvôli zníženiu fixných nákladov). </w:t>
      </w:r>
    </w:p>
    <w:p w14:paraId="26758F2E" w14:textId="2B067A43" w:rsidR="00E43041" w:rsidRPr="00F77093" w:rsidRDefault="00E43041" w:rsidP="00F77093">
      <w:pPr>
        <w:jc w:val="both"/>
        <w:rPr>
          <w:rFonts w:ascii="Times New Roman" w:hAnsi="Times New Roman" w:cs="Times New Roman"/>
          <w:sz w:val="24"/>
          <w:szCs w:val="24"/>
        </w:rPr>
      </w:pPr>
      <w:r w:rsidRPr="00F77093">
        <w:rPr>
          <w:rFonts w:ascii="Times New Roman" w:hAnsi="Times New Roman" w:cs="Times New Roman"/>
          <w:sz w:val="24"/>
          <w:szCs w:val="24"/>
          <w:lang w:eastAsia="sk-SK"/>
        </w:rPr>
        <w:t>Pri modelovaní vhodnosti uplatnenia kombinovanej výroby s </w:t>
      </w:r>
      <w:r w:rsidRPr="00EA16CC">
        <w:rPr>
          <w:rFonts w:ascii="Times New Roman" w:hAnsi="Times New Roman" w:cs="Times New Roman"/>
          <w:sz w:val="24"/>
          <w:szCs w:val="24"/>
          <w:lang w:eastAsia="sk-SK"/>
        </w:rPr>
        <w:t>technológi</w:t>
      </w:r>
      <w:r w:rsidR="00EA16CC" w:rsidRPr="00AF5415">
        <w:rPr>
          <w:rFonts w:ascii="Times New Roman" w:hAnsi="Times New Roman" w:cs="Times New Roman"/>
          <w:sz w:val="24"/>
          <w:szCs w:val="24"/>
          <w:lang w:eastAsia="sk-SK"/>
        </w:rPr>
        <w:t>o</w:t>
      </w:r>
      <w:r w:rsidRPr="00EA16CC">
        <w:rPr>
          <w:rFonts w:ascii="Times New Roman" w:hAnsi="Times New Roman" w:cs="Times New Roman"/>
          <w:sz w:val="24"/>
          <w:szCs w:val="24"/>
          <w:lang w:eastAsia="sk-SK"/>
        </w:rPr>
        <w:t>u spaľovací motor</w:t>
      </w:r>
      <w:r w:rsidRPr="00F77093">
        <w:rPr>
          <w:rFonts w:ascii="Times New Roman" w:hAnsi="Times New Roman" w:cs="Times New Roman"/>
          <w:sz w:val="24"/>
          <w:szCs w:val="24"/>
        </w:rPr>
        <w:t xml:space="preserve"> spaľujúci zemný plyn sa vychádzalo zo súčasných reálnych ekonomických faktorov</w:t>
      </w:r>
      <w:r w:rsidR="00EA16CC">
        <w:rPr>
          <w:rFonts w:ascii="Times New Roman" w:hAnsi="Times New Roman" w:cs="Times New Roman"/>
          <w:sz w:val="24"/>
          <w:szCs w:val="24"/>
        </w:rPr>
        <w:t>,</w:t>
      </w:r>
      <w:r w:rsidRPr="00F77093">
        <w:rPr>
          <w:rFonts w:ascii="Times New Roman" w:hAnsi="Times New Roman" w:cs="Times New Roman"/>
          <w:sz w:val="24"/>
          <w:szCs w:val="24"/>
        </w:rPr>
        <w:t xml:space="preserve"> z ktorých  významne sú najmä:</w:t>
      </w:r>
    </w:p>
    <w:p w14:paraId="07029D9F" w14:textId="77777777" w:rsidR="00E43041" w:rsidRPr="00F77093" w:rsidRDefault="00E43041" w:rsidP="007157D7">
      <w:pPr>
        <w:numPr>
          <w:ilvl w:val="0"/>
          <w:numId w:val="9"/>
        </w:numPr>
        <w:spacing w:after="0" w:line="276" w:lineRule="auto"/>
        <w:jc w:val="both"/>
        <w:rPr>
          <w:rFonts w:ascii="Times New Roman" w:hAnsi="Times New Roman" w:cs="Times New Roman"/>
          <w:sz w:val="24"/>
          <w:szCs w:val="24"/>
        </w:rPr>
      </w:pPr>
      <w:r w:rsidRPr="00F77093">
        <w:rPr>
          <w:rFonts w:ascii="Times New Roman" w:hAnsi="Times New Roman" w:cs="Times New Roman"/>
          <w:sz w:val="24"/>
          <w:szCs w:val="24"/>
        </w:rPr>
        <w:t>cena tepla na trhu s teplom,</w:t>
      </w:r>
    </w:p>
    <w:p w14:paraId="0A65A24C" w14:textId="77777777" w:rsidR="00E43041" w:rsidRPr="00F77093" w:rsidRDefault="00E43041" w:rsidP="007157D7">
      <w:pPr>
        <w:numPr>
          <w:ilvl w:val="0"/>
          <w:numId w:val="9"/>
        </w:numPr>
        <w:spacing w:after="0" w:line="276" w:lineRule="auto"/>
        <w:jc w:val="both"/>
        <w:rPr>
          <w:rFonts w:ascii="Times New Roman" w:hAnsi="Times New Roman" w:cs="Times New Roman"/>
          <w:sz w:val="24"/>
          <w:szCs w:val="24"/>
        </w:rPr>
      </w:pPr>
      <w:r w:rsidRPr="00F77093">
        <w:rPr>
          <w:rFonts w:ascii="Times New Roman" w:hAnsi="Times New Roman" w:cs="Times New Roman"/>
          <w:sz w:val="24"/>
          <w:szCs w:val="24"/>
        </w:rPr>
        <w:t>cena zemného plynu,</w:t>
      </w:r>
    </w:p>
    <w:p w14:paraId="781006A9" w14:textId="77777777" w:rsidR="00E43041" w:rsidRPr="00F77093" w:rsidRDefault="00E43041" w:rsidP="007157D7">
      <w:pPr>
        <w:numPr>
          <w:ilvl w:val="0"/>
          <w:numId w:val="9"/>
        </w:numPr>
        <w:spacing w:after="0" w:line="276" w:lineRule="auto"/>
        <w:jc w:val="both"/>
        <w:rPr>
          <w:rFonts w:ascii="Times New Roman" w:hAnsi="Times New Roman" w:cs="Times New Roman"/>
          <w:sz w:val="24"/>
          <w:szCs w:val="24"/>
        </w:rPr>
      </w:pPr>
      <w:r w:rsidRPr="00F77093">
        <w:rPr>
          <w:rFonts w:ascii="Times New Roman" w:hAnsi="Times New Roman" w:cs="Times New Roman"/>
          <w:sz w:val="24"/>
          <w:szCs w:val="24"/>
        </w:rPr>
        <w:t>výkupná cena elektriny,</w:t>
      </w:r>
    </w:p>
    <w:p w14:paraId="19DC856C" w14:textId="77777777" w:rsidR="00E43041" w:rsidRPr="00F77093" w:rsidRDefault="00E43041" w:rsidP="007157D7">
      <w:pPr>
        <w:numPr>
          <w:ilvl w:val="0"/>
          <w:numId w:val="9"/>
        </w:numPr>
        <w:spacing w:after="0" w:line="276" w:lineRule="auto"/>
        <w:jc w:val="both"/>
        <w:rPr>
          <w:rFonts w:ascii="Times New Roman" w:hAnsi="Times New Roman" w:cs="Times New Roman"/>
          <w:sz w:val="24"/>
          <w:szCs w:val="24"/>
        </w:rPr>
      </w:pPr>
      <w:r w:rsidRPr="00F77093">
        <w:rPr>
          <w:rFonts w:ascii="Times New Roman" w:hAnsi="Times New Roman" w:cs="Times New Roman"/>
          <w:sz w:val="24"/>
          <w:szCs w:val="24"/>
        </w:rPr>
        <w:t>investičné náklady na zariadenie kombinovanej výroby, spôsob financovania investície,</w:t>
      </w:r>
    </w:p>
    <w:p w14:paraId="3BF735A9" w14:textId="77777777" w:rsidR="00E43041" w:rsidRPr="00F77093" w:rsidRDefault="00E43041" w:rsidP="007157D7">
      <w:pPr>
        <w:numPr>
          <w:ilvl w:val="0"/>
          <w:numId w:val="9"/>
        </w:numPr>
        <w:spacing w:after="0" w:line="276" w:lineRule="auto"/>
        <w:jc w:val="both"/>
        <w:rPr>
          <w:rFonts w:ascii="Times New Roman" w:hAnsi="Times New Roman" w:cs="Times New Roman"/>
          <w:sz w:val="24"/>
          <w:szCs w:val="24"/>
        </w:rPr>
      </w:pPr>
      <w:r w:rsidRPr="00F77093">
        <w:rPr>
          <w:rFonts w:ascii="Times New Roman" w:hAnsi="Times New Roman" w:cs="Times New Roman"/>
          <w:sz w:val="24"/>
          <w:szCs w:val="24"/>
        </w:rPr>
        <w:t>prevádzkové parametre, najmä prevádzková účinnosť zariadenia,</w:t>
      </w:r>
    </w:p>
    <w:p w14:paraId="15D25B6E" w14:textId="77777777" w:rsidR="00E43041" w:rsidRPr="00F77093" w:rsidRDefault="00E43041" w:rsidP="007157D7">
      <w:pPr>
        <w:numPr>
          <w:ilvl w:val="0"/>
          <w:numId w:val="9"/>
        </w:numPr>
        <w:spacing w:after="0" w:line="276" w:lineRule="auto"/>
        <w:jc w:val="both"/>
        <w:rPr>
          <w:rFonts w:ascii="Times New Roman" w:hAnsi="Times New Roman" w:cs="Times New Roman"/>
          <w:sz w:val="24"/>
          <w:szCs w:val="24"/>
        </w:rPr>
      </w:pPr>
      <w:r w:rsidRPr="00F77093">
        <w:rPr>
          <w:rFonts w:ascii="Times New Roman" w:hAnsi="Times New Roman" w:cs="Times New Roman"/>
          <w:sz w:val="24"/>
          <w:szCs w:val="24"/>
        </w:rPr>
        <w:t>ročné využitie inštalovaného výkonu,</w:t>
      </w:r>
    </w:p>
    <w:p w14:paraId="420A45EE" w14:textId="77777777" w:rsidR="00E43041" w:rsidRPr="00F77093" w:rsidRDefault="00E43041" w:rsidP="007157D7">
      <w:pPr>
        <w:numPr>
          <w:ilvl w:val="0"/>
          <w:numId w:val="9"/>
        </w:numPr>
        <w:spacing w:after="0" w:line="276" w:lineRule="auto"/>
        <w:jc w:val="both"/>
        <w:rPr>
          <w:rFonts w:ascii="Times New Roman" w:hAnsi="Times New Roman" w:cs="Times New Roman"/>
          <w:sz w:val="24"/>
          <w:szCs w:val="24"/>
        </w:rPr>
      </w:pPr>
      <w:r w:rsidRPr="00F77093">
        <w:rPr>
          <w:rFonts w:ascii="Times New Roman" w:hAnsi="Times New Roman" w:cs="Times New Roman"/>
          <w:sz w:val="24"/>
          <w:szCs w:val="24"/>
        </w:rPr>
        <w:t>prevádzkové špecifické náklady.</w:t>
      </w:r>
    </w:p>
    <w:p w14:paraId="1F29936E" w14:textId="77777777" w:rsidR="00E43041" w:rsidRPr="00F77093" w:rsidRDefault="00E43041" w:rsidP="00E43041">
      <w:pPr>
        <w:pStyle w:val="Zkladntext"/>
        <w:tabs>
          <w:tab w:val="left" w:pos="1440"/>
        </w:tabs>
        <w:spacing w:after="0" w:line="240" w:lineRule="auto"/>
        <w:rPr>
          <w:rFonts w:ascii="Times New Roman" w:hAnsi="Times New Roman" w:cs="Times New Roman"/>
          <w:sz w:val="24"/>
          <w:szCs w:val="24"/>
          <w:lang w:eastAsia="sk-SK"/>
        </w:rPr>
      </w:pPr>
    </w:p>
    <w:p w14:paraId="19099FE1" w14:textId="77777777" w:rsidR="00E43041" w:rsidRPr="00F77093" w:rsidRDefault="00E43041" w:rsidP="00E43041">
      <w:pPr>
        <w:pStyle w:val="Zkladntext"/>
        <w:tabs>
          <w:tab w:val="left" w:pos="1440"/>
        </w:tabs>
        <w:spacing w:after="0" w:line="240" w:lineRule="auto"/>
        <w:jc w:val="both"/>
        <w:rPr>
          <w:rFonts w:ascii="Times New Roman" w:hAnsi="Times New Roman" w:cs="Times New Roman"/>
          <w:bCs/>
          <w:color w:val="000000"/>
          <w:sz w:val="24"/>
          <w:szCs w:val="24"/>
        </w:rPr>
      </w:pPr>
      <w:r w:rsidRPr="00F77093">
        <w:rPr>
          <w:rFonts w:ascii="Times New Roman" w:hAnsi="Times New Roman" w:cs="Times New Roman"/>
          <w:sz w:val="24"/>
          <w:szCs w:val="24"/>
          <w:lang w:eastAsia="sk-SK"/>
        </w:rPr>
        <w:t xml:space="preserve">Podrobnejší postup je uvedený v samostatnom dokumente. </w:t>
      </w:r>
      <w:r w:rsidRPr="00F77093">
        <w:rPr>
          <w:rStyle w:val="Odkaznapoznmkupodiarou"/>
          <w:rFonts w:ascii="Times New Roman" w:hAnsi="Times New Roman" w:cs="Times New Roman"/>
          <w:sz w:val="24"/>
          <w:szCs w:val="24"/>
          <w:lang w:eastAsia="sk-SK"/>
        </w:rPr>
        <w:footnoteReference w:id="37"/>
      </w:r>
    </w:p>
    <w:p w14:paraId="21474811" w14:textId="77777777" w:rsidR="00E43041" w:rsidRPr="009F2998" w:rsidRDefault="00E43041" w:rsidP="00E43041">
      <w:pPr>
        <w:rPr>
          <w:rFonts w:ascii="Times New Roman" w:hAnsi="Times New Roman" w:cs="Times New Roman"/>
          <w:lang w:eastAsia="sk-SK"/>
        </w:rPr>
      </w:pPr>
    </w:p>
    <w:p w14:paraId="46A47909" w14:textId="77777777" w:rsidR="00E43041" w:rsidRPr="000578FE" w:rsidRDefault="00E43041" w:rsidP="007157D7">
      <w:pPr>
        <w:pStyle w:val="Nadpis3"/>
        <w:keepNext w:val="0"/>
        <w:keepLines w:val="0"/>
        <w:numPr>
          <w:ilvl w:val="2"/>
          <w:numId w:val="16"/>
        </w:numPr>
        <w:ind w:left="1276" w:hanging="567"/>
        <w:rPr>
          <w:rFonts w:ascii="Times New Roman" w:hAnsi="Times New Roman" w:cs="Times New Roman"/>
          <w:color w:val="auto"/>
        </w:rPr>
      </w:pPr>
      <w:r w:rsidRPr="000578FE">
        <w:rPr>
          <w:rFonts w:ascii="Times New Roman" w:hAnsi="Times New Roman" w:cs="Times New Roman"/>
          <w:color w:val="auto"/>
        </w:rPr>
        <w:t xml:space="preserve"> </w:t>
      </w:r>
      <w:bookmarkStart w:id="114" w:name="_Toc480547285"/>
      <w:r w:rsidRPr="000578FE">
        <w:rPr>
          <w:rFonts w:ascii="Times New Roman" w:hAnsi="Times New Roman" w:cs="Times New Roman"/>
          <w:color w:val="auto"/>
        </w:rPr>
        <w:t>Ďalšie opatrenia na efektívne vykurovanie a chladenie (článok 14 SEE)</w:t>
      </w:r>
      <w:bookmarkEnd w:id="114"/>
    </w:p>
    <w:p w14:paraId="2EC42556" w14:textId="77777777" w:rsidR="00E43041" w:rsidRPr="009F2998" w:rsidRDefault="00E43041" w:rsidP="00E43041">
      <w:pPr>
        <w:jc w:val="both"/>
        <w:rPr>
          <w:rFonts w:ascii="Times New Roman" w:hAnsi="Times New Roman" w:cs="Times New Roman"/>
        </w:rPr>
      </w:pPr>
    </w:p>
    <w:p w14:paraId="35D930A1" w14:textId="248E00B0" w:rsidR="00E43041" w:rsidRPr="00F77093" w:rsidRDefault="00E43041" w:rsidP="00E43041">
      <w:pPr>
        <w:jc w:val="both"/>
        <w:rPr>
          <w:rFonts w:ascii="Times New Roman" w:hAnsi="Times New Roman" w:cs="Times New Roman"/>
          <w:sz w:val="24"/>
        </w:rPr>
      </w:pPr>
      <w:r w:rsidRPr="00F77093">
        <w:rPr>
          <w:rFonts w:ascii="Times New Roman" w:hAnsi="Times New Roman" w:cs="Times New Roman"/>
          <w:sz w:val="24"/>
        </w:rPr>
        <w:t>Novelizáciou zákona č. 657/2004 Z . z. o tepelnej energetike zákonom č. 100/2014 Z. z. bolo rozšírené povinné posúdenie dopadu výstavby nových zariadení na výrobu tepla na prevádzku existujúcich účinných systémov CZT a v prípade negatívneho dopadu za podmienok uvedených v zákone príslušný orgán, ktorým je obec alebo MH SR</w:t>
      </w:r>
      <w:r w:rsidR="00742DEE">
        <w:rPr>
          <w:rFonts w:ascii="Times New Roman" w:hAnsi="Times New Roman" w:cs="Times New Roman"/>
          <w:sz w:val="24"/>
        </w:rPr>
        <w:t>,</w:t>
      </w:r>
      <w:r w:rsidRPr="00F77093">
        <w:rPr>
          <w:rFonts w:ascii="Times New Roman" w:hAnsi="Times New Roman" w:cs="Times New Roman"/>
          <w:sz w:val="24"/>
        </w:rPr>
        <w:t xml:space="preserve"> povolenie na výstavbu nevydá. </w:t>
      </w:r>
    </w:p>
    <w:p w14:paraId="682B68E7" w14:textId="4A2B2BC1" w:rsidR="00E43041" w:rsidRPr="00314FCB" w:rsidRDefault="00E43041" w:rsidP="00E43041">
      <w:pPr>
        <w:jc w:val="both"/>
        <w:rPr>
          <w:rFonts w:ascii="Times New Roman" w:hAnsi="Times New Roman" w:cs="Times New Roman"/>
          <w:sz w:val="24"/>
        </w:rPr>
      </w:pPr>
      <w:r w:rsidRPr="00F77093">
        <w:rPr>
          <w:rFonts w:ascii="Times New Roman" w:hAnsi="Times New Roman" w:cs="Times New Roman"/>
          <w:sz w:val="24"/>
        </w:rPr>
        <w:t>Od roku 2014 majú obce, v ktorých sa prevádzkuje verejný rozvod tepla</w:t>
      </w:r>
      <w:r w:rsidR="00742DEE">
        <w:rPr>
          <w:rFonts w:ascii="Times New Roman" w:hAnsi="Times New Roman" w:cs="Times New Roman"/>
          <w:sz w:val="24"/>
        </w:rPr>
        <w:t>,</w:t>
      </w:r>
      <w:r w:rsidRPr="00F77093">
        <w:rPr>
          <w:rFonts w:ascii="Times New Roman" w:hAnsi="Times New Roman" w:cs="Times New Roman"/>
          <w:sz w:val="24"/>
        </w:rPr>
        <w:t xml:space="preserve"> povinnosť zabezpečiť aktualizáciu rozvoja obce v oblasti tepelnej energetiky</w:t>
      </w:r>
      <w:r w:rsidR="00742DEE">
        <w:rPr>
          <w:rFonts w:ascii="Times New Roman" w:hAnsi="Times New Roman" w:cs="Times New Roman"/>
          <w:sz w:val="24"/>
        </w:rPr>
        <w:t>,</w:t>
      </w:r>
      <w:r w:rsidRPr="00F77093">
        <w:rPr>
          <w:rFonts w:ascii="Times New Roman" w:hAnsi="Times New Roman" w:cs="Times New Roman"/>
          <w:sz w:val="24"/>
        </w:rPr>
        <w:t xml:space="preserve"> a to najneskôr do 5 rokov od nadobudnutia účinnosti zákona č. 100/2014 Z. z. V </w:t>
      </w:r>
      <w:r w:rsidRPr="00314FCB">
        <w:rPr>
          <w:rFonts w:ascii="Times New Roman" w:hAnsi="Times New Roman" w:cs="Times New Roman"/>
          <w:sz w:val="24"/>
        </w:rPr>
        <w:t xml:space="preserve">koncepcii je potrebné jasne definovať lokálne ciele pre systémy CZT. </w:t>
      </w:r>
    </w:p>
    <w:p w14:paraId="64644CA5" w14:textId="77777777" w:rsidR="00E43041" w:rsidRPr="00F77093" w:rsidRDefault="00E43041" w:rsidP="00E43041">
      <w:pPr>
        <w:jc w:val="both"/>
        <w:rPr>
          <w:rFonts w:ascii="Times New Roman" w:hAnsi="Times New Roman" w:cs="Times New Roman"/>
          <w:sz w:val="24"/>
        </w:rPr>
      </w:pPr>
      <w:r w:rsidRPr="00314FCB">
        <w:rPr>
          <w:rFonts w:ascii="Times New Roman" w:hAnsi="Times New Roman" w:cs="Times New Roman"/>
          <w:sz w:val="24"/>
        </w:rPr>
        <w:t>V prípade subjektov, ktoré využijú financovanie z OP KŽP na vypracovanie lokálnych nízkouhlíkových stratégií</w:t>
      </w:r>
      <w:r w:rsidRPr="00314FCB">
        <w:rPr>
          <w:rStyle w:val="Odkaznapoznmkupodiarou"/>
          <w:rFonts w:ascii="Times New Roman" w:hAnsi="Times New Roman" w:cs="Times New Roman"/>
          <w:sz w:val="24"/>
        </w:rPr>
        <w:footnoteReference w:id="38"/>
      </w:r>
      <w:r w:rsidRPr="00314FCB">
        <w:rPr>
          <w:rFonts w:ascii="Times New Roman" w:hAnsi="Times New Roman" w:cs="Times New Roman"/>
          <w:sz w:val="24"/>
        </w:rPr>
        <w:t xml:space="preserve"> je oblasť rozvoja tepelnej energetiky povinnou súčasťou stratégie</w:t>
      </w:r>
      <w:r w:rsidRPr="00F77093">
        <w:rPr>
          <w:rFonts w:ascii="Times New Roman" w:hAnsi="Times New Roman" w:cs="Times New Roman"/>
          <w:sz w:val="24"/>
        </w:rPr>
        <w:t>.</w:t>
      </w:r>
    </w:p>
    <w:p w14:paraId="76DD30E7" w14:textId="77777777" w:rsidR="00E43041" w:rsidRPr="00F77093" w:rsidRDefault="00E43041" w:rsidP="00E43041">
      <w:pPr>
        <w:jc w:val="both"/>
        <w:rPr>
          <w:rFonts w:ascii="Times New Roman" w:hAnsi="Times New Roman" w:cs="Times New Roman"/>
          <w:sz w:val="24"/>
        </w:rPr>
      </w:pPr>
      <w:r w:rsidRPr="00F77093">
        <w:rPr>
          <w:rFonts w:ascii="Times New Roman" w:hAnsi="Times New Roman" w:cs="Times New Roman"/>
          <w:sz w:val="24"/>
        </w:rPr>
        <w:t xml:space="preserve">Pre ďalší rozvoj účinných systémov CZT bolo zabezpečené financovanie z EŠIF programového obdobia 2014-2020 pre výstavbu a rekonštrukciu zariadení na využívanie OZE, zariadení na vysokoúčinnú KVET a rozvodov tepla s cieľom zvýšiť počet účinných systémov CZT </w:t>
      </w:r>
      <w:r w:rsidRPr="00F77093">
        <w:rPr>
          <w:rFonts w:ascii="Times New Roman" w:hAnsi="Times New Roman" w:cs="Times New Roman"/>
          <w:sz w:val="24"/>
        </w:rPr>
        <w:lastRenderedPageBreak/>
        <w:t>a prispôsobením rozvodov tepla súčasnému dopytu po využiteľnom teple zvýšiť aj účinnosť distribúcie tepla.</w:t>
      </w:r>
      <w:r w:rsidRPr="00F77093">
        <w:rPr>
          <w:rStyle w:val="Odkaznapoznmkupodiarou"/>
          <w:rFonts w:ascii="Times New Roman" w:hAnsi="Times New Roman" w:cs="Times New Roman"/>
          <w:sz w:val="24"/>
        </w:rPr>
        <w:footnoteReference w:id="39"/>
      </w:r>
    </w:p>
    <w:p w14:paraId="11E6FABA" w14:textId="77777777" w:rsidR="00845D05" w:rsidRPr="009F2998" w:rsidRDefault="00845D05" w:rsidP="00E43041">
      <w:pPr>
        <w:jc w:val="both"/>
        <w:rPr>
          <w:rFonts w:ascii="Times New Roman" w:hAnsi="Times New Roman" w:cs="Times New Roman"/>
        </w:rPr>
      </w:pPr>
    </w:p>
    <w:p w14:paraId="485B6884" w14:textId="77777777" w:rsidR="001D5205" w:rsidRPr="000578FE" w:rsidRDefault="001D5205" w:rsidP="007157D7">
      <w:pPr>
        <w:pStyle w:val="Nadpis2"/>
        <w:numPr>
          <w:ilvl w:val="1"/>
          <w:numId w:val="16"/>
        </w:numPr>
        <w:rPr>
          <w:rFonts w:ascii="Times New Roman" w:hAnsi="Times New Roman" w:cs="Times New Roman"/>
          <w:color w:val="auto"/>
        </w:rPr>
      </w:pPr>
      <w:bookmarkStart w:id="115" w:name="_Toc480547286"/>
      <w:r w:rsidRPr="000578FE">
        <w:rPr>
          <w:rFonts w:ascii="Times New Roman" w:hAnsi="Times New Roman" w:cs="Times New Roman"/>
          <w:color w:val="auto"/>
        </w:rPr>
        <w:t>Premena, prenos a distribúcia energie a reakcia strany spotreby</w:t>
      </w:r>
      <w:bookmarkEnd w:id="115"/>
    </w:p>
    <w:p w14:paraId="22508939" w14:textId="77777777" w:rsidR="00A06490" w:rsidRPr="009F2998" w:rsidRDefault="00A06490" w:rsidP="007577DE">
      <w:pPr>
        <w:spacing w:after="120" w:line="240" w:lineRule="auto"/>
        <w:jc w:val="both"/>
        <w:rPr>
          <w:rFonts w:ascii="Times New Roman" w:hAnsi="Times New Roman" w:cs="Times New Roman"/>
        </w:rPr>
      </w:pPr>
    </w:p>
    <w:p w14:paraId="74E6F555" w14:textId="0009F97E" w:rsidR="00082206" w:rsidRPr="00F77093" w:rsidRDefault="00082206" w:rsidP="000578FE">
      <w:pPr>
        <w:spacing w:after="120" w:line="240" w:lineRule="auto"/>
        <w:jc w:val="both"/>
        <w:rPr>
          <w:rFonts w:ascii="Times New Roman" w:hAnsi="Times New Roman" w:cs="Times New Roman"/>
          <w:sz w:val="24"/>
        </w:rPr>
      </w:pPr>
      <w:r w:rsidRPr="00F77093">
        <w:rPr>
          <w:rFonts w:ascii="Times New Roman" w:hAnsi="Times New Roman" w:cs="Times New Roman"/>
          <w:sz w:val="24"/>
        </w:rPr>
        <w:t xml:space="preserve">Posúdenie energetickej efektívnosti elektroenergetickej a plynárenskej infraštruktúry je </w:t>
      </w:r>
      <w:r w:rsidR="00031AC9">
        <w:rPr>
          <w:rFonts w:ascii="Times New Roman" w:hAnsi="Times New Roman" w:cs="Times New Roman"/>
          <w:sz w:val="24"/>
        </w:rPr>
        <w:t xml:space="preserve">zavedené </w:t>
      </w:r>
      <w:r w:rsidR="00235E26" w:rsidRPr="007577DE">
        <w:rPr>
          <w:rFonts w:ascii="Times New Roman" w:hAnsi="Times New Roman" w:cs="Times New Roman"/>
          <w:sz w:val="24"/>
        </w:rPr>
        <w:t xml:space="preserve">formou </w:t>
      </w:r>
      <w:r w:rsidR="00571A49" w:rsidRPr="007577DE">
        <w:rPr>
          <w:rFonts w:ascii="Times New Roman" w:hAnsi="Times New Roman" w:cs="Times New Roman"/>
          <w:sz w:val="24"/>
        </w:rPr>
        <w:t xml:space="preserve">povinnosti </w:t>
      </w:r>
      <w:r w:rsidR="00235E26" w:rsidRPr="007577DE">
        <w:rPr>
          <w:rFonts w:ascii="Times New Roman" w:hAnsi="Times New Roman" w:cs="Times New Roman"/>
          <w:sz w:val="24"/>
        </w:rPr>
        <w:t xml:space="preserve">pre jednotlivých účastníkov trhu, ktorí podnikajú v súlade s požiadavkami zákona č. 251/2012 Z. z. o energetike v oblasti elektroenergetiky a plynárenstva a prevádzkujú elektroenergetickú </w:t>
      </w:r>
      <w:r w:rsidR="0098537F" w:rsidRPr="007577DE">
        <w:rPr>
          <w:rFonts w:ascii="Times New Roman" w:hAnsi="Times New Roman" w:cs="Times New Roman"/>
          <w:sz w:val="24"/>
        </w:rPr>
        <w:t xml:space="preserve">alebo </w:t>
      </w:r>
      <w:r w:rsidR="00235E26" w:rsidRPr="007577DE">
        <w:rPr>
          <w:rFonts w:ascii="Times New Roman" w:hAnsi="Times New Roman" w:cs="Times New Roman"/>
          <w:sz w:val="24"/>
        </w:rPr>
        <w:t>plynárenskú infraštruktúru</w:t>
      </w:r>
      <w:r w:rsidR="001E72B7">
        <w:rPr>
          <w:rFonts w:ascii="Times New Roman" w:hAnsi="Times New Roman" w:cs="Times New Roman"/>
          <w:sz w:val="24"/>
        </w:rPr>
        <w:t xml:space="preserve">. </w:t>
      </w:r>
    </w:p>
    <w:p w14:paraId="3D662EAF" w14:textId="77777777" w:rsidR="001E72B7" w:rsidRDefault="001E72B7" w:rsidP="00082206">
      <w:pPr>
        <w:jc w:val="both"/>
        <w:rPr>
          <w:rFonts w:ascii="Times New Roman" w:hAnsi="Times New Roman" w:cs="Times New Roman"/>
          <w:b/>
          <w:bCs/>
          <w:sz w:val="24"/>
        </w:rPr>
      </w:pPr>
    </w:p>
    <w:p w14:paraId="5B5EA8CD" w14:textId="57B8DB34" w:rsidR="00082206" w:rsidRPr="00F77093" w:rsidRDefault="00082206" w:rsidP="00AF5415">
      <w:pPr>
        <w:rPr>
          <w:rFonts w:ascii="Times New Roman" w:hAnsi="Times New Roman" w:cs="Times New Roman"/>
          <w:b/>
          <w:bCs/>
          <w:sz w:val="24"/>
        </w:rPr>
      </w:pPr>
      <w:r w:rsidRPr="00F77093">
        <w:rPr>
          <w:rFonts w:ascii="Times New Roman" w:hAnsi="Times New Roman" w:cs="Times New Roman"/>
          <w:b/>
          <w:bCs/>
          <w:sz w:val="24"/>
        </w:rPr>
        <w:t>Elektroenergetika</w:t>
      </w:r>
    </w:p>
    <w:p w14:paraId="597EA21A" w14:textId="2E40C614" w:rsidR="00082206" w:rsidRPr="00F77093" w:rsidRDefault="00082206" w:rsidP="00082206">
      <w:pPr>
        <w:jc w:val="both"/>
        <w:rPr>
          <w:rFonts w:ascii="Times New Roman" w:hAnsi="Times New Roman" w:cs="Times New Roman"/>
          <w:sz w:val="24"/>
        </w:rPr>
      </w:pPr>
      <w:r w:rsidRPr="00F77093">
        <w:rPr>
          <w:rFonts w:ascii="Times New Roman" w:hAnsi="Times New Roman" w:cs="Times New Roman"/>
          <w:sz w:val="24"/>
        </w:rPr>
        <w:t>V oblasti elektroenergetiky boli hodnot</w:t>
      </w:r>
      <w:r w:rsidR="005577F9" w:rsidRPr="00F77093">
        <w:rPr>
          <w:rFonts w:ascii="Times New Roman" w:hAnsi="Times New Roman" w:cs="Times New Roman"/>
          <w:sz w:val="24"/>
        </w:rPr>
        <w:t>e</w:t>
      </w:r>
      <w:r w:rsidRPr="00F77093">
        <w:rPr>
          <w:rFonts w:ascii="Times New Roman" w:hAnsi="Times New Roman" w:cs="Times New Roman"/>
          <w:sz w:val="24"/>
        </w:rPr>
        <w:t xml:space="preserve">né potenciály energetickej efektívnosti prevádzkovateľa prenosovej sústavy a prevádzkovateľov distribučných sústav. Hodnotenie vykonali subjekty, ktoré sa podieľajú na prevádzke prenosovej sústavy a distribučných sústav. </w:t>
      </w:r>
    </w:p>
    <w:p w14:paraId="6A1DB348" w14:textId="6DA750EE" w:rsidR="00082206" w:rsidRPr="00F77093" w:rsidRDefault="00082206" w:rsidP="00082206">
      <w:pPr>
        <w:jc w:val="both"/>
        <w:rPr>
          <w:rFonts w:ascii="Times New Roman" w:hAnsi="Times New Roman" w:cs="Times New Roman"/>
          <w:sz w:val="24"/>
        </w:rPr>
      </w:pPr>
      <w:r w:rsidRPr="00F77093">
        <w:rPr>
          <w:rFonts w:ascii="Times New Roman" w:hAnsi="Times New Roman" w:cs="Times New Roman"/>
          <w:sz w:val="24"/>
        </w:rPr>
        <w:t>Prevádzkovateľ prenosovej sústavy, spoločnosť Slovenská elektrizačná prenosová sústava, a.</w:t>
      </w:r>
      <w:r w:rsidR="00AB502F" w:rsidRPr="00F77093">
        <w:rPr>
          <w:rFonts w:ascii="Times New Roman" w:hAnsi="Times New Roman" w:cs="Times New Roman"/>
          <w:sz w:val="24"/>
        </w:rPr>
        <w:t> </w:t>
      </w:r>
      <w:r w:rsidRPr="00F77093">
        <w:rPr>
          <w:rFonts w:ascii="Times New Roman" w:hAnsi="Times New Roman" w:cs="Times New Roman"/>
          <w:sz w:val="24"/>
        </w:rPr>
        <w:t xml:space="preserve">s. (SEPS) sa dlhodobo zaoberá opatreniami na zlepšenie energetickej efektívnosti a dosiahnutie úspor, pričom ale ako primárny cieľ zohľadňuje zabezpečenie bezpečnosti a spoľahlivosti dodávok  elektriny na vymedzenom území a plnenie medzinárodných záväzkov vyplývajúcich z členstva v ENTSOE. SEPS plánuje a realizuje investičné projekty tak, aby bola zabezpečená postupná obmena morálne a technicky zastaraných zariadení, boli zabezpečené znížené náklady na prevádzku a údržbu nových </w:t>
      </w:r>
      <w:r w:rsidR="00AB502F" w:rsidRPr="00F77093">
        <w:rPr>
          <w:rFonts w:ascii="Times New Roman" w:hAnsi="Times New Roman" w:cs="Times New Roman"/>
          <w:sz w:val="24"/>
        </w:rPr>
        <w:t xml:space="preserve">zariadení </w:t>
      </w:r>
      <w:r w:rsidRPr="00F77093">
        <w:rPr>
          <w:rFonts w:ascii="Times New Roman" w:hAnsi="Times New Roman" w:cs="Times New Roman"/>
          <w:sz w:val="24"/>
        </w:rPr>
        <w:t>a zvyšovala sa ekonomick</w:t>
      </w:r>
      <w:r w:rsidR="00AB502F" w:rsidRPr="00F77093">
        <w:rPr>
          <w:rFonts w:ascii="Times New Roman" w:hAnsi="Times New Roman" w:cs="Times New Roman"/>
          <w:sz w:val="24"/>
        </w:rPr>
        <w:t>á efektívnosť</w:t>
      </w:r>
      <w:r w:rsidRPr="00F77093">
        <w:rPr>
          <w:rFonts w:ascii="Times New Roman" w:hAnsi="Times New Roman" w:cs="Times New Roman"/>
          <w:sz w:val="24"/>
        </w:rPr>
        <w:t>. V rámci rozvoja sú uvádzané do prevádzky nové elektrické stanice.</w:t>
      </w:r>
    </w:p>
    <w:p w14:paraId="1073CA52" w14:textId="46D8B0FF" w:rsidR="00082206" w:rsidRPr="00F77093" w:rsidRDefault="00082206" w:rsidP="00082206">
      <w:pPr>
        <w:jc w:val="both"/>
        <w:rPr>
          <w:rFonts w:ascii="Times New Roman" w:hAnsi="Times New Roman" w:cs="Times New Roman"/>
          <w:sz w:val="24"/>
        </w:rPr>
      </w:pPr>
      <w:r w:rsidRPr="00F77093">
        <w:rPr>
          <w:rFonts w:ascii="Times New Roman" w:hAnsi="Times New Roman" w:cs="Times New Roman"/>
          <w:sz w:val="24"/>
        </w:rPr>
        <w:t xml:space="preserve">Je však potrebné </w:t>
      </w:r>
      <w:r w:rsidR="00AB502F" w:rsidRPr="00F77093">
        <w:rPr>
          <w:rFonts w:ascii="Times New Roman" w:hAnsi="Times New Roman" w:cs="Times New Roman"/>
          <w:sz w:val="24"/>
        </w:rPr>
        <w:t>zdôrazniť</w:t>
      </w:r>
      <w:r w:rsidRPr="00F77093">
        <w:rPr>
          <w:rFonts w:ascii="Times New Roman" w:hAnsi="Times New Roman" w:cs="Times New Roman"/>
          <w:sz w:val="24"/>
        </w:rPr>
        <w:t xml:space="preserve">, že je len obmedzená možnosť vplývať na straty na vedeniach, nakoľko tranzitné toky, ktoré sú spôsobené prepojením trhov v rámci Európy, sú mimo aktívneho dosahu. Navyše v súčasnosti prideľovaný systém kapacitných práv nezabezpečuje súlad obchodných a fyzikálnych tokov na cezhraničných profiloch a cez prenosovú sústavu SR. </w:t>
      </w:r>
    </w:p>
    <w:p w14:paraId="45255440" w14:textId="742B4A4B" w:rsidR="00082206" w:rsidRPr="00F77093" w:rsidRDefault="00082206" w:rsidP="00082206">
      <w:pPr>
        <w:jc w:val="both"/>
        <w:rPr>
          <w:rFonts w:ascii="Times New Roman" w:hAnsi="Times New Roman" w:cs="Times New Roman"/>
          <w:sz w:val="24"/>
        </w:rPr>
      </w:pPr>
      <w:r w:rsidRPr="00F77093">
        <w:rPr>
          <w:rFonts w:ascii="Times New Roman" w:hAnsi="Times New Roman" w:cs="Times New Roman"/>
          <w:sz w:val="24"/>
        </w:rPr>
        <w:t>Aj napriek tomu je zo strany SEPS vyvíjaná snah</w:t>
      </w:r>
      <w:r w:rsidR="00AB502F" w:rsidRPr="00F77093">
        <w:rPr>
          <w:rFonts w:ascii="Times New Roman" w:hAnsi="Times New Roman" w:cs="Times New Roman"/>
          <w:sz w:val="24"/>
        </w:rPr>
        <w:t xml:space="preserve">a </w:t>
      </w:r>
      <w:r w:rsidRPr="00F77093">
        <w:rPr>
          <w:rFonts w:ascii="Times New Roman" w:hAnsi="Times New Roman" w:cs="Times New Roman"/>
          <w:sz w:val="24"/>
        </w:rPr>
        <w:t>na znižovanie strát tým, že sú budované nové vedenia a obnovované staršie tak, aby bol zabezpečený pokles impedancie  pri prenose. Ďalším príspevkom pre znižovanie strát je postupné odstavovanie 220 kV systému a jeho náhrada 400 kV systémo</w:t>
      </w:r>
      <w:r w:rsidR="00AB502F" w:rsidRPr="00F77093">
        <w:rPr>
          <w:rFonts w:ascii="Times New Roman" w:hAnsi="Times New Roman" w:cs="Times New Roman"/>
          <w:sz w:val="24"/>
        </w:rPr>
        <w:t>m</w:t>
      </w:r>
      <w:r w:rsidRPr="00F77093">
        <w:rPr>
          <w:rFonts w:ascii="Times New Roman" w:hAnsi="Times New Roman" w:cs="Times New Roman"/>
          <w:sz w:val="24"/>
        </w:rPr>
        <w:t xml:space="preserve">, čo tiež pozitívne vplýva na </w:t>
      </w:r>
      <w:r w:rsidR="00AB502F" w:rsidRPr="00F77093">
        <w:rPr>
          <w:rFonts w:ascii="Times New Roman" w:hAnsi="Times New Roman" w:cs="Times New Roman"/>
          <w:sz w:val="24"/>
        </w:rPr>
        <w:t xml:space="preserve">znižovanie </w:t>
      </w:r>
      <w:r w:rsidRPr="00F77093">
        <w:rPr>
          <w:rFonts w:ascii="Times New Roman" w:hAnsi="Times New Roman" w:cs="Times New Roman"/>
          <w:sz w:val="24"/>
        </w:rPr>
        <w:t xml:space="preserve">strát v sústave. </w:t>
      </w:r>
    </w:p>
    <w:p w14:paraId="441DF863" w14:textId="759F8402" w:rsidR="00082206" w:rsidRPr="00F77093" w:rsidRDefault="00082206" w:rsidP="00082206">
      <w:pPr>
        <w:jc w:val="both"/>
        <w:rPr>
          <w:rFonts w:ascii="Times New Roman" w:hAnsi="Times New Roman" w:cs="Times New Roman"/>
          <w:sz w:val="24"/>
        </w:rPr>
      </w:pPr>
      <w:r w:rsidRPr="00F77093">
        <w:rPr>
          <w:rFonts w:ascii="Times New Roman" w:hAnsi="Times New Roman" w:cs="Times New Roman"/>
          <w:sz w:val="24"/>
        </w:rPr>
        <w:t xml:space="preserve">Energetická účinnosť prenosu elektriny sa hodnotí na základe ročných bilančných údajov za prenosovú sústavu.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240"/>
        <w:gridCol w:w="3071"/>
      </w:tblGrid>
      <w:tr w:rsidR="00082206" w:rsidRPr="009F2998" w14:paraId="446AABB6" w14:textId="59D92183" w:rsidTr="00116B48">
        <w:tc>
          <w:tcPr>
            <w:tcW w:w="2268" w:type="dxa"/>
          </w:tcPr>
          <w:p w14:paraId="4CCEBF56" w14:textId="03982BF4"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Rok</w:t>
            </w:r>
          </w:p>
        </w:tc>
        <w:tc>
          <w:tcPr>
            <w:tcW w:w="3240" w:type="dxa"/>
          </w:tcPr>
          <w:p w14:paraId="328F2A1F" w14:textId="7FDAE06A"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Prenesená elektrina (GWh)</w:t>
            </w:r>
          </w:p>
        </w:tc>
        <w:tc>
          <w:tcPr>
            <w:tcW w:w="3071" w:type="dxa"/>
          </w:tcPr>
          <w:p w14:paraId="394FC5F9" w14:textId="0AE04C3B"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Podiel strát na prenesenej elektrine (%)</w:t>
            </w:r>
          </w:p>
        </w:tc>
      </w:tr>
      <w:tr w:rsidR="00082206" w:rsidRPr="009F2998" w14:paraId="39A3CEFF" w14:textId="25AB1F3A" w:rsidTr="00116B48">
        <w:tc>
          <w:tcPr>
            <w:tcW w:w="2268" w:type="dxa"/>
          </w:tcPr>
          <w:p w14:paraId="4B4A3F2E" w14:textId="79E793A0"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2012</w:t>
            </w:r>
          </w:p>
        </w:tc>
        <w:tc>
          <w:tcPr>
            <w:tcW w:w="3240" w:type="dxa"/>
          </w:tcPr>
          <w:p w14:paraId="7A66AE49" w14:textId="441756B0"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29314,204</w:t>
            </w:r>
          </w:p>
        </w:tc>
        <w:tc>
          <w:tcPr>
            <w:tcW w:w="3071" w:type="dxa"/>
          </w:tcPr>
          <w:p w14:paraId="503919E9" w14:textId="4E6577A0"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1,125</w:t>
            </w:r>
          </w:p>
        </w:tc>
      </w:tr>
      <w:tr w:rsidR="00082206" w:rsidRPr="009F2998" w14:paraId="0923F947" w14:textId="54B7766C" w:rsidTr="00116B48">
        <w:tc>
          <w:tcPr>
            <w:tcW w:w="2268" w:type="dxa"/>
          </w:tcPr>
          <w:p w14:paraId="5C48CDD3" w14:textId="30D9AF57"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2013</w:t>
            </w:r>
          </w:p>
        </w:tc>
        <w:tc>
          <w:tcPr>
            <w:tcW w:w="3240" w:type="dxa"/>
          </w:tcPr>
          <w:p w14:paraId="700CF28A" w14:textId="17FD01CA"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28276,81</w:t>
            </w:r>
            <w:r w:rsidR="00475C3F">
              <w:rPr>
                <w:rFonts w:ascii="Times New Roman" w:hAnsi="Times New Roman" w:cs="Times New Roman"/>
              </w:rPr>
              <w:t>0</w:t>
            </w:r>
          </w:p>
        </w:tc>
        <w:tc>
          <w:tcPr>
            <w:tcW w:w="3071" w:type="dxa"/>
          </w:tcPr>
          <w:p w14:paraId="3BC17EA3" w14:textId="6B7A7A6C"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0,975</w:t>
            </w:r>
          </w:p>
        </w:tc>
      </w:tr>
      <w:tr w:rsidR="00082206" w:rsidRPr="009F2998" w14:paraId="3AE57FB7" w14:textId="36DD5FE5" w:rsidTr="00116B48">
        <w:tc>
          <w:tcPr>
            <w:tcW w:w="2268" w:type="dxa"/>
          </w:tcPr>
          <w:p w14:paraId="441EC5E6" w14:textId="1D46EA5F"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2014</w:t>
            </w:r>
          </w:p>
        </w:tc>
        <w:tc>
          <w:tcPr>
            <w:tcW w:w="3240" w:type="dxa"/>
          </w:tcPr>
          <w:p w14:paraId="6B9AEFBB" w14:textId="449A0FE2"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29603,711</w:t>
            </w:r>
          </w:p>
        </w:tc>
        <w:tc>
          <w:tcPr>
            <w:tcW w:w="3071" w:type="dxa"/>
          </w:tcPr>
          <w:p w14:paraId="31EBB758" w14:textId="656034FB"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0,996</w:t>
            </w:r>
          </w:p>
        </w:tc>
      </w:tr>
    </w:tbl>
    <w:p w14:paraId="116153AB" w14:textId="65B49E72" w:rsidR="00082206" w:rsidRPr="009F2998" w:rsidRDefault="00082206" w:rsidP="00082206">
      <w:pPr>
        <w:spacing w:after="0"/>
        <w:jc w:val="both"/>
        <w:rPr>
          <w:rFonts w:ascii="Times New Roman" w:hAnsi="Times New Roman" w:cs="Times New Roman"/>
        </w:rPr>
      </w:pPr>
    </w:p>
    <w:p w14:paraId="5DD385D6" w14:textId="7BEF0FE5" w:rsidR="00082206" w:rsidRPr="000578FE" w:rsidRDefault="00082206" w:rsidP="00082206">
      <w:pPr>
        <w:jc w:val="both"/>
        <w:rPr>
          <w:rFonts w:ascii="Times New Roman" w:hAnsi="Times New Roman" w:cs="Times New Roman"/>
          <w:sz w:val="24"/>
          <w:szCs w:val="24"/>
        </w:rPr>
      </w:pPr>
      <w:r w:rsidRPr="000578FE">
        <w:rPr>
          <w:rFonts w:ascii="Times New Roman" w:hAnsi="Times New Roman" w:cs="Times New Roman"/>
          <w:sz w:val="24"/>
          <w:szCs w:val="24"/>
        </w:rPr>
        <w:lastRenderedPageBreak/>
        <w:t>Straty v prenosovej sústave sú delené podľa jednotlivých prvkov v prenosovom reťazci, v ktorých dochádza k stratám pri prenose elektriny.</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240"/>
        <w:gridCol w:w="3060"/>
      </w:tblGrid>
      <w:tr w:rsidR="00082206" w:rsidRPr="009F2998" w14:paraId="2A2D25F5" w14:textId="312A670D" w:rsidTr="00116B48">
        <w:tc>
          <w:tcPr>
            <w:tcW w:w="2268" w:type="dxa"/>
          </w:tcPr>
          <w:p w14:paraId="16C23DDC" w14:textId="1D41B795"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Zariadenie</w:t>
            </w:r>
          </w:p>
        </w:tc>
        <w:tc>
          <w:tcPr>
            <w:tcW w:w="3240" w:type="dxa"/>
          </w:tcPr>
          <w:p w14:paraId="34CBCF9A" w14:textId="7D2C9E79"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Stratový výkon (MW)</w:t>
            </w:r>
          </w:p>
        </w:tc>
        <w:tc>
          <w:tcPr>
            <w:tcW w:w="3060" w:type="dxa"/>
          </w:tcPr>
          <w:p w14:paraId="09E82702" w14:textId="33C895DF"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Straty elektriny (%)</w:t>
            </w:r>
          </w:p>
        </w:tc>
      </w:tr>
      <w:tr w:rsidR="00082206" w:rsidRPr="009F2998" w14:paraId="4C1B9C52" w14:textId="5539A194" w:rsidTr="00116B48">
        <w:tc>
          <w:tcPr>
            <w:tcW w:w="2268" w:type="dxa"/>
          </w:tcPr>
          <w:p w14:paraId="2116049E" w14:textId="42C02BCC"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Transformátory</w:t>
            </w:r>
          </w:p>
        </w:tc>
        <w:tc>
          <w:tcPr>
            <w:tcW w:w="3240" w:type="dxa"/>
          </w:tcPr>
          <w:p w14:paraId="64BBE85B" w14:textId="615D1549"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5,945</w:t>
            </w:r>
          </w:p>
        </w:tc>
        <w:tc>
          <w:tcPr>
            <w:tcW w:w="3060" w:type="dxa"/>
          </w:tcPr>
          <w:p w14:paraId="17CDC56D" w14:textId="4B068C1A"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18,29</w:t>
            </w:r>
          </w:p>
        </w:tc>
      </w:tr>
      <w:tr w:rsidR="00082206" w:rsidRPr="009F2998" w14:paraId="3893FA48" w14:textId="743D1F4A" w:rsidTr="00116B48">
        <w:tc>
          <w:tcPr>
            <w:tcW w:w="2268" w:type="dxa"/>
          </w:tcPr>
          <w:p w14:paraId="5A48D8B1" w14:textId="1EF88655"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Vedenia</w:t>
            </w:r>
          </w:p>
        </w:tc>
        <w:tc>
          <w:tcPr>
            <w:tcW w:w="3240" w:type="dxa"/>
          </w:tcPr>
          <w:p w14:paraId="37ADF583" w14:textId="3F461D02"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39,926</w:t>
            </w:r>
          </w:p>
        </w:tc>
        <w:tc>
          <w:tcPr>
            <w:tcW w:w="3060" w:type="dxa"/>
          </w:tcPr>
          <w:p w14:paraId="27B07C0E" w14:textId="7FD39D0E"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77,73</w:t>
            </w:r>
          </w:p>
        </w:tc>
      </w:tr>
      <w:tr w:rsidR="00082206" w:rsidRPr="009F2998" w14:paraId="4DE4A04F" w14:textId="65BA2672" w:rsidTr="00116B48">
        <w:tc>
          <w:tcPr>
            <w:tcW w:w="2268" w:type="dxa"/>
          </w:tcPr>
          <w:p w14:paraId="1FF563CA" w14:textId="67E647CD"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Tlmivky</w:t>
            </w:r>
          </w:p>
        </w:tc>
        <w:tc>
          <w:tcPr>
            <w:tcW w:w="3240" w:type="dxa"/>
          </w:tcPr>
          <w:p w14:paraId="240208BD" w14:textId="085D6F4C"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1,029</w:t>
            </w:r>
          </w:p>
        </w:tc>
        <w:tc>
          <w:tcPr>
            <w:tcW w:w="3060" w:type="dxa"/>
          </w:tcPr>
          <w:p w14:paraId="7D15F1A7" w14:textId="038378B3" w:rsidR="00082206" w:rsidRPr="009F2998" w:rsidRDefault="00082206" w:rsidP="00116B48">
            <w:pPr>
              <w:spacing w:after="0"/>
              <w:jc w:val="both"/>
              <w:rPr>
                <w:rFonts w:ascii="Times New Roman" w:hAnsi="Times New Roman" w:cs="Times New Roman"/>
              </w:rPr>
            </w:pPr>
            <w:r w:rsidRPr="009F2998">
              <w:rPr>
                <w:rFonts w:ascii="Times New Roman" w:hAnsi="Times New Roman" w:cs="Times New Roman"/>
              </w:rPr>
              <w:t>3,98</w:t>
            </w:r>
          </w:p>
        </w:tc>
      </w:tr>
    </w:tbl>
    <w:p w14:paraId="56E6CE4A" w14:textId="3161BED4" w:rsidR="00082206" w:rsidRPr="009F2998" w:rsidRDefault="00082206" w:rsidP="00082206">
      <w:pPr>
        <w:spacing w:after="0"/>
        <w:jc w:val="both"/>
        <w:rPr>
          <w:rFonts w:ascii="Times New Roman" w:hAnsi="Times New Roman" w:cs="Times New Roman"/>
        </w:rPr>
      </w:pPr>
      <w:r w:rsidRPr="009F2998">
        <w:rPr>
          <w:rFonts w:ascii="Times New Roman" w:hAnsi="Times New Roman" w:cs="Times New Roman"/>
        </w:rPr>
        <w:t xml:space="preserve">  </w:t>
      </w:r>
    </w:p>
    <w:p w14:paraId="6F84D3AF" w14:textId="70738B25" w:rsidR="00082206" w:rsidRPr="00F77093" w:rsidRDefault="00082206" w:rsidP="00082206">
      <w:pPr>
        <w:jc w:val="both"/>
        <w:rPr>
          <w:rFonts w:ascii="Times New Roman" w:hAnsi="Times New Roman" w:cs="Times New Roman"/>
          <w:sz w:val="24"/>
        </w:rPr>
      </w:pPr>
      <w:r w:rsidRPr="00F77093">
        <w:rPr>
          <w:rFonts w:ascii="Times New Roman" w:hAnsi="Times New Roman" w:cs="Times New Roman"/>
          <w:sz w:val="24"/>
        </w:rPr>
        <w:t xml:space="preserve">Investičné zámery sú definované v zákone o energetike podľa pravidiel vnútorného trhu a preto prevádzkovateľ prenosovej sústavy SEPS v novembri 2014 vypracoval Desaťročný plán rozvoja prenosovej sústavy na roky 2015-2024, v ktorom sú uvedené investičné zámery na najbližších 10 rokov pre požiadavky zabezpečenia prenosu elektriny, riadenia zaťaženia a interoperability siete. Plán obsahuje prehľad elektrických staníc, vedení, pripojení veľkých zdrojov do siete, cezhraničných prepojení, kompenzačných zariadení - tlmiviek a transformátorov s popisom ich životností, zostatkovej doby spoľahlivej prevádzky a projektovanej životnosti. Tento dokument je uvedený na web stránke: </w:t>
      </w:r>
      <w:hyperlink r:id="rId28" w:history="1">
        <w:r w:rsidRPr="00F77093">
          <w:rPr>
            <w:rStyle w:val="Hypertextovprepojenie"/>
            <w:rFonts w:ascii="Times New Roman" w:hAnsi="Times New Roman" w:cs="Times New Roman"/>
            <w:sz w:val="24"/>
          </w:rPr>
          <w:t>http://www.sepsas.sk/seps/Dokumenty/ProgRozvoj/2016/03/DPR_PS_2016_2025.pdf</w:t>
        </w:r>
      </w:hyperlink>
      <w:r w:rsidRPr="00F77093">
        <w:rPr>
          <w:rFonts w:ascii="Times New Roman" w:hAnsi="Times New Roman" w:cs="Times New Roman"/>
          <w:sz w:val="24"/>
        </w:rPr>
        <w:t xml:space="preserve"> </w:t>
      </w:r>
    </w:p>
    <w:p w14:paraId="2B01CFD1" w14:textId="5543CC9E" w:rsidR="001E72B7" w:rsidRDefault="00082206" w:rsidP="00082206">
      <w:pPr>
        <w:autoSpaceDE w:val="0"/>
        <w:autoSpaceDN w:val="0"/>
        <w:adjustRightInd w:val="0"/>
        <w:spacing w:after="0" w:line="240" w:lineRule="auto"/>
        <w:jc w:val="both"/>
        <w:rPr>
          <w:rFonts w:ascii="Times New Roman" w:hAnsi="Times New Roman" w:cs="Times New Roman"/>
          <w:sz w:val="24"/>
        </w:rPr>
      </w:pPr>
      <w:r w:rsidRPr="00F77093">
        <w:rPr>
          <w:rFonts w:ascii="Times New Roman" w:hAnsi="Times New Roman" w:cs="Times New Roman"/>
          <w:sz w:val="24"/>
        </w:rPr>
        <w:t xml:space="preserve">V Slovenskej republike je v súčasnosti </w:t>
      </w:r>
      <w:r w:rsidR="00AB502F" w:rsidRPr="00F77093">
        <w:rPr>
          <w:rFonts w:ascii="Times New Roman" w:hAnsi="Times New Roman" w:cs="Times New Roman"/>
          <w:sz w:val="24"/>
        </w:rPr>
        <w:t xml:space="preserve">distribúcia elektriny zabezpečená tromi regionálnymi </w:t>
      </w:r>
      <w:r w:rsidRPr="00F77093">
        <w:rPr>
          <w:rFonts w:ascii="Times New Roman" w:hAnsi="Times New Roman" w:cs="Times New Roman"/>
          <w:sz w:val="24"/>
        </w:rPr>
        <w:t xml:space="preserve"> distribučn</w:t>
      </w:r>
      <w:r w:rsidR="00AB502F" w:rsidRPr="00F77093">
        <w:rPr>
          <w:rFonts w:ascii="Times New Roman" w:hAnsi="Times New Roman" w:cs="Times New Roman"/>
          <w:sz w:val="24"/>
        </w:rPr>
        <w:t>ými s</w:t>
      </w:r>
      <w:r w:rsidRPr="00F77093">
        <w:rPr>
          <w:rFonts w:ascii="Times New Roman" w:hAnsi="Times New Roman" w:cs="Times New Roman"/>
          <w:sz w:val="24"/>
        </w:rPr>
        <w:t>ústav</w:t>
      </w:r>
      <w:r w:rsidR="00AB502F" w:rsidRPr="00F77093">
        <w:rPr>
          <w:rFonts w:ascii="Times New Roman" w:hAnsi="Times New Roman" w:cs="Times New Roman"/>
          <w:sz w:val="24"/>
        </w:rPr>
        <w:t xml:space="preserve">ami </w:t>
      </w:r>
      <w:r w:rsidRPr="00F77093">
        <w:rPr>
          <w:rFonts w:ascii="Times New Roman" w:hAnsi="Times New Roman" w:cs="Times New Roman"/>
          <w:sz w:val="24"/>
        </w:rPr>
        <w:t>(východ, stred a západ Slovenska) a cca 150 miestny</w:t>
      </w:r>
      <w:r w:rsidR="00AB502F" w:rsidRPr="00F77093">
        <w:rPr>
          <w:rFonts w:ascii="Times New Roman" w:hAnsi="Times New Roman" w:cs="Times New Roman"/>
          <w:sz w:val="24"/>
        </w:rPr>
        <w:t xml:space="preserve">mi </w:t>
      </w:r>
      <w:r w:rsidRPr="00F77093">
        <w:rPr>
          <w:rFonts w:ascii="Times New Roman" w:hAnsi="Times New Roman" w:cs="Times New Roman"/>
          <w:sz w:val="24"/>
        </w:rPr>
        <w:t>(lokálny</w:t>
      </w:r>
      <w:r w:rsidR="00AB502F" w:rsidRPr="00F77093">
        <w:rPr>
          <w:rFonts w:ascii="Times New Roman" w:hAnsi="Times New Roman" w:cs="Times New Roman"/>
          <w:sz w:val="24"/>
        </w:rPr>
        <w:t>mi</w:t>
      </w:r>
      <w:r w:rsidRPr="00F77093">
        <w:rPr>
          <w:rFonts w:ascii="Times New Roman" w:hAnsi="Times New Roman" w:cs="Times New Roman"/>
          <w:sz w:val="24"/>
        </w:rPr>
        <w:t>) distribučný</w:t>
      </w:r>
      <w:r w:rsidR="00372054" w:rsidRPr="00F77093">
        <w:rPr>
          <w:rFonts w:ascii="Times New Roman" w:hAnsi="Times New Roman" w:cs="Times New Roman"/>
          <w:sz w:val="24"/>
        </w:rPr>
        <w:t xml:space="preserve">mi </w:t>
      </w:r>
      <w:r w:rsidRPr="00F77093">
        <w:rPr>
          <w:rFonts w:ascii="Times New Roman" w:hAnsi="Times New Roman" w:cs="Times New Roman"/>
          <w:sz w:val="24"/>
        </w:rPr>
        <w:t>sústav</w:t>
      </w:r>
      <w:r w:rsidR="00372054" w:rsidRPr="00F77093">
        <w:rPr>
          <w:rFonts w:ascii="Times New Roman" w:hAnsi="Times New Roman" w:cs="Times New Roman"/>
          <w:sz w:val="24"/>
        </w:rPr>
        <w:t>ami</w:t>
      </w:r>
      <w:r w:rsidRPr="00F77093">
        <w:rPr>
          <w:rFonts w:ascii="Times New Roman" w:hAnsi="Times New Roman" w:cs="Times New Roman"/>
          <w:sz w:val="24"/>
        </w:rPr>
        <w:t>. Hodnotenie energetickej efektívnosti distribučných sústav sa vykonáva v súlade s požiadavkou zákona č. 321/2014 Z. z. o energetickej efektívnosti a vyhláškou MH SR č. 88/2015 Z. z., ktorou sa ustanovuje rozsah hodnotenia, spôsob výpočtu a hodnoty energetickej účinnosti zdrojov a rozvodov energie, ktorá nahradila vyhlášku č.</w:t>
      </w:r>
      <w:r w:rsidR="00372054" w:rsidRPr="00F77093">
        <w:rPr>
          <w:rFonts w:ascii="Times New Roman" w:hAnsi="Times New Roman" w:cs="Times New Roman"/>
          <w:sz w:val="24"/>
        </w:rPr>
        <w:t> </w:t>
      </w:r>
      <w:r w:rsidRPr="00F77093">
        <w:rPr>
          <w:rFonts w:ascii="Times New Roman" w:hAnsi="Times New Roman" w:cs="Times New Roman"/>
          <w:sz w:val="24"/>
        </w:rPr>
        <w:t>428/2010</w:t>
      </w:r>
      <w:r w:rsidR="00372054" w:rsidRPr="00F77093">
        <w:rPr>
          <w:rFonts w:ascii="Times New Roman" w:hAnsi="Times New Roman" w:cs="Times New Roman"/>
          <w:sz w:val="24"/>
        </w:rPr>
        <w:t> Z. z.</w:t>
      </w:r>
      <w:r w:rsidRPr="00F77093">
        <w:rPr>
          <w:rFonts w:ascii="Times New Roman" w:hAnsi="Times New Roman" w:cs="Times New Roman"/>
          <w:sz w:val="24"/>
        </w:rPr>
        <w:t>. Priemerné hodnoty energetickej účinnosti distribúcie elektriny v SR sú uvedené v</w:t>
      </w:r>
      <w:r w:rsidR="001E72B7">
        <w:rPr>
          <w:rFonts w:ascii="Times New Roman" w:hAnsi="Times New Roman" w:cs="Times New Roman"/>
          <w:sz w:val="24"/>
        </w:rPr>
        <w:t> </w:t>
      </w:r>
      <w:r w:rsidRPr="00F77093">
        <w:rPr>
          <w:rFonts w:ascii="Times New Roman" w:hAnsi="Times New Roman" w:cs="Times New Roman"/>
          <w:sz w:val="24"/>
        </w:rPr>
        <w:t>tabuľke</w:t>
      </w:r>
      <w:r w:rsidR="001E72B7">
        <w:rPr>
          <w:rFonts w:ascii="Times New Roman" w:hAnsi="Times New Roman" w:cs="Times New Roman"/>
          <w:sz w:val="24"/>
        </w:rPr>
        <w:t xml:space="preserve"> č. 19.</w:t>
      </w:r>
    </w:p>
    <w:p w14:paraId="10B45AF6" w14:textId="77777777" w:rsidR="001E72B7" w:rsidRDefault="001E72B7" w:rsidP="00082206">
      <w:pPr>
        <w:autoSpaceDE w:val="0"/>
        <w:autoSpaceDN w:val="0"/>
        <w:adjustRightInd w:val="0"/>
        <w:spacing w:after="0" w:line="240" w:lineRule="auto"/>
        <w:jc w:val="both"/>
        <w:rPr>
          <w:rFonts w:ascii="Times New Roman" w:hAnsi="Times New Roman" w:cs="Times New Roman"/>
          <w:sz w:val="24"/>
        </w:rPr>
      </w:pPr>
    </w:p>
    <w:p w14:paraId="2C3F3BEF" w14:textId="77777777" w:rsidR="001E72B7" w:rsidRPr="00F77093" w:rsidRDefault="001E72B7" w:rsidP="001E72B7">
      <w:pPr>
        <w:autoSpaceDE w:val="0"/>
        <w:autoSpaceDN w:val="0"/>
        <w:adjustRightInd w:val="0"/>
        <w:spacing w:after="0" w:line="240" w:lineRule="auto"/>
        <w:jc w:val="both"/>
        <w:rPr>
          <w:rFonts w:ascii="Times New Roman" w:hAnsi="Times New Roman" w:cs="Times New Roman"/>
          <w:sz w:val="24"/>
        </w:rPr>
      </w:pPr>
      <w:r w:rsidRPr="00F77093">
        <w:rPr>
          <w:rFonts w:ascii="Times New Roman" w:hAnsi="Times New Roman" w:cs="Times New Roman"/>
          <w:sz w:val="24"/>
        </w:rPr>
        <w:t xml:space="preserve">Prevádzkovateľ distribučnej sústavy je povinný prevádzkovať distribučnú sústavu bezpečne a spoľahlivo pri dodržaní platnej legislatívy SR. Opatrenia zlepšujúce energetickú efektívnosť sú definované v slovenskej legislatíve, a to najmä </w:t>
      </w:r>
    </w:p>
    <w:p w14:paraId="10EB1911" w14:textId="77777777" w:rsidR="001E72B7" w:rsidRPr="00F77093" w:rsidRDefault="001E72B7" w:rsidP="007157D7">
      <w:pPr>
        <w:numPr>
          <w:ilvl w:val="0"/>
          <w:numId w:val="7"/>
        </w:numPr>
        <w:autoSpaceDE w:val="0"/>
        <w:autoSpaceDN w:val="0"/>
        <w:adjustRightInd w:val="0"/>
        <w:spacing w:after="0" w:line="240" w:lineRule="auto"/>
        <w:jc w:val="both"/>
        <w:rPr>
          <w:rFonts w:ascii="Times New Roman" w:hAnsi="Times New Roman" w:cs="Times New Roman"/>
          <w:sz w:val="24"/>
        </w:rPr>
      </w:pPr>
      <w:r w:rsidRPr="00F77093">
        <w:rPr>
          <w:rFonts w:ascii="Times New Roman" w:hAnsi="Times New Roman" w:cs="Times New Roman"/>
          <w:sz w:val="24"/>
        </w:rPr>
        <w:t xml:space="preserve">Výpočet energetickej účinnosti distribučnej sústavy zasiela prevádzkovateľ do monitorovacieho systému energetickej efektívnosti, </w:t>
      </w:r>
    </w:p>
    <w:p w14:paraId="262D6177" w14:textId="77777777" w:rsidR="001E72B7" w:rsidRPr="00F77093" w:rsidRDefault="001E72B7" w:rsidP="007157D7">
      <w:pPr>
        <w:numPr>
          <w:ilvl w:val="0"/>
          <w:numId w:val="7"/>
        </w:numPr>
        <w:autoSpaceDE w:val="0"/>
        <w:autoSpaceDN w:val="0"/>
        <w:adjustRightInd w:val="0"/>
        <w:spacing w:after="0" w:line="240" w:lineRule="auto"/>
        <w:jc w:val="both"/>
        <w:rPr>
          <w:rFonts w:ascii="Times New Roman" w:hAnsi="Times New Roman" w:cs="Times New Roman"/>
          <w:sz w:val="24"/>
        </w:rPr>
      </w:pPr>
      <w:r w:rsidRPr="00F77093">
        <w:rPr>
          <w:rFonts w:ascii="Times New Roman" w:hAnsi="Times New Roman" w:cs="Times New Roman"/>
          <w:sz w:val="24"/>
        </w:rPr>
        <w:t xml:space="preserve">zavádzanie inteligentných meracích systémov podľa vyhlášky 358/2013, </w:t>
      </w:r>
    </w:p>
    <w:p w14:paraId="3600E63A" w14:textId="77777777" w:rsidR="001E72B7" w:rsidRPr="00F77093" w:rsidRDefault="001E72B7" w:rsidP="007157D7">
      <w:pPr>
        <w:numPr>
          <w:ilvl w:val="0"/>
          <w:numId w:val="7"/>
        </w:numPr>
        <w:autoSpaceDE w:val="0"/>
        <w:autoSpaceDN w:val="0"/>
        <w:adjustRightInd w:val="0"/>
        <w:spacing w:after="0" w:line="240" w:lineRule="auto"/>
        <w:jc w:val="both"/>
        <w:rPr>
          <w:rFonts w:ascii="Times New Roman" w:hAnsi="Times New Roman" w:cs="Times New Roman"/>
          <w:sz w:val="24"/>
        </w:rPr>
      </w:pPr>
      <w:r w:rsidRPr="00F77093">
        <w:rPr>
          <w:rFonts w:ascii="Times New Roman" w:hAnsi="Times New Roman" w:cs="Times New Roman"/>
          <w:sz w:val="24"/>
        </w:rPr>
        <w:t>inštalácia transformátorov VN/NN podľa nariadenia Komisie č. 548/2014, ktorým sa vykonáva smernica 2009/125/ES o ekodizajne s ohľadom na transformátory malého, stredného a veľkého výkonu,</w:t>
      </w:r>
    </w:p>
    <w:p w14:paraId="5B8D0A4C" w14:textId="77777777" w:rsidR="001E72B7" w:rsidRPr="00F77093" w:rsidRDefault="001E72B7" w:rsidP="007157D7">
      <w:pPr>
        <w:numPr>
          <w:ilvl w:val="0"/>
          <w:numId w:val="7"/>
        </w:numPr>
        <w:autoSpaceDE w:val="0"/>
        <w:autoSpaceDN w:val="0"/>
        <w:adjustRightInd w:val="0"/>
        <w:spacing w:after="0" w:line="240" w:lineRule="auto"/>
        <w:jc w:val="both"/>
        <w:rPr>
          <w:rFonts w:ascii="Times New Roman" w:hAnsi="Times New Roman" w:cs="Times New Roman"/>
          <w:sz w:val="24"/>
        </w:rPr>
      </w:pPr>
      <w:r w:rsidRPr="00F77093">
        <w:rPr>
          <w:rFonts w:ascii="Times New Roman" w:hAnsi="Times New Roman" w:cs="Times New Roman"/>
          <w:sz w:val="24"/>
        </w:rPr>
        <w:t>plán rozvoja distribučnej sústavy, ktorý musia každoročne podľa zákona o energetike zasielať na MH SR prevádzkovatelia distribučnej sústavy s viac ako 100 tisíc odbernými miestami,</w:t>
      </w:r>
    </w:p>
    <w:p w14:paraId="4CD0ED89" w14:textId="77777777" w:rsidR="001E72B7" w:rsidRPr="00F77093" w:rsidRDefault="001E72B7" w:rsidP="007157D7">
      <w:pPr>
        <w:numPr>
          <w:ilvl w:val="0"/>
          <w:numId w:val="7"/>
        </w:numPr>
        <w:autoSpaceDE w:val="0"/>
        <w:autoSpaceDN w:val="0"/>
        <w:adjustRightInd w:val="0"/>
        <w:spacing w:after="0" w:line="240" w:lineRule="auto"/>
        <w:jc w:val="both"/>
        <w:rPr>
          <w:rFonts w:ascii="Times New Roman" w:hAnsi="Times New Roman" w:cs="Times New Roman"/>
          <w:sz w:val="24"/>
        </w:rPr>
      </w:pPr>
      <w:r w:rsidRPr="00F77093">
        <w:rPr>
          <w:rFonts w:ascii="Times New Roman" w:hAnsi="Times New Roman" w:cs="Times New Roman"/>
          <w:sz w:val="24"/>
        </w:rPr>
        <w:t xml:space="preserve">Metodické usmernenie URSO č. 05/12/2015 z 11. júna 2015. </w:t>
      </w:r>
    </w:p>
    <w:p w14:paraId="4161ACBA" w14:textId="77777777" w:rsidR="001E72B7" w:rsidRDefault="001E72B7" w:rsidP="00082206">
      <w:pPr>
        <w:autoSpaceDE w:val="0"/>
        <w:autoSpaceDN w:val="0"/>
        <w:adjustRightInd w:val="0"/>
        <w:spacing w:after="0" w:line="240" w:lineRule="auto"/>
        <w:jc w:val="both"/>
        <w:rPr>
          <w:rFonts w:ascii="Times New Roman" w:hAnsi="Times New Roman" w:cs="Times New Roman"/>
          <w:sz w:val="24"/>
        </w:rPr>
      </w:pPr>
    </w:p>
    <w:p w14:paraId="791DC971" w14:textId="77777777" w:rsidR="001E72B7" w:rsidRDefault="001E72B7" w:rsidP="00082206">
      <w:pPr>
        <w:autoSpaceDE w:val="0"/>
        <w:autoSpaceDN w:val="0"/>
        <w:adjustRightInd w:val="0"/>
        <w:spacing w:after="0" w:line="240" w:lineRule="auto"/>
        <w:jc w:val="both"/>
        <w:rPr>
          <w:rFonts w:ascii="Times New Roman" w:hAnsi="Times New Roman" w:cs="Times New Roman"/>
          <w:sz w:val="24"/>
        </w:rPr>
      </w:pPr>
    </w:p>
    <w:p w14:paraId="55B9C281" w14:textId="4025FC1F" w:rsidR="00082206" w:rsidRPr="00F77093" w:rsidRDefault="001E72B7" w:rsidP="00082206">
      <w:pPr>
        <w:autoSpaceDE w:val="0"/>
        <w:autoSpaceDN w:val="0"/>
        <w:adjustRightInd w:val="0"/>
        <w:spacing w:after="0" w:line="240" w:lineRule="auto"/>
        <w:jc w:val="both"/>
        <w:rPr>
          <w:rFonts w:ascii="Times New Roman" w:hAnsi="Times New Roman" w:cs="Times New Roman"/>
          <w:sz w:val="24"/>
        </w:rPr>
      </w:pPr>
      <w:r>
        <w:rPr>
          <w:rFonts w:ascii="Times New Roman" w:hAnsi="Times New Roman" w:cs="Times New Roman"/>
          <w:sz w:val="24"/>
        </w:rPr>
        <w:t>Tabuľka č. 19: Priemerné účinnosti distribúcie elektriny</w:t>
      </w:r>
    </w:p>
    <w:p w14:paraId="5267B849" w14:textId="5E52ADAB" w:rsidR="00082206" w:rsidRPr="009F2998" w:rsidRDefault="00082206" w:rsidP="00082206">
      <w:pPr>
        <w:autoSpaceDE w:val="0"/>
        <w:autoSpaceDN w:val="0"/>
        <w:adjustRightInd w:val="0"/>
        <w:spacing w:after="0" w:line="240" w:lineRule="auto"/>
        <w:jc w:val="both"/>
        <w:rPr>
          <w:rFonts w:ascii="Times New Roman" w:hAnsi="Times New Roman" w:cs="Times New Roman"/>
        </w:rPr>
      </w:pPr>
    </w:p>
    <w:tbl>
      <w:tblPr>
        <w:tblW w:w="0" w:type="auto"/>
        <w:tblInd w:w="1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960"/>
      </w:tblGrid>
      <w:tr w:rsidR="00082206" w:rsidRPr="009F2998" w14:paraId="185D515E" w14:textId="0CB144B7" w:rsidTr="00116B48">
        <w:tc>
          <w:tcPr>
            <w:tcW w:w="1008" w:type="dxa"/>
          </w:tcPr>
          <w:p w14:paraId="7015B829" w14:textId="24DD53DC" w:rsidR="00082206" w:rsidRPr="009F2998" w:rsidRDefault="00082206" w:rsidP="00116B48">
            <w:pPr>
              <w:autoSpaceDE w:val="0"/>
              <w:autoSpaceDN w:val="0"/>
              <w:adjustRightInd w:val="0"/>
              <w:spacing w:after="0" w:line="240" w:lineRule="auto"/>
              <w:jc w:val="both"/>
              <w:rPr>
                <w:rFonts w:ascii="Times New Roman" w:hAnsi="Times New Roman" w:cs="Times New Roman"/>
              </w:rPr>
            </w:pPr>
            <w:r w:rsidRPr="009F2998">
              <w:rPr>
                <w:rFonts w:ascii="Times New Roman" w:hAnsi="Times New Roman" w:cs="Times New Roman"/>
              </w:rPr>
              <w:t>Rok</w:t>
            </w:r>
          </w:p>
        </w:tc>
        <w:tc>
          <w:tcPr>
            <w:tcW w:w="3960" w:type="dxa"/>
          </w:tcPr>
          <w:p w14:paraId="0C46EF77" w14:textId="59E6F77C" w:rsidR="00082206" w:rsidRPr="009F2998" w:rsidRDefault="00082206" w:rsidP="00116B48">
            <w:pPr>
              <w:autoSpaceDE w:val="0"/>
              <w:autoSpaceDN w:val="0"/>
              <w:adjustRightInd w:val="0"/>
              <w:spacing w:after="0" w:line="240" w:lineRule="auto"/>
              <w:jc w:val="both"/>
              <w:rPr>
                <w:rFonts w:ascii="Times New Roman" w:hAnsi="Times New Roman" w:cs="Times New Roman"/>
              </w:rPr>
            </w:pPr>
            <w:r w:rsidRPr="009F2998">
              <w:rPr>
                <w:rFonts w:ascii="Times New Roman" w:hAnsi="Times New Roman" w:cs="Times New Roman"/>
              </w:rPr>
              <w:t>Priemerná účinnosť distribúcie elektriny (%)</w:t>
            </w:r>
          </w:p>
        </w:tc>
      </w:tr>
      <w:tr w:rsidR="00082206" w:rsidRPr="009F2998" w14:paraId="0AB13228" w14:textId="452D8DA0" w:rsidTr="00116B48">
        <w:tc>
          <w:tcPr>
            <w:tcW w:w="1008" w:type="dxa"/>
          </w:tcPr>
          <w:p w14:paraId="4F075246" w14:textId="07A5CCD7" w:rsidR="00082206" w:rsidRPr="009F2998" w:rsidRDefault="00082206" w:rsidP="00116B48">
            <w:pPr>
              <w:autoSpaceDE w:val="0"/>
              <w:autoSpaceDN w:val="0"/>
              <w:adjustRightInd w:val="0"/>
              <w:spacing w:after="0" w:line="240" w:lineRule="auto"/>
              <w:jc w:val="both"/>
              <w:rPr>
                <w:rFonts w:ascii="Times New Roman" w:hAnsi="Times New Roman" w:cs="Times New Roman"/>
              </w:rPr>
            </w:pPr>
            <w:r w:rsidRPr="009F2998">
              <w:rPr>
                <w:rFonts w:ascii="Times New Roman" w:hAnsi="Times New Roman" w:cs="Times New Roman"/>
              </w:rPr>
              <w:t>2013</w:t>
            </w:r>
          </w:p>
        </w:tc>
        <w:tc>
          <w:tcPr>
            <w:tcW w:w="3960" w:type="dxa"/>
          </w:tcPr>
          <w:p w14:paraId="66EC1A13" w14:textId="7EB01BF5" w:rsidR="00082206" w:rsidRPr="009F2998" w:rsidRDefault="00082206" w:rsidP="00116B48">
            <w:pPr>
              <w:autoSpaceDE w:val="0"/>
              <w:autoSpaceDN w:val="0"/>
              <w:adjustRightInd w:val="0"/>
              <w:spacing w:after="0" w:line="240" w:lineRule="auto"/>
              <w:jc w:val="both"/>
              <w:rPr>
                <w:rFonts w:ascii="Times New Roman" w:hAnsi="Times New Roman" w:cs="Times New Roman"/>
              </w:rPr>
            </w:pPr>
            <w:r w:rsidRPr="009F2998">
              <w:rPr>
                <w:rFonts w:ascii="Times New Roman" w:hAnsi="Times New Roman" w:cs="Times New Roman"/>
              </w:rPr>
              <w:t>94,58</w:t>
            </w:r>
          </w:p>
        </w:tc>
      </w:tr>
      <w:tr w:rsidR="00082206" w:rsidRPr="009F2998" w14:paraId="6F4D779B" w14:textId="7DA91AA3" w:rsidTr="00116B48">
        <w:tc>
          <w:tcPr>
            <w:tcW w:w="1008" w:type="dxa"/>
          </w:tcPr>
          <w:p w14:paraId="4ADDE78C" w14:textId="7F9F0445" w:rsidR="00082206" w:rsidRPr="009F2998" w:rsidRDefault="00082206" w:rsidP="00116B48">
            <w:pPr>
              <w:autoSpaceDE w:val="0"/>
              <w:autoSpaceDN w:val="0"/>
              <w:adjustRightInd w:val="0"/>
              <w:spacing w:after="0" w:line="240" w:lineRule="auto"/>
              <w:jc w:val="both"/>
              <w:rPr>
                <w:rFonts w:ascii="Times New Roman" w:hAnsi="Times New Roman" w:cs="Times New Roman"/>
              </w:rPr>
            </w:pPr>
            <w:r w:rsidRPr="009F2998">
              <w:rPr>
                <w:rFonts w:ascii="Times New Roman" w:hAnsi="Times New Roman" w:cs="Times New Roman"/>
              </w:rPr>
              <w:t>2014</w:t>
            </w:r>
          </w:p>
        </w:tc>
        <w:tc>
          <w:tcPr>
            <w:tcW w:w="3960" w:type="dxa"/>
          </w:tcPr>
          <w:p w14:paraId="3E08B67C" w14:textId="1273C068" w:rsidR="00082206" w:rsidRPr="009F2998" w:rsidRDefault="00082206" w:rsidP="00116B48">
            <w:pPr>
              <w:autoSpaceDE w:val="0"/>
              <w:autoSpaceDN w:val="0"/>
              <w:adjustRightInd w:val="0"/>
              <w:spacing w:after="0" w:line="240" w:lineRule="auto"/>
              <w:jc w:val="both"/>
              <w:rPr>
                <w:rFonts w:ascii="Times New Roman" w:hAnsi="Times New Roman" w:cs="Times New Roman"/>
              </w:rPr>
            </w:pPr>
            <w:r w:rsidRPr="009F2998">
              <w:rPr>
                <w:rFonts w:ascii="Times New Roman" w:hAnsi="Times New Roman" w:cs="Times New Roman"/>
              </w:rPr>
              <w:t>95,47</w:t>
            </w:r>
          </w:p>
        </w:tc>
      </w:tr>
      <w:tr w:rsidR="00082206" w:rsidRPr="009F2998" w14:paraId="33381A31" w14:textId="104A68AD" w:rsidTr="00116B48">
        <w:tc>
          <w:tcPr>
            <w:tcW w:w="1008" w:type="dxa"/>
          </w:tcPr>
          <w:p w14:paraId="09F256DE" w14:textId="5B6FDCA5" w:rsidR="00082206" w:rsidRPr="009F2998" w:rsidRDefault="00082206" w:rsidP="00116B48">
            <w:pPr>
              <w:autoSpaceDE w:val="0"/>
              <w:autoSpaceDN w:val="0"/>
              <w:adjustRightInd w:val="0"/>
              <w:spacing w:after="0" w:line="240" w:lineRule="auto"/>
              <w:jc w:val="both"/>
              <w:rPr>
                <w:rFonts w:ascii="Times New Roman" w:hAnsi="Times New Roman" w:cs="Times New Roman"/>
              </w:rPr>
            </w:pPr>
            <w:r w:rsidRPr="009F2998">
              <w:rPr>
                <w:rFonts w:ascii="Times New Roman" w:hAnsi="Times New Roman" w:cs="Times New Roman"/>
              </w:rPr>
              <w:t>2015</w:t>
            </w:r>
          </w:p>
        </w:tc>
        <w:tc>
          <w:tcPr>
            <w:tcW w:w="3960" w:type="dxa"/>
          </w:tcPr>
          <w:p w14:paraId="30FB494F" w14:textId="6D70827A" w:rsidR="00082206" w:rsidRPr="009F2998" w:rsidRDefault="00082206" w:rsidP="00116B48">
            <w:pPr>
              <w:autoSpaceDE w:val="0"/>
              <w:autoSpaceDN w:val="0"/>
              <w:adjustRightInd w:val="0"/>
              <w:spacing w:after="0" w:line="240" w:lineRule="auto"/>
              <w:jc w:val="both"/>
              <w:rPr>
                <w:rFonts w:ascii="Times New Roman" w:hAnsi="Times New Roman" w:cs="Times New Roman"/>
              </w:rPr>
            </w:pPr>
            <w:r w:rsidRPr="009F2998">
              <w:rPr>
                <w:rFonts w:ascii="Times New Roman" w:hAnsi="Times New Roman" w:cs="Times New Roman"/>
              </w:rPr>
              <w:t>94,15</w:t>
            </w:r>
          </w:p>
        </w:tc>
      </w:tr>
    </w:tbl>
    <w:p w14:paraId="0A519003" w14:textId="119E6D1F" w:rsidR="00082206" w:rsidRPr="009F2998" w:rsidRDefault="00082206" w:rsidP="00082206">
      <w:pPr>
        <w:autoSpaceDE w:val="0"/>
        <w:autoSpaceDN w:val="0"/>
        <w:adjustRightInd w:val="0"/>
        <w:spacing w:after="0" w:line="240" w:lineRule="auto"/>
        <w:jc w:val="both"/>
        <w:rPr>
          <w:rFonts w:ascii="Times New Roman" w:hAnsi="Times New Roman" w:cs="Times New Roman"/>
        </w:rPr>
      </w:pPr>
    </w:p>
    <w:p w14:paraId="322A8BAC" w14:textId="2AF7D79B" w:rsidR="00082206" w:rsidRPr="00F77093" w:rsidRDefault="00082206" w:rsidP="00082206">
      <w:pPr>
        <w:autoSpaceDE w:val="0"/>
        <w:autoSpaceDN w:val="0"/>
        <w:adjustRightInd w:val="0"/>
        <w:spacing w:after="0" w:line="240" w:lineRule="auto"/>
        <w:jc w:val="both"/>
        <w:rPr>
          <w:rFonts w:ascii="Times New Roman" w:hAnsi="Times New Roman" w:cs="Times New Roman"/>
          <w:strike/>
          <w:color w:val="FF0000"/>
          <w:sz w:val="24"/>
        </w:rPr>
      </w:pPr>
    </w:p>
    <w:p w14:paraId="52F03A3F" w14:textId="67FDFF97" w:rsidR="00082206" w:rsidRPr="00F77093" w:rsidRDefault="00082206" w:rsidP="00082206">
      <w:pPr>
        <w:jc w:val="both"/>
        <w:rPr>
          <w:rFonts w:ascii="Times New Roman" w:hAnsi="Times New Roman" w:cs="Times New Roman"/>
          <w:sz w:val="24"/>
        </w:rPr>
      </w:pPr>
      <w:r w:rsidRPr="00F77093">
        <w:rPr>
          <w:rFonts w:ascii="Times New Roman" w:hAnsi="Times New Roman" w:cs="Times New Roman"/>
          <w:sz w:val="24"/>
        </w:rPr>
        <w:t>Med</w:t>
      </w:r>
      <w:r w:rsidR="00372054" w:rsidRPr="00F77093">
        <w:rPr>
          <w:rFonts w:ascii="Times New Roman" w:hAnsi="Times New Roman" w:cs="Times New Roman"/>
          <w:sz w:val="24"/>
        </w:rPr>
        <w:t>z</w:t>
      </w:r>
      <w:r w:rsidRPr="00F77093">
        <w:rPr>
          <w:rFonts w:ascii="Times New Roman" w:hAnsi="Times New Roman" w:cs="Times New Roman"/>
          <w:sz w:val="24"/>
        </w:rPr>
        <w:t xml:space="preserve">i základné opatrenia na  zlepšenie energetickej efektívnosti patria výmena </w:t>
      </w:r>
      <w:r w:rsidR="00372054" w:rsidRPr="00F77093">
        <w:rPr>
          <w:rFonts w:ascii="Times New Roman" w:hAnsi="Times New Roman" w:cs="Times New Roman"/>
          <w:sz w:val="24"/>
        </w:rPr>
        <w:t xml:space="preserve">a </w:t>
      </w:r>
      <w:r w:rsidRPr="00F77093">
        <w:rPr>
          <w:rFonts w:ascii="Times New Roman" w:hAnsi="Times New Roman" w:cs="Times New Roman"/>
          <w:sz w:val="24"/>
        </w:rPr>
        <w:t xml:space="preserve">modernizácia existujúcich zariadení, pričom sa jedná o opatrenia, ktorú sa vykonávajú po dobe životnosti zariadenia, alebo ak výmena zariadenia prinesie ekonomický efekt v krátkom čase od výmeny zariadenia. Jedná sa najmä o výmenu transformátorov, najčastejšie po dobe životnosti alebo pri rozširovaní sústavy, pričom nový transformátor musí plniť požiadavky nariadenia EK 548/2014. Medzi ďalšie opatrenia patrí inštalácia a zavádzanie inteligentných meracích systémov v sústavách, rekonštrukcia elektrických staníc, optimalizácia prevádzky a počtu transformátorov v závislosti od predpokladaného odberu elektriny v danej sústave, zavádzanie kontrolných a diagnostických procesov v sústave, kompenzácia jalového výkonu a zavádzanie automatického ovládania kompenzácie, výmena káblových rozvodov VVN, VN a NN, mapovanie rozvodov,  modernizácia rozvodných skríň, výmena svietidiel za LED osvetlenie a inštalácia snímačov pohybu pre osvetlenie, inštalácia zariadení na diaľkový zber údajov, ako aj zlepšenie energetickej efektívnosti stavieb, v ktorých sa tieto zariadenia nachádzajú.   </w:t>
      </w:r>
    </w:p>
    <w:p w14:paraId="7FE3E64B" w14:textId="6DE437F8" w:rsidR="00082206" w:rsidRPr="00F77093" w:rsidRDefault="00082206" w:rsidP="00082206">
      <w:pPr>
        <w:jc w:val="both"/>
        <w:rPr>
          <w:rFonts w:ascii="Times New Roman" w:hAnsi="Times New Roman" w:cs="Times New Roman"/>
          <w:sz w:val="24"/>
        </w:rPr>
      </w:pPr>
      <w:r w:rsidRPr="00F77093">
        <w:rPr>
          <w:rFonts w:ascii="Times New Roman" w:hAnsi="Times New Roman" w:cs="Times New Roman"/>
          <w:sz w:val="24"/>
        </w:rPr>
        <w:t>Výška investícií do týchto typov opatrení v regionálnych a aj miestnych (lokálnych) distribučných sústavách predstavuje ročne hodnotu približne 90 mil</w:t>
      </w:r>
      <w:r w:rsidR="000C2919">
        <w:rPr>
          <w:rFonts w:ascii="Times New Roman" w:hAnsi="Times New Roman" w:cs="Times New Roman"/>
          <w:sz w:val="24"/>
        </w:rPr>
        <w:t>.</w:t>
      </w:r>
      <w:r w:rsidRPr="00F77093">
        <w:rPr>
          <w:rFonts w:ascii="Times New Roman" w:hAnsi="Times New Roman" w:cs="Times New Roman"/>
          <w:sz w:val="24"/>
        </w:rPr>
        <w:t xml:space="preserve"> Eur, ktorá v naplánovaných rokoch osciluje okolo tejto hranice Je možné predpokladať udržanie tohto trendu aj v najbližších 10 rokoch. </w:t>
      </w:r>
    </w:p>
    <w:p w14:paraId="219F6BC6" w14:textId="18B2EB37" w:rsidR="00B239CD" w:rsidRPr="00F77093" w:rsidRDefault="00B239CD" w:rsidP="00082206">
      <w:pPr>
        <w:jc w:val="both"/>
        <w:rPr>
          <w:rFonts w:ascii="Times New Roman" w:hAnsi="Times New Roman" w:cs="Times New Roman"/>
          <w:sz w:val="24"/>
        </w:rPr>
      </w:pPr>
    </w:p>
    <w:p w14:paraId="6506B891" w14:textId="22F66091" w:rsidR="00082206" w:rsidRPr="00F77093" w:rsidRDefault="00082206" w:rsidP="00082206">
      <w:pPr>
        <w:jc w:val="both"/>
        <w:rPr>
          <w:rFonts w:ascii="Times New Roman" w:hAnsi="Times New Roman" w:cs="Times New Roman"/>
          <w:b/>
          <w:bCs/>
          <w:sz w:val="24"/>
        </w:rPr>
      </w:pPr>
      <w:r w:rsidRPr="00F77093">
        <w:rPr>
          <w:rFonts w:ascii="Times New Roman" w:hAnsi="Times New Roman" w:cs="Times New Roman"/>
          <w:b/>
          <w:bCs/>
          <w:sz w:val="24"/>
        </w:rPr>
        <w:t>Plynárenstvo</w:t>
      </w:r>
    </w:p>
    <w:p w14:paraId="4DE36D1D" w14:textId="3E84CD4F" w:rsidR="00082206" w:rsidRPr="00F77093" w:rsidRDefault="00082206" w:rsidP="00082206">
      <w:pPr>
        <w:jc w:val="both"/>
        <w:rPr>
          <w:rFonts w:ascii="Times New Roman" w:hAnsi="Times New Roman" w:cs="Times New Roman"/>
          <w:sz w:val="24"/>
        </w:rPr>
      </w:pPr>
      <w:r w:rsidRPr="00F77093">
        <w:rPr>
          <w:rFonts w:ascii="Times New Roman" w:hAnsi="Times New Roman" w:cs="Times New Roman"/>
          <w:sz w:val="24"/>
        </w:rPr>
        <w:t xml:space="preserve">V oblasti plynárenstva vykonali hodnotenie </w:t>
      </w:r>
      <w:r w:rsidR="00A31E26" w:rsidRPr="00A31E26">
        <w:rPr>
          <w:rFonts w:ascii="Times New Roman" w:hAnsi="Times New Roman" w:cs="Times New Roman"/>
          <w:sz w:val="24"/>
        </w:rPr>
        <w:t xml:space="preserve">prevádzkovateľ prepravnej siete </w:t>
      </w:r>
      <w:r w:rsidRPr="00F77093">
        <w:rPr>
          <w:rFonts w:ascii="Times New Roman" w:hAnsi="Times New Roman" w:cs="Times New Roman"/>
          <w:sz w:val="24"/>
        </w:rPr>
        <w:t>a </w:t>
      </w:r>
      <w:r w:rsidR="00A31E26" w:rsidRPr="00A31E26">
        <w:rPr>
          <w:rFonts w:ascii="Times New Roman" w:hAnsi="Times New Roman" w:cs="Times New Roman"/>
          <w:sz w:val="24"/>
        </w:rPr>
        <w:t xml:space="preserve">prevádzkovatelia </w:t>
      </w:r>
      <w:r w:rsidRPr="00F77093">
        <w:rPr>
          <w:rFonts w:ascii="Times New Roman" w:hAnsi="Times New Roman" w:cs="Times New Roman"/>
          <w:sz w:val="24"/>
        </w:rPr>
        <w:t xml:space="preserve">distribučných plynárenských sietí a tiež prevádzkovatelia zásobníkov plynu. </w:t>
      </w:r>
    </w:p>
    <w:p w14:paraId="28DDD498" w14:textId="4CE0C3C4" w:rsidR="00082206" w:rsidRPr="00F77093" w:rsidRDefault="00082206" w:rsidP="00082206">
      <w:pPr>
        <w:jc w:val="both"/>
        <w:rPr>
          <w:rFonts w:ascii="Times New Roman" w:hAnsi="Times New Roman" w:cs="Times New Roman"/>
          <w:sz w:val="24"/>
        </w:rPr>
      </w:pPr>
      <w:r w:rsidRPr="00F77093">
        <w:rPr>
          <w:rFonts w:ascii="Times New Roman" w:hAnsi="Times New Roman" w:cs="Times New Roman"/>
          <w:sz w:val="24"/>
        </w:rPr>
        <w:t xml:space="preserve">Prevádzkovateľ </w:t>
      </w:r>
      <w:r w:rsidR="006D10D8" w:rsidRPr="00F77093">
        <w:rPr>
          <w:rFonts w:ascii="Times New Roman" w:hAnsi="Times New Roman" w:cs="Times New Roman"/>
          <w:sz w:val="24"/>
        </w:rPr>
        <w:t xml:space="preserve">prepravnej </w:t>
      </w:r>
      <w:r w:rsidRPr="00F77093">
        <w:rPr>
          <w:rFonts w:ascii="Times New Roman" w:hAnsi="Times New Roman" w:cs="Times New Roman"/>
          <w:sz w:val="24"/>
        </w:rPr>
        <w:t xml:space="preserve">siete eustream, a.s. vykonal väčšinu kľúčových opatrení v rokoch 2005-2015. Jednalo sa hlavne o optimalizáciu </w:t>
      </w:r>
      <w:r w:rsidR="006E636A" w:rsidRPr="006E636A">
        <w:rPr>
          <w:rFonts w:ascii="Times New Roman" w:hAnsi="Times New Roman" w:cs="Times New Roman"/>
          <w:sz w:val="24"/>
        </w:rPr>
        <w:t>prevádzky prepravnej siete</w:t>
      </w:r>
      <w:r w:rsidR="006E636A" w:rsidRPr="006E636A" w:rsidDel="006E636A">
        <w:rPr>
          <w:rFonts w:ascii="Times New Roman" w:hAnsi="Times New Roman" w:cs="Times New Roman"/>
          <w:sz w:val="24"/>
        </w:rPr>
        <w:t xml:space="preserve"> </w:t>
      </w:r>
      <w:r w:rsidRPr="00F77093">
        <w:rPr>
          <w:rFonts w:ascii="Times New Roman" w:hAnsi="Times New Roman" w:cs="Times New Roman"/>
          <w:sz w:val="24"/>
        </w:rPr>
        <w:t>a optimalizáciu kompresorovej technológie. S otvorením nového slovensko-maďarského prepojenia, slovensko-ukrajinského prepojenia a tiež po realizácií projektu slovensko-poľského prepojenia, ako aj ďalších projektov prepojujúcich susedné štáty tokmi plynu v oboch smeroch, ako napríklad plánovaný projekt eastring, bude potrebné realizovať možnosti optimalizácie prevádzky pri takto komplexnej sieti.</w:t>
      </w:r>
    </w:p>
    <w:p w14:paraId="613183A3" w14:textId="42CBAE7B" w:rsidR="00082206" w:rsidRPr="00F77093" w:rsidRDefault="00082206" w:rsidP="00082206">
      <w:pPr>
        <w:jc w:val="both"/>
        <w:rPr>
          <w:rFonts w:ascii="Times New Roman" w:hAnsi="Times New Roman" w:cs="Times New Roman"/>
          <w:sz w:val="24"/>
        </w:rPr>
      </w:pPr>
      <w:r w:rsidRPr="00F77093">
        <w:rPr>
          <w:rFonts w:ascii="Times New Roman" w:hAnsi="Times New Roman" w:cs="Times New Roman"/>
          <w:sz w:val="24"/>
        </w:rPr>
        <w:t xml:space="preserve">Optimalizácia prevádzky kompresorov umožnila výmenu zastaraných technológií za nové, čím sa výrazne zvýšila účinnosť kompresorov a znížili emisie. </w:t>
      </w:r>
      <w:r w:rsidR="006E636A" w:rsidRPr="006E636A">
        <w:rPr>
          <w:rFonts w:ascii="Times New Roman" w:hAnsi="Times New Roman" w:cs="Times New Roman"/>
          <w:sz w:val="24"/>
        </w:rPr>
        <w:t>Optimalizácia prevádzky umožňuje zvýšenie flexibility prevádzky kompresorových staníc a celej prepravnej siete, ako aj zabezpečenia bezpečnej, spoľahlivej a automatizovanej prevádzky</w:t>
      </w:r>
      <w:r w:rsidR="006E636A">
        <w:rPr>
          <w:rFonts w:ascii="Times New Roman" w:hAnsi="Times New Roman" w:cs="Times New Roman"/>
          <w:sz w:val="24"/>
        </w:rPr>
        <w:t>.</w:t>
      </w:r>
      <w:r w:rsidRPr="00F77093">
        <w:rPr>
          <w:rFonts w:ascii="Times New Roman" w:hAnsi="Times New Roman" w:cs="Times New Roman"/>
          <w:sz w:val="24"/>
        </w:rPr>
        <w:t xml:space="preserve"> V súvislosti s požiadavkami na emisie podľa európskej legislatívy bolo potrebné zabezpečiť významné znížení emisií, a tým aj zlepšiť efektívnosť prevádzky siete. </w:t>
      </w:r>
    </w:p>
    <w:p w14:paraId="4393FBCD" w14:textId="188799D4" w:rsidR="00082206" w:rsidRPr="00F77093" w:rsidRDefault="00082206" w:rsidP="00082206">
      <w:pPr>
        <w:jc w:val="both"/>
        <w:rPr>
          <w:rFonts w:ascii="Times New Roman" w:hAnsi="Times New Roman" w:cs="Times New Roman"/>
          <w:sz w:val="24"/>
        </w:rPr>
      </w:pPr>
      <w:r w:rsidRPr="00F77093">
        <w:rPr>
          <w:rFonts w:ascii="Times New Roman" w:hAnsi="Times New Roman" w:cs="Times New Roman"/>
          <w:sz w:val="24"/>
        </w:rPr>
        <w:t xml:space="preserve">V najbližších desiatich rokoch sa budú realizovať projekty týkajúce sa modernizácie a rekonštrukcie technológie na prepravu plynu, a to najmä modernizáciu riadiaceho systému kompresorových staníc, redizajn kompresorových staníc RENet, ďalšie zlepšovanie presnosti a objektivity meracích systémov a zvýšenie bezpečnosti prevádzky, ako aj zvýšenie flexibility prepravnej siete, spojenej s novými cezhraničným prepojeniami, ktoré boli v posledných troch rokoch otvorené, alebo sú na najbližšie obdobie plánované. </w:t>
      </w:r>
    </w:p>
    <w:p w14:paraId="722ADF79" w14:textId="72D33783" w:rsidR="001617F3" w:rsidRDefault="00082206" w:rsidP="00082206">
      <w:pPr>
        <w:jc w:val="both"/>
        <w:rPr>
          <w:rFonts w:ascii="Times New Roman" w:hAnsi="Times New Roman" w:cs="Times New Roman"/>
          <w:sz w:val="24"/>
        </w:rPr>
      </w:pPr>
      <w:r w:rsidRPr="00F77093">
        <w:rPr>
          <w:rFonts w:ascii="Times New Roman" w:hAnsi="Times New Roman" w:cs="Times New Roman"/>
          <w:sz w:val="24"/>
        </w:rPr>
        <w:lastRenderedPageBreak/>
        <w:t xml:space="preserve">Distribúciu plynu zabezpečuje približne </w:t>
      </w:r>
      <w:r w:rsidR="009F418C">
        <w:rPr>
          <w:rFonts w:ascii="Times New Roman" w:hAnsi="Times New Roman" w:cs="Times New Roman"/>
          <w:sz w:val="24"/>
        </w:rPr>
        <w:t>5</w:t>
      </w:r>
      <w:r w:rsidRPr="00F77093">
        <w:rPr>
          <w:rFonts w:ascii="Times New Roman" w:hAnsi="Times New Roman" w:cs="Times New Roman"/>
          <w:sz w:val="24"/>
        </w:rPr>
        <w:t xml:space="preserve">0 prevádzkovateľov distribučnej siete. Hodnotenie energetickej náročnosti distribúcie plynu sa vypracúva v súlade s vyhláškou MH SR č. 88/2015. </w:t>
      </w:r>
    </w:p>
    <w:p w14:paraId="1F2FBD6B" w14:textId="579242F3" w:rsidR="00082206" w:rsidRPr="00F77093" w:rsidRDefault="00082206" w:rsidP="00082206">
      <w:pPr>
        <w:jc w:val="both"/>
        <w:rPr>
          <w:rFonts w:ascii="Times New Roman" w:hAnsi="Times New Roman" w:cs="Times New Roman"/>
          <w:sz w:val="24"/>
        </w:rPr>
      </w:pPr>
      <w:r w:rsidRPr="00F77093">
        <w:rPr>
          <w:rFonts w:ascii="Times New Roman" w:hAnsi="Times New Roman" w:cs="Times New Roman"/>
          <w:sz w:val="24"/>
        </w:rPr>
        <w:t xml:space="preserve">Priemerná energetická náročnosť distribúcie plynu </w:t>
      </w:r>
      <w:r w:rsidR="001617F3">
        <w:rPr>
          <w:rFonts w:ascii="Times New Roman" w:hAnsi="Times New Roman" w:cs="Times New Roman"/>
          <w:sz w:val="24"/>
        </w:rPr>
        <w:t xml:space="preserve">v </w:t>
      </w:r>
      <w:r w:rsidR="001617F3" w:rsidRPr="00F77093">
        <w:rPr>
          <w:rFonts w:ascii="Times New Roman" w:hAnsi="Times New Roman" w:cs="Times New Roman"/>
          <w:sz w:val="24"/>
        </w:rPr>
        <w:t xml:space="preserve">MWh/MWh </w:t>
      </w:r>
      <w:r w:rsidRPr="00F77093">
        <w:rPr>
          <w:rFonts w:ascii="Times New Roman" w:hAnsi="Times New Roman" w:cs="Times New Roman"/>
          <w:sz w:val="24"/>
        </w:rPr>
        <w:t xml:space="preserve">bola </w:t>
      </w:r>
      <w:r w:rsidR="001617F3" w:rsidRPr="00F77093">
        <w:rPr>
          <w:rFonts w:ascii="Times New Roman" w:hAnsi="Times New Roman" w:cs="Times New Roman"/>
          <w:sz w:val="24"/>
        </w:rPr>
        <w:t xml:space="preserve">0,012 </w:t>
      </w:r>
      <w:r w:rsidRPr="00F77093">
        <w:rPr>
          <w:rFonts w:ascii="Times New Roman" w:hAnsi="Times New Roman" w:cs="Times New Roman"/>
          <w:sz w:val="24"/>
        </w:rPr>
        <w:t>v roku 2014 a </w:t>
      </w:r>
      <w:r w:rsidR="001617F3" w:rsidRPr="00F77093">
        <w:rPr>
          <w:rFonts w:ascii="Times New Roman" w:hAnsi="Times New Roman" w:cs="Times New Roman"/>
          <w:sz w:val="24"/>
        </w:rPr>
        <w:t xml:space="preserve">0,0006 </w:t>
      </w:r>
      <w:r w:rsidRPr="00F77093">
        <w:rPr>
          <w:rFonts w:ascii="Times New Roman" w:hAnsi="Times New Roman" w:cs="Times New Roman"/>
          <w:sz w:val="24"/>
        </w:rPr>
        <w:t xml:space="preserve">v roku 2015. </w:t>
      </w:r>
    </w:p>
    <w:p w14:paraId="05827277" w14:textId="32671E57" w:rsidR="00082206" w:rsidRPr="00F77093" w:rsidRDefault="00082206" w:rsidP="00082206">
      <w:pPr>
        <w:jc w:val="both"/>
        <w:rPr>
          <w:rFonts w:ascii="Times New Roman" w:hAnsi="Times New Roman" w:cs="Times New Roman"/>
          <w:sz w:val="24"/>
        </w:rPr>
      </w:pPr>
      <w:r w:rsidRPr="00F77093">
        <w:rPr>
          <w:rFonts w:ascii="Times New Roman" w:hAnsi="Times New Roman" w:cs="Times New Roman"/>
          <w:sz w:val="24"/>
        </w:rPr>
        <w:t xml:space="preserve">Opatrenia, ktoré sa plánujú vykonať v najbližších desiatich rokoch sú najmä trvalé odstavenie ohrevu priestorov technologických miestností v regulačných staniciach a zavedenie režimu vypínania a zapínania ohrevu pretečeného objemu zemného plynu v závislosti od veľkosti distribúcie, výmena kotlov potrebných na ohrev plynu, rekonštrukcia regulačných staníc, optimalizácia výkonu kompresorov, </w:t>
      </w:r>
      <w:r w:rsidR="009F418C" w:rsidRPr="009F418C">
        <w:rPr>
          <w:rFonts w:ascii="Times New Roman" w:hAnsi="Times New Roman" w:cs="Times New Roman"/>
          <w:sz w:val="24"/>
        </w:rPr>
        <w:t>optimaliz</w:t>
      </w:r>
      <w:r w:rsidR="00141DB8">
        <w:rPr>
          <w:rFonts w:ascii="Times New Roman" w:hAnsi="Times New Roman" w:cs="Times New Roman"/>
          <w:sz w:val="24"/>
        </w:rPr>
        <w:t>ácia</w:t>
      </w:r>
      <w:r w:rsidR="009F418C" w:rsidRPr="009F418C">
        <w:rPr>
          <w:rFonts w:ascii="Times New Roman" w:hAnsi="Times New Roman" w:cs="Times New Roman"/>
          <w:sz w:val="24"/>
        </w:rPr>
        <w:t xml:space="preserve"> merania a diaľkového prenosu dát</w:t>
      </w:r>
      <w:r w:rsidRPr="00F77093">
        <w:rPr>
          <w:rFonts w:ascii="Times New Roman" w:hAnsi="Times New Roman" w:cs="Times New Roman"/>
          <w:sz w:val="24"/>
        </w:rPr>
        <w:t xml:space="preserve">, optimalizácia výšky tlaku v sieti, izolácia potrubných rozvodov tepla a výmenníkov, zlepšenie energetickej efektívnosti prevádzky ohrevov v regulačných staniciach, kontrola nastavenia prepočítavačov plynu a predohrevu a ohrevu plynu, kontrola trasových uzáverov, kontrola tesnosti plynovodov a dodatočná izolácia plynovodov, kontrola vypínania osvetlenia a zavedenie inteligentných meracích systémov v distribúcii a dodávke plynu. </w:t>
      </w:r>
    </w:p>
    <w:p w14:paraId="786DE25E" w14:textId="0859CBBF" w:rsidR="00082206" w:rsidRPr="00F77093" w:rsidRDefault="00082206" w:rsidP="00082206">
      <w:pPr>
        <w:jc w:val="both"/>
        <w:rPr>
          <w:rFonts w:ascii="Times New Roman" w:hAnsi="Times New Roman" w:cs="Times New Roman"/>
          <w:sz w:val="24"/>
        </w:rPr>
      </w:pPr>
      <w:r w:rsidRPr="00F77093">
        <w:rPr>
          <w:rFonts w:ascii="Times New Roman" w:hAnsi="Times New Roman" w:cs="Times New Roman"/>
          <w:sz w:val="24"/>
        </w:rPr>
        <w:t>Prevádzkovatelia zásobníkov plynu ako svoje najdôležitejšie opatrenia identifikovali optimalizáciu prevádzky zásobníkov, modernizáciu systému monitorovania a riadenia produktivity strojov a technologických celkov a možnosť využitia technologického tepla v prevádzke. Prevádzkovatelia miestnych distribučných sietí s krátkou dĺžkou potrubia často nereportovali žiadne opatrenia, ktoré by mali plánovať v najbližších 10 rokoch.</w:t>
      </w:r>
    </w:p>
    <w:p w14:paraId="2A92379F" w14:textId="5FF0EFDC" w:rsidR="00082206" w:rsidRPr="00F77093" w:rsidRDefault="00082206" w:rsidP="00082206">
      <w:pPr>
        <w:jc w:val="both"/>
        <w:rPr>
          <w:rFonts w:ascii="Times New Roman" w:hAnsi="Times New Roman" w:cs="Times New Roman"/>
          <w:sz w:val="24"/>
        </w:rPr>
      </w:pPr>
      <w:r w:rsidRPr="00F77093">
        <w:rPr>
          <w:rFonts w:ascii="Times New Roman" w:hAnsi="Times New Roman" w:cs="Times New Roman"/>
          <w:sz w:val="24"/>
        </w:rPr>
        <w:t>Potrebné investície identifikované v plynárenstve sú vo výške cca 30 mil</w:t>
      </w:r>
      <w:r w:rsidR="000C2919">
        <w:rPr>
          <w:rFonts w:ascii="Times New Roman" w:hAnsi="Times New Roman" w:cs="Times New Roman"/>
          <w:sz w:val="24"/>
        </w:rPr>
        <w:t>.</w:t>
      </w:r>
      <w:r w:rsidRPr="00F77093">
        <w:rPr>
          <w:rFonts w:ascii="Times New Roman" w:hAnsi="Times New Roman" w:cs="Times New Roman"/>
          <w:sz w:val="24"/>
        </w:rPr>
        <w:t xml:space="preserve"> </w:t>
      </w:r>
      <w:r w:rsidR="000C2919">
        <w:rPr>
          <w:rFonts w:ascii="Times New Roman" w:hAnsi="Times New Roman" w:cs="Times New Roman"/>
          <w:sz w:val="24"/>
        </w:rPr>
        <w:t>Eur</w:t>
      </w:r>
      <w:r w:rsidRPr="00F77093">
        <w:rPr>
          <w:rFonts w:ascii="Times New Roman" w:hAnsi="Times New Roman" w:cs="Times New Roman"/>
          <w:sz w:val="24"/>
        </w:rPr>
        <w:t xml:space="preserve"> na celé desaťročné obdobie, ku ktorým je potrebné pripočítať veľké investičné projekty cezhraničných prepojení uvedené v desaťročnom pláne rozvoja plynárenskej</w:t>
      </w:r>
      <w:r w:rsidR="00221B6C">
        <w:rPr>
          <w:rFonts w:ascii="Times New Roman" w:hAnsi="Times New Roman" w:cs="Times New Roman"/>
          <w:sz w:val="24"/>
        </w:rPr>
        <w:t xml:space="preserve"> </w:t>
      </w:r>
      <w:r w:rsidR="00221B6C" w:rsidRPr="00CC5CF1">
        <w:rPr>
          <w:rFonts w:ascii="Times New Roman" w:hAnsi="Times New Roman"/>
        </w:rPr>
        <w:t>prepravnej</w:t>
      </w:r>
      <w:r w:rsidRPr="00F77093">
        <w:rPr>
          <w:rFonts w:ascii="Times New Roman" w:hAnsi="Times New Roman" w:cs="Times New Roman"/>
          <w:sz w:val="24"/>
        </w:rPr>
        <w:t xml:space="preserve"> siete (TYNDP).</w:t>
      </w:r>
    </w:p>
    <w:p w14:paraId="6DFB22AC" w14:textId="77777777" w:rsidR="00C23272" w:rsidRPr="009F2998" w:rsidRDefault="00C23272" w:rsidP="00C23272">
      <w:pPr>
        <w:rPr>
          <w:rFonts w:ascii="Times New Roman" w:hAnsi="Times New Roman" w:cs="Times New Roman"/>
        </w:rPr>
      </w:pPr>
    </w:p>
    <w:p w14:paraId="566E07BC" w14:textId="1F85BAED" w:rsidR="001D5205" w:rsidRPr="000578FE" w:rsidRDefault="001D5205" w:rsidP="007157D7">
      <w:pPr>
        <w:pStyle w:val="Nadpis3"/>
        <w:keepNext w:val="0"/>
        <w:keepLines w:val="0"/>
        <w:numPr>
          <w:ilvl w:val="2"/>
          <w:numId w:val="16"/>
        </w:numPr>
        <w:ind w:left="1276" w:hanging="567"/>
        <w:rPr>
          <w:rFonts w:ascii="Times New Roman" w:hAnsi="Times New Roman" w:cs="Times New Roman"/>
          <w:color w:val="auto"/>
        </w:rPr>
      </w:pPr>
      <w:bookmarkStart w:id="116" w:name="_Toc480547287"/>
      <w:r w:rsidRPr="000578FE">
        <w:rPr>
          <w:rFonts w:ascii="Times New Roman" w:hAnsi="Times New Roman" w:cs="Times New Roman"/>
          <w:color w:val="auto"/>
        </w:rPr>
        <w:t>Kritéria energetickej efektívnosti pri sieťových tarifách a sieťovej regulácii (článok 15 SEE)</w:t>
      </w:r>
      <w:bookmarkEnd w:id="116"/>
    </w:p>
    <w:p w14:paraId="562B9CD3" w14:textId="77777777" w:rsidR="00E4685A" w:rsidRPr="007345A8" w:rsidRDefault="00E4685A" w:rsidP="00E4685A">
      <w:pPr>
        <w:rPr>
          <w:rFonts w:ascii="Times New Roman" w:hAnsi="Times New Roman" w:cs="Times New Roman"/>
        </w:rPr>
      </w:pPr>
    </w:p>
    <w:p w14:paraId="622C2936" w14:textId="546C698C" w:rsidR="00E4685A" w:rsidRPr="000578FE" w:rsidRDefault="00BF460E" w:rsidP="007157D7">
      <w:pPr>
        <w:pStyle w:val="Nadpis4"/>
        <w:numPr>
          <w:ilvl w:val="3"/>
          <w:numId w:val="16"/>
        </w:numPr>
        <w:rPr>
          <w:rFonts w:ascii="Times New Roman" w:eastAsia="Times New Roman" w:hAnsi="Times New Roman" w:cs="Times New Roman"/>
          <w:i w:val="0"/>
          <w:color w:val="auto"/>
          <w:lang w:eastAsia="sk-SK"/>
        </w:rPr>
      </w:pPr>
      <w:bookmarkStart w:id="117" w:name="_Toc480547288"/>
      <w:r w:rsidRPr="000578FE">
        <w:rPr>
          <w:rFonts w:ascii="Times New Roman" w:eastAsia="Times New Roman" w:hAnsi="Times New Roman" w:cs="Times New Roman"/>
          <w:i w:val="0"/>
          <w:color w:val="auto"/>
          <w:lang w:eastAsia="sk-SK"/>
        </w:rPr>
        <w:t xml:space="preserve">Opis </w:t>
      </w:r>
      <w:r w:rsidR="00E4685A" w:rsidRPr="000578FE">
        <w:rPr>
          <w:rFonts w:ascii="Times New Roman" w:eastAsia="Times New Roman" w:hAnsi="Times New Roman" w:cs="Times New Roman"/>
          <w:i w:val="0"/>
          <w:color w:val="auto"/>
          <w:lang w:eastAsia="sk-SK"/>
        </w:rPr>
        <w:t>plánovan</w:t>
      </w:r>
      <w:r w:rsidRPr="000578FE">
        <w:rPr>
          <w:rFonts w:ascii="Times New Roman" w:eastAsia="Times New Roman" w:hAnsi="Times New Roman" w:cs="Times New Roman"/>
          <w:i w:val="0"/>
          <w:color w:val="auto"/>
          <w:lang w:eastAsia="sk-SK"/>
        </w:rPr>
        <w:t>ých</w:t>
      </w:r>
      <w:r w:rsidR="00E4685A" w:rsidRPr="000578FE">
        <w:rPr>
          <w:rFonts w:ascii="Times New Roman" w:eastAsia="Times New Roman" w:hAnsi="Times New Roman" w:cs="Times New Roman"/>
          <w:i w:val="0"/>
          <w:color w:val="auto"/>
          <w:lang w:eastAsia="sk-SK"/>
        </w:rPr>
        <w:t xml:space="preserve"> alebo prijat</w:t>
      </w:r>
      <w:r w:rsidRPr="000578FE">
        <w:rPr>
          <w:rFonts w:ascii="Times New Roman" w:eastAsia="Times New Roman" w:hAnsi="Times New Roman" w:cs="Times New Roman"/>
          <w:i w:val="0"/>
          <w:color w:val="auto"/>
          <w:lang w:eastAsia="sk-SK"/>
        </w:rPr>
        <w:t>ých</w:t>
      </w:r>
      <w:r w:rsidR="00E4685A" w:rsidRPr="000578FE">
        <w:rPr>
          <w:rFonts w:ascii="Times New Roman" w:eastAsia="Times New Roman" w:hAnsi="Times New Roman" w:cs="Times New Roman"/>
          <w:i w:val="0"/>
          <w:color w:val="auto"/>
          <w:lang w:eastAsia="sk-SK"/>
        </w:rPr>
        <w:t xml:space="preserve"> opatren</w:t>
      </w:r>
      <w:r w:rsidRPr="000578FE">
        <w:rPr>
          <w:rFonts w:ascii="Times New Roman" w:eastAsia="Times New Roman" w:hAnsi="Times New Roman" w:cs="Times New Roman"/>
          <w:i w:val="0"/>
          <w:color w:val="auto"/>
          <w:lang w:eastAsia="sk-SK"/>
        </w:rPr>
        <w:t>í</w:t>
      </w:r>
      <w:r w:rsidR="00E4685A" w:rsidRPr="000578FE">
        <w:rPr>
          <w:rFonts w:ascii="Times New Roman" w:eastAsia="Times New Roman" w:hAnsi="Times New Roman" w:cs="Times New Roman"/>
          <w:i w:val="0"/>
          <w:color w:val="auto"/>
          <w:lang w:eastAsia="sk-SK"/>
        </w:rPr>
        <w:t xml:space="preserve"> na zabezpečenie toho, aby sa odstránili stimuly v tarifách, ktoré poškodzujú celkovú efektívnosť výroby, prenosu, distribúcie a dodávky elektriny (článok 15 ods.</w:t>
      </w:r>
      <w:r w:rsidR="00F26279">
        <w:rPr>
          <w:rFonts w:ascii="Times New Roman" w:eastAsia="Times New Roman" w:hAnsi="Times New Roman" w:cs="Times New Roman"/>
          <w:i w:val="0"/>
          <w:color w:val="auto"/>
          <w:lang w:eastAsia="sk-SK"/>
        </w:rPr>
        <w:t xml:space="preserve"> </w:t>
      </w:r>
      <w:r w:rsidR="00E4685A" w:rsidRPr="000578FE">
        <w:rPr>
          <w:rFonts w:ascii="Times New Roman" w:eastAsia="Times New Roman" w:hAnsi="Times New Roman" w:cs="Times New Roman"/>
          <w:i w:val="0"/>
          <w:color w:val="auto"/>
          <w:lang w:eastAsia="sk-SK"/>
        </w:rPr>
        <w:t>4 SEE)</w:t>
      </w:r>
      <w:bookmarkEnd w:id="117"/>
    </w:p>
    <w:p w14:paraId="4597DF5B" w14:textId="193246BD" w:rsidR="00E048AD" w:rsidRPr="00F77093" w:rsidRDefault="00E048AD" w:rsidP="0080114C">
      <w:pPr>
        <w:rPr>
          <w:rFonts w:ascii="Times New Roman" w:hAnsi="Times New Roman" w:cs="Times New Roman"/>
          <w:sz w:val="24"/>
          <w:lang w:eastAsia="sk-SK"/>
        </w:rPr>
      </w:pPr>
      <w:r w:rsidRPr="00F77093">
        <w:rPr>
          <w:rFonts w:ascii="Times New Roman" w:hAnsi="Times New Roman" w:cs="Times New Roman"/>
          <w:sz w:val="24"/>
          <w:lang w:eastAsia="sk-SK"/>
        </w:rPr>
        <w:t xml:space="preserve">Podľa § 11 ods. 1 písm. podlieha cenovej regulácii aj prístup do prenosovej sústavy a prenos elektriny (písm. d) a prístup do distribučnej sústavy a distribúcia elektriny (písm. e). </w:t>
      </w:r>
      <w:r w:rsidR="00586C53" w:rsidRPr="00F77093">
        <w:rPr>
          <w:rFonts w:ascii="Times New Roman" w:hAnsi="Times New Roman" w:cs="Times New Roman"/>
          <w:sz w:val="24"/>
          <w:lang w:eastAsia="sk-SK"/>
        </w:rPr>
        <w:t>Spôsob výpočtu maximálnej ceny je uvedený vo vyhláške ÚRSO</w:t>
      </w:r>
      <w:r w:rsidR="002722FF" w:rsidRPr="00F77093">
        <w:rPr>
          <w:rFonts w:ascii="Times New Roman" w:hAnsi="Times New Roman" w:cs="Times New Roman"/>
          <w:sz w:val="24"/>
          <w:lang w:eastAsia="sk-SK"/>
        </w:rPr>
        <w:t>.</w:t>
      </w:r>
      <w:bookmarkStart w:id="118" w:name="_Ref474760092"/>
      <w:r w:rsidR="00586C53" w:rsidRPr="00F77093">
        <w:rPr>
          <w:rStyle w:val="Odkaznapoznmkupodiarou"/>
          <w:rFonts w:ascii="Times New Roman" w:hAnsi="Times New Roman" w:cs="Times New Roman"/>
          <w:sz w:val="24"/>
          <w:lang w:eastAsia="sk-SK"/>
        </w:rPr>
        <w:footnoteReference w:id="40"/>
      </w:r>
      <w:bookmarkEnd w:id="118"/>
    </w:p>
    <w:p w14:paraId="53C7A444" w14:textId="77777777" w:rsidR="00E048AD" w:rsidRPr="009F2998" w:rsidRDefault="00E048AD" w:rsidP="0080114C">
      <w:pPr>
        <w:rPr>
          <w:rFonts w:ascii="Times New Roman" w:hAnsi="Times New Roman" w:cs="Times New Roman"/>
          <w:lang w:eastAsia="sk-SK"/>
        </w:rPr>
      </w:pPr>
    </w:p>
    <w:p w14:paraId="5335DF4C" w14:textId="3903BAC2" w:rsidR="00E4685A" w:rsidRPr="000578FE" w:rsidRDefault="00BF460E" w:rsidP="007157D7">
      <w:pPr>
        <w:pStyle w:val="Nadpis4"/>
        <w:numPr>
          <w:ilvl w:val="3"/>
          <w:numId w:val="16"/>
        </w:numPr>
        <w:rPr>
          <w:rFonts w:ascii="Times New Roman" w:eastAsia="Times New Roman" w:hAnsi="Times New Roman" w:cs="Times New Roman"/>
          <w:i w:val="0"/>
          <w:color w:val="auto"/>
          <w:lang w:eastAsia="sk-SK"/>
        </w:rPr>
      </w:pPr>
      <w:bookmarkStart w:id="119" w:name="_Toc480547289"/>
      <w:r w:rsidRPr="000578FE">
        <w:rPr>
          <w:rFonts w:ascii="Times New Roman" w:eastAsia="Times New Roman" w:hAnsi="Times New Roman" w:cs="Times New Roman"/>
          <w:i w:val="0"/>
          <w:color w:val="auto"/>
          <w:lang w:eastAsia="sk-SK"/>
        </w:rPr>
        <w:t xml:space="preserve">Opis plánovaných alebo prijatých opatrení </w:t>
      </w:r>
      <w:r w:rsidR="00E4685A" w:rsidRPr="000578FE">
        <w:rPr>
          <w:rFonts w:ascii="Times New Roman" w:eastAsia="Times New Roman" w:hAnsi="Times New Roman" w:cs="Times New Roman"/>
          <w:i w:val="0"/>
          <w:color w:val="auto"/>
          <w:lang w:eastAsia="sk-SK"/>
        </w:rPr>
        <w:t xml:space="preserve">na stimuláciu prevádzkovateľov </w:t>
      </w:r>
      <w:r w:rsidR="009C412C">
        <w:rPr>
          <w:rFonts w:ascii="Times New Roman" w:eastAsia="Times New Roman" w:hAnsi="Times New Roman" w:cs="Times New Roman"/>
          <w:i w:val="0"/>
          <w:color w:val="auto"/>
          <w:lang w:eastAsia="sk-SK"/>
        </w:rPr>
        <w:t>sústav</w:t>
      </w:r>
      <w:r w:rsidR="009C412C" w:rsidRPr="000578FE">
        <w:rPr>
          <w:rFonts w:ascii="Times New Roman" w:eastAsia="Times New Roman" w:hAnsi="Times New Roman" w:cs="Times New Roman"/>
          <w:i w:val="0"/>
          <w:color w:val="auto"/>
          <w:lang w:eastAsia="sk-SK"/>
        </w:rPr>
        <w:t xml:space="preserve"> </w:t>
      </w:r>
      <w:r w:rsidR="00E4685A" w:rsidRPr="000578FE">
        <w:rPr>
          <w:rFonts w:ascii="Times New Roman" w:eastAsia="Times New Roman" w:hAnsi="Times New Roman" w:cs="Times New Roman"/>
          <w:i w:val="0"/>
          <w:color w:val="auto"/>
          <w:lang w:eastAsia="sk-SK"/>
        </w:rPr>
        <w:t>zvyšovať efektívnosť pri navrhovaní a prevádzke infraštruktúry (článok 15 ods.</w:t>
      </w:r>
      <w:r w:rsidR="009C412C">
        <w:rPr>
          <w:rFonts w:ascii="Times New Roman" w:eastAsia="Times New Roman" w:hAnsi="Times New Roman" w:cs="Times New Roman"/>
          <w:i w:val="0"/>
          <w:color w:val="auto"/>
          <w:lang w:eastAsia="sk-SK"/>
        </w:rPr>
        <w:t xml:space="preserve"> </w:t>
      </w:r>
      <w:r w:rsidR="00E4685A" w:rsidRPr="000578FE">
        <w:rPr>
          <w:rFonts w:ascii="Times New Roman" w:eastAsia="Times New Roman" w:hAnsi="Times New Roman" w:cs="Times New Roman"/>
          <w:i w:val="0"/>
          <w:color w:val="auto"/>
          <w:lang w:eastAsia="sk-SK"/>
        </w:rPr>
        <w:t>4 SEE)</w:t>
      </w:r>
      <w:bookmarkEnd w:id="119"/>
    </w:p>
    <w:p w14:paraId="0FDAA263" w14:textId="63D4FA2D" w:rsidR="002722FF" w:rsidRPr="00F77093" w:rsidRDefault="00C422F6" w:rsidP="0080114C">
      <w:pPr>
        <w:jc w:val="both"/>
        <w:rPr>
          <w:rFonts w:ascii="Times New Roman" w:hAnsi="Times New Roman" w:cs="Times New Roman"/>
          <w:sz w:val="24"/>
          <w:lang w:eastAsia="sk-SK"/>
        </w:rPr>
      </w:pPr>
      <w:r w:rsidRPr="00F77093">
        <w:rPr>
          <w:rFonts w:ascii="Times New Roman" w:hAnsi="Times New Roman" w:cs="Times New Roman"/>
          <w:sz w:val="24"/>
          <w:lang w:eastAsia="sk-SK"/>
        </w:rPr>
        <w:t>P</w:t>
      </w:r>
      <w:r w:rsidR="002722FF" w:rsidRPr="00F77093">
        <w:rPr>
          <w:rFonts w:ascii="Times New Roman" w:hAnsi="Times New Roman" w:cs="Times New Roman"/>
          <w:sz w:val="24"/>
          <w:lang w:eastAsia="sk-SK"/>
        </w:rPr>
        <w:t xml:space="preserve">odľa § 9 ods. 1 písm. </w:t>
      </w:r>
      <w:r w:rsidR="009C412C">
        <w:rPr>
          <w:rFonts w:ascii="Times New Roman" w:hAnsi="Times New Roman" w:cs="Times New Roman"/>
          <w:sz w:val="24"/>
          <w:lang w:eastAsia="sk-SK"/>
        </w:rPr>
        <w:t>j</w:t>
      </w:r>
      <w:r w:rsidR="002722FF" w:rsidRPr="00F77093">
        <w:rPr>
          <w:rFonts w:ascii="Times New Roman" w:hAnsi="Times New Roman" w:cs="Times New Roman"/>
          <w:sz w:val="24"/>
          <w:lang w:eastAsia="sk-SK"/>
        </w:rPr>
        <w:t>) zákona č. 25</w:t>
      </w:r>
      <w:r w:rsidR="009C412C">
        <w:rPr>
          <w:rFonts w:ascii="Times New Roman" w:hAnsi="Times New Roman" w:cs="Times New Roman"/>
          <w:sz w:val="24"/>
          <w:lang w:eastAsia="sk-SK"/>
        </w:rPr>
        <w:t>0</w:t>
      </w:r>
      <w:r w:rsidR="002722FF" w:rsidRPr="00F77093">
        <w:rPr>
          <w:rFonts w:ascii="Times New Roman" w:hAnsi="Times New Roman" w:cs="Times New Roman"/>
          <w:sz w:val="24"/>
          <w:lang w:eastAsia="sk-SK"/>
        </w:rPr>
        <w:t xml:space="preserve">/2012 Z. z. Úrad pre reguláciu sieťových odvetví </w:t>
      </w:r>
      <w:r w:rsidR="002722FF" w:rsidRPr="00F77093">
        <w:rPr>
          <w:rFonts w:ascii="Times New Roman" w:hAnsi="Times New Roman" w:cs="Times New Roman"/>
          <w:sz w:val="24"/>
        </w:rPr>
        <w:t>organizuje výberové</w:t>
      </w:r>
      <w:r w:rsidRPr="00F77093">
        <w:rPr>
          <w:rFonts w:ascii="Times New Roman" w:hAnsi="Times New Roman" w:cs="Times New Roman"/>
          <w:sz w:val="24"/>
        </w:rPr>
        <w:t xml:space="preserve"> konanie </w:t>
      </w:r>
      <w:r w:rsidR="002722FF" w:rsidRPr="00F77093">
        <w:rPr>
          <w:rFonts w:ascii="Times New Roman" w:hAnsi="Times New Roman" w:cs="Times New Roman"/>
          <w:sz w:val="24"/>
        </w:rPr>
        <w:t>na</w:t>
      </w:r>
      <w:r w:rsidRPr="00F77093">
        <w:rPr>
          <w:rFonts w:ascii="Times New Roman" w:hAnsi="Times New Roman" w:cs="Times New Roman"/>
          <w:sz w:val="24"/>
        </w:rPr>
        <w:t xml:space="preserve"> </w:t>
      </w:r>
      <w:r w:rsidR="002722FF" w:rsidRPr="00F77093">
        <w:rPr>
          <w:rFonts w:ascii="Times New Roman" w:hAnsi="Times New Roman" w:cs="Times New Roman"/>
          <w:sz w:val="24"/>
        </w:rPr>
        <w:t>dodávateľa</w:t>
      </w:r>
      <w:r w:rsidRPr="00F77093">
        <w:rPr>
          <w:rFonts w:ascii="Times New Roman" w:hAnsi="Times New Roman" w:cs="Times New Roman"/>
          <w:sz w:val="24"/>
        </w:rPr>
        <w:t xml:space="preserve"> </w:t>
      </w:r>
      <w:r w:rsidR="002722FF" w:rsidRPr="00F77093">
        <w:rPr>
          <w:rFonts w:ascii="Times New Roman" w:hAnsi="Times New Roman" w:cs="Times New Roman"/>
          <w:sz w:val="24"/>
        </w:rPr>
        <w:t>technológie,</w:t>
      </w:r>
      <w:r w:rsidRPr="00F77093">
        <w:rPr>
          <w:rFonts w:ascii="Times New Roman" w:hAnsi="Times New Roman" w:cs="Times New Roman"/>
          <w:sz w:val="24"/>
        </w:rPr>
        <w:t xml:space="preserve"> </w:t>
      </w:r>
      <w:r w:rsidR="002722FF" w:rsidRPr="00F77093">
        <w:rPr>
          <w:rFonts w:ascii="Times New Roman" w:hAnsi="Times New Roman" w:cs="Times New Roman"/>
          <w:sz w:val="24"/>
        </w:rPr>
        <w:t>ktorá</w:t>
      </w:r>
      <w:r w:rsidRPr="00F77093">
        <w:rPr>
          <w:rFonts w:ascii="Times New Roman" w:hAnsi="Times New Roman" w:cs="Times New Roman"/>
          <w:sz w:val="24"/>
          <w:lang w:eastAsia="sk-SK"/>
        </w:rPr>
        <w:t xml:space="preserve"> </w:t>
      </w:r>
      <w:r w:rsidR="002722FF" w:rsidRPr="00F77093">
        <w:rPr>
          <w:rFonts w:ascii="Times New Roman" w:hAnsi="Times New Roman" w:cs="Times New Roman"/>
          <w:sz w:val="24"/>
        </w:rPr>
        <w:t>zabezpečí</w:t>
      </w:r>
      <w:r w:rsidRPr="00F77093">
        <w:rPr>
          <w:rFonts w:ascii="Times New Roman" w:hAnsi="Times New Roman" w:cs="Times New Roman"/>
          <w:sz w:val="24"/>
        </w:rPr>
        <w:t xml:space="preserve"> </w:t>
      </w:r>
      <w:r w:rsidR="002722FF" w:rsidRPr="00F77093">
        <w:rPr>
          <w:rFonts w:ascii="Times New Roman" w:hAnsi="Times New Roman" w:cs="Times New Roman"/>
          <w:sz w:val="24"/>
        </w:rPr>
        <w:t>zvýšenie</w:t>
      </w:r>
      <w:r w:rsidRPr="00F77093">
        <w:rPr>
          <w:rFonts w:ascii="Times New Roman" w:hAnsi="Times New Roman" w:cs="Times New Roman"/>
          <w:sz w:val="24"/>
        </w:rPr>
        <w:t xml:space="preserve"> </w:t>
      </w:r>
      <w:r w:rsidR="002722FF" w:rsidRPr="00F77093">
        <w:rPr>
          <w:rFonts w:ascii="Times New Roman" w:hAnsi="Times New Roman" w:cs="Times New Roman"/>
          <w:sz w:val="24"/>
        </w:rPr>
        <w:t>energetickej</w:t>
      </w:r>
      <w:r w:rsidRPr="00F77093">
        <w:rPr>
          <w:rFonts w:ascii="Times New Roman" w:hAnsi="Times New Roman" w:cs="Times New Roman"/>
          <w:sz w:val="24"/>
        </w:rPr>
        <w:t xml:space="preserve"> </w:t>
      </w:r>
      <w:r w:rsidR="002722FF" w:rsidRPr="00F77093">
        <w:rPr>
          <w:rFonts w:ascii="Times New Roman" w:hAnsi="Times New Roman" w:cs="Times New Roman"/>
          <w:sz w:val="24"/>
        </w:rPr>
        <w:t>efektívnosti</w:t>
      </w:r>
      <w:r w:rsidRPr="00F77093">
        <w:rPr>
          <w:rFonts w:ascii="Times New Roman" w:hAnsi="Times New Roman" w:cs="Times New Roman"/>
          <w:sz w:val="24"/>
        </w:rPr>
        <w:t xml:space="preserve"> </w:t>
      </w:r>
      <w:r w:rsidR="002722FF" w:rsidRPr="00F77093">
        <w:rPr>
          <w:rFonts w:ascii="Times New Roman" w:hAnsi="Times New Roman" w:cs="Times New Roman"/>
          <w:sz w:val="24"/>
        </w:rPr>
        <w:t>sústav</w:t>
      </w:r>
      <w:r w:rsidRPr="00F77093">
        <w:rPr>
          <w:rFonts w:ascii="Times New Roman" w:hAnsi="Times New Roman" w:cs="Times New Roman"/>
          <w:sz w:val="24"/>
        </w:rPr>
        <w:t xml:space="preserve"> </w:t>
      </w:r>
      <w:r w:rsidR="002722FF" w:rsidRPr="00F77093">
        <w:rPr>
          <w:rFonts w:ascii="Times New Roman" w:hAnsi="Times New Roman" w:cs="Times New Roman"/>
          <w:sz w:val="24"/>
        </w:rPr>
        <w:t>alebo</w:t>
      </w:r>
      <w:r w:rsidRPr="00F77093">
        <w:rPr>
          <w:rFonts w:ascii="Times New Roman" w:hAnsi="Times New Roman" w:cs="Times New Roman"/>
          <w:sz w:val="24"/>
        </w:rPr>
        <w:t xml:space="preserve"> </w:t>
      </w:r>
      <w:r w:rsidR="002722FF" w:rsidRPr="00F77093">
        <w:rPr>
          <w:rFonts w:ascii="Times New Roman" w:hAnsi="Times New Roman" w:cs="Times New Roman"/>
          <w:sz w:val="24"/>
        </w:rPr>
        <w:t>zníženie</w:t>
      </w:r>
      <w:r w:rsidRPr="00F77093">
        <w:rPr>
          <w:rFonts w:ascii="Times New Roman" w:hAnsi="Times New Roman" w:cs="Times New Roman"/>
          <w:sz w:val="24"/>
        </w:rPr>
        <w:t xml:space="preserve"> </w:t>
      </w:r>
      <w:r w:rsidR="002722FF" w:rsidRPr="00F77093">
        <w:rPr>
          <w:rFonts w:ascii="Times New Roman" w:hAnsi="Times New Roman" w:cs="Times New Roman"/>
          <w:sz w:val="24"/>
        </w:rPr>
        <w:t>spotreby</w:t>
      </w:r>
      <w:r w:rsidRPr="00F77093">
        <w:rPr>
          <w:rFonts w:ascii="Times New Roman" w:hAnsi="Times New Roman" w:cs="Times New Roman"/>
          <w:sz w:val="24"/>
        </w:rPr>
        <w:t xml:space="preserve"> </w:t>
      </w:r>
      <w:r w:rsidR="002722FF" w:rsidRPr="00F77093">
        <w:rPr>
          <w:rFonts w:ascii="Times New Roman" w:hAnsi="Times New Roman" w:cs="Times New Roman"/>
          <w:sz w:val="24"/>
        </w:rPr>
        <w:t>elektriny</w:t>
      </w:r>
      <w:r w:rsidRPr="00F77093">
        <w:rPr>
          <w:rFonts w:ascii="Times New Roman" w:hAnsi="Times New Roman" w:cs="Times New Roman"/>
          <w:sz w:val="24"/>
        </w:rPr>
        <w:t xml:space="preserve"> </w:t>
      </w:r>
      <w:r w:rsidR="002722FF" w:rsidRPr="00F77093">
        <w:rPr>
          <w:rFonts w:ascii="Times New Roman" w:hAnsi="Times New Roman" w:cs="Times New Roman"/>
          <w:sz w:val="24"/>
        </w:rPr>
        <w:t>a</w:t>
      </w:r>
      <w:r w:rsidRPr="00F77093">
        <w:rPr>
          <w:rFonts w:ascii="Times New Roman" w:hAnsi="Times New Roman" w:cs="Times New Roman"/>
          <w:sz w:val="24"/>
          <w:lang w:eastAsia="sk-SK"/>
        </w:rPr>
        <w:t xml:space="preserve"> </w:t>
      </w:r>
      <w:r w:rsidR="002722FF" w:rsidRPr="00F77093">
        <w:rPr>
          <w:rFonts w:ascii="Times New Roman" w:hAnsi="Times New Roman" w:cs="Times New Roman"/>
          <w:sz w:val="24"/>
        </w:rPr>
        <w:t>dodávateľ</w:t>
      </w:r>
      <w:r w:rsidRPr="00F77093">
        <w:rPr>
          <w:rFonts w:ascii="Times New Roman" w:hAnsi="Times New Roman" w:cs="Times New Roman"/>
          <w:sz w:val="24"/>
        </w:rPr>
        <w:t xml:space="preserve">a, </w:t>
      </w:r>
      <w:r w:rsidR="002722FF" w:rsidRPr="00F77093">
        <w:rPr>
          <w:rFonts w:ascii="Times New Roman" w:hAnsi="Times New Roman" w:cs="Times New Roman"/>
          <w:sz w:val="24"/>
        </w:rPr>
        <w:t>ktorý</w:t>
      </w:r>
      <w:r w:rsidRPr="00F77093">
        <w:rPr>
          <w:rFonts w:ascii="Times New Roman" w:hAnsi="Times New Roman" w:cs="Times New Roman"/>
          <w:sz w:val="24"/>
        </w:rPr>
        <w:t xml:space="preserve"> </w:t>
      </w:r>
      <w:r w:rsidR="002722FF" w:rsidRPr="00F77093">
        <w:rPr>
          <w:rFonts w:ascii="Times New Roman" w:hAnsi="Times New Roman" w:cs="Times New Roman"/>
          <w:sz w:val="24"/>
        </w:rPr>
        <w:t>zabezpečuje</w:t>
      </w:r>
      <w:r w:rsidRPr="00F77093">
        <w:rPr>
          <w:rFonts w:ascii="Times New Roman" w:hAnsi="Times New Roman" w:cs="Times New Roman"/>
          <w:sz w:val="24"/>
        </w:rPr>
        <w:t xml:space="preserve"> </w:t>
      </w:r>
      <w:r w:rsidR="002722FF" w:rsidRPr="00F77093">
        <w:rPr>
          <w:rFonts w:ascii="Times New Roman" w:hAnsi="Times New Roman" w:cs="Times New Roman"/>
          <w:sz w:val="24"/>
        </w:rPr>
        <w:t>prípravu</w:t>
      </w:r>
      <w:r w:rsidRPr="00F77093">
        <w:rPr>
          <w:rFonts w:ascii="Times New Roman" w:hAnsi="Times New Roman" w:cs="Times New Roman"/>
          <w:sz w:val="24"/>
        </w:rPr>
        <w:t xml:space="preserve"> </w:t>
      </w:r>
      <w:r w:rsidR="002722FF" w:rsidRPr="00F77093">
        <w:rPr>
          <w:rFonts w:ascii="Times New Roman" w:hAnsi="Times New Roman" w:cs="Times New Roman"/>
          <w:sz w:val="24"/>
        </w:rPr>
        <w:lastRenderedPageBreak/>
        <w:t>výstavby</w:t>
      </w:r>
      <w:r w:rsidRPr="00F77093">
        <w:rPr>
          <w:rFonts w:ascii="Times New Roman" w:hAnsi="Times New Roman" w:cs="Times New Roman"/>
          <w:sz w:val="24"/>
        </w:rPr>
        <w:t xml:space="preserve"> </w:t>
      </w:r>
      <w:r w:rsidR="002722FF" w:rsidRPr="00F77093">
        <w:rPr>
          <w:rFonts w:ascii="Times New Roman" w:hAnsi="Times New Roman" w:cs="Times New Roman"/>
          <w:sz w:val="24"/>
        </w:rPr>
        <w:t>a</w:t>
      </w:r>
      <w:r w:rsidRPr="00F77093">
        <w:rPr>
          <w:rFonts w:ascii="Times New Roman" w:hAnsi="Times New Roman" w:cs="Times New Roman"/>
          <w:sz w:val="24"/>
        </w:rPr>
        <w:t> </w:t>
      </w:r>
      <w:r w:rsidR="002722FF" w:rsidRPr="00F77093">
        <w:rPr>
          <w:rFonts w:ascii="Times New Roman" w:hAnsi="Times New Roman" w:cs="Times New Roman"/>
          <w:sz w:val="24"/>
        </w:rPr>
        <w:t>výstavbu</w:t>
      </w:r>
      <w:r w:rsidRPr="00F77093">
        <w:rPr>
          <w:rFonts w:ascii="Times New Roman" w:hAnsi="Times New Roman" w:cs="Times New Roman"/>
          <w:sz w:val="24"/>
        </w:rPr>
        <w:t xml:space="preserve"> </w:t>
      </w:r>
      <w:r w:rsidR="002722FF" w:rsidRPr="00F77093">
        <w:rPr>
          <w:rFonts w:ascii="Times New Roman" w:hAnsi="Times New Roman" w:cs="Times New Roman"/>
          <w:sz w:val="24"/>
        </w:rPr>
        <w:t>nových</w:t>
      </w:r>
      <w:r w:rsidRPr="00F77093">
        <w:rPr>
          <w:rFonts w:ascii="Times New Roman" w:hAnsi="Times New Roman" w:cs="Times New Roman"/>
          <w:sz w:val="24"/>
        </w:rPr>
        <w:t xml:space="preserve"> </w:t>
      </w:r>
      <w:r w:rsidR="002722FF" w:rsidRPr="00F77093">
        <w:rPr>
          <w:rFonts w:ascii="Times New Roman" w:hAnsi="Times New Roman" w:cs="Times New Roman"/>
          <w:sz w:val="24"/>
        </w:rPr>
        <w:t>elektroenergetických</w:t>
      </w:r>
      <w:r w:rsidRPr="00F77093">
        <w:rPr>
          <w:rFonts w:ascii="Times New Roman" w:hAnsi="Times New Roman" w:cs="Times New Roman"/>
          <w:sz w:val="24"/>
          <w:lang w:eastAsia="sk-SK"/>
        </w:rPr>
        <w:t xml:space="preserve"> </w:t>
      </w:r>
      <w:r w:rsidR="002722FF" w:rsidRPr="00F77093">
        <w:rPr>
          <w:rFonts w:ascii="Times New Roman" w:hAnsi="Times New Roman" w:cs="Times New Roman"/>
          <w:sz w:val="24"/>
        </w:rPr>
        <w:t>zariadení, na</w:t>
      </w:r>
      <w:r w:rsidRPr="00F77093">
        <w:rPr>
          <w:rFonts w:ascii="Times New Roman" w:hAnsi="Times New Roman" w:cs="Times New Roman"/>
          <w:sz w:val="24"/>
        </w:rPr>
        <w:t xml:space="preserve"> </w:t>
      </w:r>
      <w:r w:rsidR="002722FF" w:rsidRPr="00F77093">
        <w:rPr>
          <w:rFonts w:ascii="Times New Roman" w:hAnsi="Times New Roman" w:cs="Times New Roman"/>
          <w:sz w:val="24"/>
        </w:rPr>
        <w:t>ktoré</w:t>
      </w:r>
      <w:r w:rsidRPr="00F77093">
        <w:rPr>
          <w:rFonts w:ascii="Times New Roman" w:hAnsi="Times New Roman" w:cs="Times New Roman"/>
          <w:sz w:val="24"/>
        </w:rPr>
        <w:t xml:space="preserve"> </w:t>
      </w:r>
      <w:r w:rsidR="002722FF" w:rsidRPr="00F77093">
        <w:rPr>
          <w:rFonts w:ascii="Times New Roman" w:hAnsi="Times New Roman" w:cs="Times New Roman"/>
          <w:sz w:val="24"/>
        </w:rPr>
        <w:t>sa</w:t>
      </w:r>
      <w:r w:rsidRPr="00F77093">
        <w:rPr>
          <w:rFonts w:ascii="Times New Roman" w:hAnsi="Times New Roman" w:cs="Times New Roman"/>
          <w:sz w:val="24"/>
        </w:rPr>
        <w:t xml:space="preserve"> </w:t>
      </w:r>
      <w:r w:rsidR="002722FF" w:rsidRPr="00F77093">
        <w:rPr>
          <w:rFonts w:ascii="Times New Roman" w:hAnsi="Times New Roman" w:cs="Times New Roman"/>
          <w:sz w:val="24"/>
        </w:rPr>
        <w:t>poskytujú</w:t>
      </w:r>
      <w:r w:rsidRPr="00F77093">
        <w:rPr>
          <w:rFonts w:ascii="Times New Roman" w:hAnsi="Times New Roman" w:cs="Times New Roman"/>
          <w:sz w:val="24"/>
        </w:rPr>
        <w:t xml:space="preserve"> </w:t>
      </w:r>
      <w:r w:rsidR="002722FF" w:rsidRPr="00F77093">
        <w:rPr>
          <w:rFonts w:ascii="Times New Roman" w:hAnsi="Times New Roman" w:cs="Times New Roman"/>
          <w:sz w:val="24"/>
        </w:rPr>
        <w:t>ekonomické</w:t>
      </w:r>
      <w:r w:rsidRPr="00F77093">
        <w:rPr>
          <w:rFonts w:ascii="Times New Roman" w:hAnsi="Times New Roman" w:cs="Times New Roman"/>
          <w:sz w:val="24"/>
        </w:rPr>
        <w:t xml:space="preserve"> </w:t>
      </w:r>
      <w:r w:rsidR="002722FF" w:rsidRPr="00F77093">
        <w:rPr>
          <w:rFonts w:ascii="Times New Roman" w:hAnsi="Times New Roman" w:cs="Times New Roman"/>
          <w:sz w:val="24"/>
        </w:rPr>
        <w:t>s</w:t>
      </w:r>
      <w:r w:rsidRPr="00F77093">
        <w:rPr>
          <w:rFonts w:ascii="Times New Roman" w:hAnsi="Times New Roman" w:cs="Times New Roman"/>
          <w:sz w:val="24"/>
        </w:rPr>
        <w:t>timuly.</w:t>
      </w:r>
    </w:p>
    <w:p w14:paraId="16721929" w14:textId="77777777" w:rsidR="00AC64F1" w:rsidRPr="009F2998" w:rsidRDefault="00AC64F1" w:rsidP="0080114C">
      <w:pPr>
        <w:rPr>
          <w:rFonts w:ascii="Times New Roman" w:hAnsi="Times New Roman" w:cs="Times New Roman"/>
          <w:lang w:eastAsia="sk-SK"/>
        </w:rPr>
      </w:pPr>
    </w:p>
    <w:p w14:paraId="54C448EA" w14:textId="40DA8C46" w:rsidR="00E4685A" w:rsidRPr="000578FE" w:rsidRDefault="00BF460E" w:rsidP="007157D7">
      <w:pPr>
        <w:pStyle w:val="Nadpis4"/>
        <w:numPr>
          <w:ilvl w:val="3"/>
          <w:numId w:val="16"/>
        </w:numPr>
        <w:rPr>
          <w:rFonts w:ascii="Times New Roman" w:eastAsia="Times New Roman" w:hAnsi="Times New Roman" w:cs="Times New Roman"/>
          <w:i w:val="0"/>
          <w:color w:val="auto"/>
          <w:lang w:eastAsia="sk-SK"/>
        </w:rPr>
      </w:pPr>
      <w:bookmarkStart w:id="120" w:name="_Toc480547290"/>
      <w:r w:rsidRPr="000578FE">
        <w:rPr>
          <w:rFonts w:ascii="Times New Roman" w:eastAsia="Times New Roman" w:hAnsi="Times New Roman" w:cs="Times New Roman"/>
          <w:i w:val="0"/>
          <w:color w:val="auto"/>
          <w:lang w:eastAsia="sk-SK"/>
        </w:rPr>
        <w:t xml:space="preserve">Opis plánovaných alebo prijatých opatrení </w:t>
      </w:r>
      <w:r w:rsidR="00E4685A" w:rsidRPr="000578FE">
        <w:rPr>
          <w:rFonts w:ascii="Times New Roman" w:eastAsia="Times New Roman" w:hAnsi="Times New Roman" w:cs="Times New Roman"/>
          <w:i w:val="0"/>
          <w:color w:val="auto"/>
          <w:lang w:eastAsia="sk-SK"/>
        </w:rPr>
        <w:t>na zabezpečenie toho, aby sa prostredníctvom taríf dodávateľom umožnilo zlepšiť účasť odberateľov na efektívnosti systému vrátane reakcie strany spotreby (článok 15 ods.4 SEE)</w:t>
      </w:r>
      <w:bookmarkEnd w:id="120"/>
      <w:r w:rsidR="00E4685A" w:rsidRPr="000578FE">
        <w:rPr>
          <w:rFonts w:ascii="Times New Roman" w:eastAsia="Times New Roman" w:hAnsi="Times New Roman" w:cs="Times New Roman"/>
          <w:i w:val="0"/>
          <w:color w:val="auto"/>
          <w:lang w:eastAsia="sk-SK"/>
        </w:rPr>
        <w:t xml:space="preserve"> </w:t>
      </w:r>
    </w:p>
    <w:p w14:paraId="1EE53F15" w14:textId="7C8E8801" w:rsidR="000223AB" w:rsidRPr="00F77093" w:rsidRDefault="000223AB" w:rsidP="000223AB">
      <w:pPr>
        <w:pStyle w:val="odsek"/>
        <w:spacing w:before="0" w:after="0"/>
        <w:ind w:firstLine="0"/>
        <w:jc w:val="left"/>
        <w:rPr>
          <w:color w:val="231F20"/>
          <w:szCs w:val="22"/>
        </w:rPr>
      </w:pPr>
      <w:r w:rsidRPr="00F77093">
        <w:rPr>
          <w:szCs w:val="22"/>
        </w:rPr>
        <w:t xml:space="preserve">Vyhláška ÚRSO o cenovej regulácii v elektroenergetike zvýhodňuje </w:t>
      </w:r>
      <w:r w:rsidRPr="00F77093">
        <w:rPr>
          <w:color w:val="231F20"/>
          <w:szCs w:val="22"/>
        </w:rPr>
        <w:t>pre individuálne sadzby taríf koncových odberateľov elektriny priamo pripojených do prenosovej sústavy.</w:t>
      </w:r>
      <w:r w:rsidR="00F059CA" w:rsidRPr="00F77093">
        <w:rPr>
          <w:color w:val="231F20"/>
          <w:szCs w:val="22"/>
        </w:rPr>
        <w:fldChar w:fldCharType="begin"/>
      </w:r>
      <w:r w:rsidR="00F059CA" w:rsidRPr="00F77093">
        <w:rPr>
          <w:color w:val="231F20"/>
          <w:szCs w:val="22"/>
        </w:rPr>
        <w:instrText xml:space="preserve"> NOTEREF _Ref474760092 \h  \* MERGEFORMAT </w:instrText>
      </w:r>
      <w:r w:rsidR="00F059CA" w:rsidRPr="00F77093">
        <w:rPr>
          <w:color w:val="231F20"/>
          <w:szCs w:val="22"/>
        </w:rPr>
      </w:r>
      <w:r w:rsidR="00F059CA" w:rsidRPr="00F77093">
        <w:rPr>
          <w:color w:val="231F20"/>
          <w:szCs w:val="22"/>
        </w:rPr>
        <w:fldChar w:fldCharType="separate"/>
      </w:r>
      <w:r w:rsidR="00684C5F" w:rsidRPr="005F7B58">
        <w:rPr>
          <w:color w:val="231F20"/>
          <w:szCs w:val="22"/>
          <w:vertAlign w:val="superscript"/>
        </w:rPr>
        <w:t>40</w:t>
      </w:r>
      <w:r w:rsidR="00F059CA" w:rsidRPr="00F77093">
        <w:rPr>
          <w:color w:val="231F20"/>
          <w:szCs w:val="22"/>
        </w:rPr>
        <w:fldChar w:fldCharType="end"/>
      </w:r>
      <w:r w:rsidRPr="00F77093">
        <w:rPr>
          <w:color w:val="231F20"/>
          <w:szCs w:val="22"/>
        </w:rPr>
        <w:t xml:space="preserve"> </w:t>
      </w:r>
    </w:p>
    <w:p w14:paraId="092E1ED7" w14:textId="208EF4CE" w:rsidR="00E4685A" w:rsidRPr="009F2998" w:rsidRDefault="00E4685A" w:rsidP="00E4685A">
      <w:pPr>
        <w:rPr>
          <w:rFonts w:ascii="Times New Roman" w:hAnsi="Times New Roman" w:cs="Times New Roman"/>
        </w:rPr>
      </w:pPr>
    </w:p>
    <w:p w14:paraId="4961CBD0" w14:textId="77777777" w:rsidR="001D5205" w:rsidRPr="000578FE" w:rsidRDefault="001D5205" w:rsidP="007157D7">
      <w:pPr>
        <w:pStyle w:val="Nadpis3"/>
        <w:keepNext w:val="0"/>
        <w:keepLines w:val="0"/>
        <w:numPr>
          <w:ilvl w:val="2"/>
          <w:numId w:val="16"/>
        </w:numPr>
        <w:ind w:left="1276" w:hanging="567"/>
        <w:rPr>
          <w:rFonts w:ascii="Times New Roman" w:hAnsi="Times New Roman" w:cs="Times New Roman"/>
          <w:color w:val="auto"/>
        </w:rPr>
      </w:pPr>
      <w:bookmarkStart w:id="121" w:name="_Toc480547291"/>
      <w:r w:rsidRPr="000578FE">
        <w:rPr>
          <w:rFonts w:ascii="Times New Roman" w:hAnsi="Times New Roman" w:cs="Times New Roman"/>
          <w:color w:val="auto"/>
        </w:rPr>
        <w:t>Uľahčenie a podpora reakcie strany spotreby (článok 15 SEE)</w:t>
      </w:r>
      <w:bookmarkEnd w:id="121"/>
    </w:p>
    <w:p w14:paraId="40BC5AC9" w14:textId="77777777" w:rsidR="00AC64F1" w:rsidRPr="00F77093" w:rsidRDefault="00AC64F1" w:rsidP="0080114C">
      <w:pPr>
        <w:rPr>
          <w:rFonts w:ascii="Times New Roman" w:hAnsi="Times New Roman" w:cs="Times New Roman"/>
          <w:sz w:val="24"/>
        </w:rPr>
      </w:pPr>
    </w:p>
    <w:p w14:paraId="09A10ED1" w14:textId="74FCCC68" w:rsidR="00F059CA" w:rsidRPr="00F77093" w:rsidRDefault="00F059CA">
      <w:pPr>
        <w:pStyle w:val="odsek"/>
        <w:spacing w:before="0" w:after="0"/>
        <w:ind w:firstLine="0"/>
        <w:rPr>
          <w:szCs w:val="22"/>
        </w:rPr>
      </w:pPr>
      <w:r w:rsidRPr="00F77093">
        <w:rPr>
          <w:szCs w:val="22"/>
        </w:rPr>
        <w:t xml:space="preserve">Podľa § 9 ods. 3 písm. a) zákona č. 250/2012 Z. z., ÚRSO  </w:t>
      </w:r>
      <w:r w:rsidRPr="00F77093">
        <w:rPr>
          <w:color w:val="000000"/>
          <w:szCs w:val="22"/>
        </w:rPr>
        <w:t xml:space="preserve">do 31. decembra </w:t>
      </w:r>
      <w:smartTag w:uri="urn:schemas-microsoft-com:office:smarttags" w:element="metricconverter">
        <w:smartTagPr>
          <w:attr w:name="ProductID" w:val="2013 a"/>
        </w:smartTagPr>
        <w:r w:rsidRPr="00F77093">
          <w:rPr>
            <w:color w:val="000000"/>
            <w:szCs w:val="22"/>
          </w:rPr>
          <w:t>2013 a</w:t>
        </w:r>
      </w:smartTag>
      <w:r w:rsidRPr="00F77093">
        <w:rPr>
          <w:color w:val="000000"/>
          <w:szCs w:val="22"/>
        </w:rPr>
        <w:t xml:space="preserve"> následne každé dva roky vždy k 30. júnu aktualizuje v spolupráci s MH SR metodické usmernenie pre elektroenergetické podniky a plynárenské podniky ohľadom optimalizácie využívania elektriny a plynu vrátane poskytovania služieb odberateľom elektriny a odberateľom plynu zameraných na zvýšenie efektívnosti pri využívaní energie, uplatňovania cien a podmienok dodávky elektriny a dodávky plynu spôsobom zameraným na zvýšenie efektívnosti pri využívaní energie, zavádzania inteligentných meracích systémov a modernizácie sústav a sietí zameranej na zvýšenie efektívnosti pri využívaní energie.</w:t>
      </w:r>
      <w:bookmarkStart w:id="122" w:name="_Ref474762186"/>
      <w:r w:rsidRPr="00F77093">
        <w:rPr>
          <w:rStyle w:val="Odkaznapoznmkupodiarou"/>
          <w:color w:val="000000"/>
          <w:szCs w:val="22"/>
        </w:rPr>
        <w:footnoteReference w:id="41"/>
      </w:r>
      <w:bookmarkEnd w:id="122"/>
    </w:p>
    <w:p w14:paraId="14F3A10C" w14:textId="77777777" w:rsidR="00AC64F1" w:rsidRPr="009F2998" w:rsidRDefault="00AC64F1" w:rsidP="0080114C">
      <w:pPr>
        <w:rPr>
          <w:rFonts w:ascii="Times New Roman" w:hAnsi="Times New Roman" w:cs="Times New Roman"/>
        </w:rPr>
      </w:pPr>
    </w:p>
    <w:p w14:paraId="47D4BCC2" w14:textId="77777777" w:rsidR="001D5205" w:rsidRPr="000578FE" w:rsidRDefault="00341C70" w:rsidP="007157D7">
      <w:pPr>
        <w:pStyle w:val="Nadpis3"/>
        <w:keepNext w:val="0"/>
        <w:keepLines w:val="0"/>
        <w:numPr>
          <w:ilvl w:val="2"/>
          <w:numId w:val="16"/>
        </w:numPr>
        <w:ind w:left="1276" w:hanging="567"/>
        <w:rPr>
          <w:rFonts w:ascii="Times New Roman" w:hAnsi="Times New Roman" w:cs="Times New Roman"/>
          <w:color w:val="auto"/>
        </w:rPr>
      </w:pPr>
      <w:bookmarkStart w:id="123" w:name="_Toc480547292"/>
      <w:r w:rsidRPr="000578FE">
        <w:rPr>
          <w:rFonts w:ascii="Times New Roman" w:hAnsi="Times New Roman" w:cs="Times New Roman"/>
          <w:color w:val="auto"/>
        </w:rPr>
        <w:t>Energetická efektívnosť</w:t>
      </w:r>
      <w:r w:rsidR="001D5205" w:rsidRPr="000578FE">
        <w:rPr>
          <w:rFonts w:ascii="Times New Roman" w:hAnsi="Times New Roman" w:cs="Times New Roman"/>
          <w:color w:val="auto"/>
        </w:rPr>
        <w:t xml:space="preserve"> pri vytváraní a regulácií sietí (článok 15 SEE)</w:t>
      </w:r>
      <w:bookmarkEnd w:id="123"/>
    </w:p>
    <w:p w14:paraId="475A4248" w14:textId="030491A4" w:rsidR="00A42CF0" w:rsidRPr="007577DE" w:rsidRDefault="00960A8B" w:rsidP="007577DE">
      <w:pPr>
        <w:rPr>
          <w:rFonts w:ascii="Times New Roman" w:hAnsi="Times New Roman" w:cs="Times New Roman"/>
          <w:sz w:val="24"/>
          <w:lang w:eastAsia="sk-SK"/>
        </w:rPr>
      </w:pPr>
      <w:r w:rsidRPr="007577DE">
        <w:rPr>
          <w:rFonts w:ascii="Times New Roman" w:hAnsi="Times New Roman" w:cs="Times New Roman"/>
          <w:sz w:val="24"/>
          <w:lang w:eastAsia="sk-SK"/>
        </w:rPr>
        <w:t xml:space="preserve">Podrobnosti sú uvedené v metodickom </w:t>
      </w:r>
      <w:r w:rsidR="00A06490" w:rsidRPr="007577DE">
        <w:rPr>
          <w:rFonts w:ascii="Times New Roman" w:hAnsi="Times New Roman" w:cs="Times New Roman"/>
          <w:sz w:val="24"/>
          <w:lang w:eastAsia="sk-SK"/>
        </w:rPr>
        <w:t>pokyne Úradu pre reguláciu sieťových odvetví.</w:t>
      </w:r>
      <w:r w:rsidR="00A06490" w:rsidRPr="004E746F">
        <w:rPr>
          <w:rFonts w:ascii="Times New Roman" w:hAnsi="Times New Roman" w:cs="Times New Roman"/>
          <w:sz w:val="24"/>
          <w:vertAlign w:val="superscript"/>
          <w:lang w:eastAsia="sk-SK"/>
        </w:rPr>
        <w:fldChar w:fldCharType="begin"/>
      </w:r>
      <w:r w:rsidR="00A06490" w:rsidRPr="004E746F">
        <w:rPr>
          <w:rFonts w:ascii="Times New Roman" w:hAnsi="Times New Roman" w:cs="Times New Roman"/>
          <w:sz w:val="24"/>
          <w:vertAlign w:val="superscript"/>
          <w:lang w:eastAsia="sk-SK"/>
        </w:rPr>
        <w:instrText xml:space="preserve"> NOTEREF _Ref474762186 \h  \* MERGEFORMAT </w:instrText>
      </w:r>
      <w:r w:rsidR="00A06490" w:rsidRPr="004E746F">
        <w:rPr>
          <w:rFonts w:ascii="Times New Roman" w:hAnsi="Times New Roman" w:cs="Times New Roman"/>
          <w:sz w:val="24"/>
          <w:vertAlign w:val="superscript"/>
          <w:lang w:eastAsia="sk-SK"/>
        </w:rPr>
      </w:r>
      <w:r w:rsidR="00A06490" w:rsidRPr="004E746F">
        <w:rPr>
          <w:rFonts w:ascii="Times New Roman" w:hAnsi="Times New Roman" w:cs="Times New Roman"/>
          <w:sz w:val="24"/>
          <w:vertAlign w:val="superscript"/>
          <w:lang w:eastAsia="sk-SK"/>
        </w:rPr>
        <w:fldChar w:fldCharType="separate"/>
      </w:r>
      <w:r w:rsidR="00684C5F">
        <w:rPr>
          <w:rFonts w:ascii="Times New Roman" w:hAnsi="Times New Roman" w:cs="Times New Roman"/>
          <w:sz w:val="24"/>
          <w:vertAlign w:val="superscript"/>
          <w:lang w:eastAsia="sk-SK"/>
        </w:rPr>
        <w:t>41</w:t>
      </w:r>
      <w:r w:rsidR="00A06490" w:rsidRPr="004E746F">
        <w:rPr>
          <w:rFonts w:ascii="Times New Roman" w:hAnsi="Times New Roman" w:cs="Times New Roman"/>
          <w:sz w:val="24"/>
          <w:vertAlign w:val="superscript"/>
          <w:lang w:eastAsia="sk-SK"/>
        </w:rPr>
        <w:fldChar w:fldCharType="end"/>
      </w:r>
    </w:p>
    <w:p w14:paraId="57BBAD4D" w14:textId="77777777" w:rsidR="00485DB2" w:rsidRDefault="00960A8B">
      <w:pPr>
        <w:rPr>
          <w:rFonts w:ascii="Times New Roman" w:hAnsi="Times New Roman" w:cs="Times New Roman"/>
        </w:rPr>
        <w:sectPr w:rsidR="00485DB2" w:rsidSect="00245F4D">
          <w:pgSz w:w="11906" w:h="16838"/>
          <w:pgMar w:top="1417" w:right="1417" w:bottom="1417" w:left="1417" w:header="708" w:footer="708" w:gutter="0"/>
          <w:pgBorders w:offsetFrom="page">
            <w:top w:val="single" w:sz="4" w:space="24" w:color="FFFFFF"/>
            <w:left w:val="single" w:sz="4" w:space="24" w:color="FFFFFF"/>
            <w:bottom w:val="single" w:sz="4" w:space="24" w:color="FFFFFF"/>
            <w:right w:val="single" w:sz="4" w:space="24" w:color="FFFFFF"/>
          </w:pgBorders>
          <w:cols w:space="708"/>
          <w:docGrid w:linePitch="360"/>
        </w:sectPr>
      </w:pPr>
      <w:r w:rsidRPr="009F2998">
        <w:rPr>
          <w:rFonts w:ascii="Times New Roman" w:hAnsi="Times New Roman" w:cs="Times New Roman"/>
        </w:rPr>
        <w:t xml:space="preserve"> </w:t>
      </w:r>
    </w:p>
    <w:p w14:paraId="6CAD9BE5" w14:textId="7558886E" w:rsidR="001D5205" w:rsidRPr="001B1483" w:rsidRDefault="001D5205" w:rsidP="004A66C0">
      <w:pPr>
        <w:pStyle w:val="Nadpis1"/>
        <w:keepNext w:val="0"/>
        <w:keepLines w:val="0"/>
        <w:numPr>
          <w:ilvl w:val="0"/>
          <w:numId w:val="0"/>
        </w:numPr>
        <w:tabs>
          <w:tab w:val="left" w:pos="1365"/>
        </w:tabs>
        <w:ind w:left="432" w:hanging="432"/>
        <w:rPr>
          <w:rFonts w:ascii="Times New Roman" w:hAnsi="Times New Roman" w:cs="Times New Roman"/>
          <w:b/>
          <w:color w:val="auto"/>
        </w:rPr>
      </w:pPr>
      <w:bookmarkStart w:id="124" w:name="_Toc480547293"/>
      <w:r w:rsidRPr="001B1483">
        <w:rPr>
          <w:rFonts w:ascii="Times New Roman" w:hAnsi="Times New Roman" w:cs="Times New Roman"/>
          <w:b/>
          <w:color w:val="auto"/>
        </w:rPr>
        <w:lastRenderedPageBreak/>
        <w:t>Záver</w:t>
      </w:r>
      <w:r w:rsidR="00520406">
        <w:rPr>
          <w:rFonts w:ascii="Times New Roman" w:hAnsi="Times New Roman" w:cs="Times New Roman"/>
          <w:b/>
          <w:color w:val="auto"/>
        </w:rPr>
        <w:t xml:space="preserve"> a odporúčania</w:t>
      </w:r>
      <w:bookmarkEnd w:id="124"/>
      <w:r w:rsidR="004A66C0" w:rsidRPr="001B1483">
        <w:rPr>
          <w:rFonts w:ascii="Times New Roman" w:hAnsi="Times New Roman" w:cs="Times New Roman"/>
          <w:b/>
          <w:color w:val="auto"/>
        </w:rPr>
        <w:tab/>
      </w:r>
    </w:p>
    <w:p w14:paraId="7B1B4E55" w14:textId="77777777" w:rsidR="00F01807" w:rsidRPr="009F2998" w:rsidRDefault="00F01807" w:rsidP="004A66C0">
      <w:pPr>
        <w:jc w:val="both"/>
        <w:rPr>
          <w:rFonts w:ascii="Times New Roman" w:hAnsi="Times New Roman" w:cs="Times New Roman"/>
        </w:rPr>
      </w:pPr>
    </w:p>
    <w:p w14:paraId="503F3AE8" w14:textId="3DDA82DC" w:rsidR="00F01807" w:rsidRPr="00F77093" w:rsidRDefault="00ED3085" w:rsidP="00F01807">
      <w:pPr>
        <w:jc w:val="both"/>
        <w:rPr>
          <w:rFonts w:ascii="Times New Roman" w:hAnsi="Times New Roman" w:cs="Times New Roman"/>
          <w:sz w:val="24"/>
        </w:rPr>
      </w:pPr>
      <w:r w:rsidRPr="00F77093">
        <w:rPr>
          <w:rFonts w:ascii="Times New Roman" w:hAnsi="Times New Roman" w:cs="Times New Roman"/>
          <w:sz w:val="24"/>
        </w:rPr>
        <w:t>Štvrtý akčný plán energetickej efektívnosti n</w:t>
      </w:r>
      <w:r w:rsidR="00F01807" w:rsidRPr="00F77093">
        <w:rPr>
          <w:rFonts w:ascii="Times New Roman" w:hAnsi="Times New Roman" w:cs="Times New Roman"/>
          <w:sz w:val="24"/>
        </w:rPr>
        <w:t>a jednej strane vyhodnocuje opatrenia energetickej efektívnosti za obdobie 2014-2016</w:t>
      </w:r>
      <w:r w:rsidRPr="00F77093">
        <w:rPr>
          <w:rFonts w:ascii="Times New Roman" w:hAnsi="Times New Roman" w:cs="Times New Roman"/>
          <w:sz w:val="24"/>
        </w:rPr>
        <w:t>, vyhodnocuje plnenie stanovených cieľov v oblasti úspor energie</w:t>
      </w:r>
      <w:r w:rsidR="00F01807" w:rsidRPr="00F77093">
        <w:rPr>
          <w:rFonts w:ascii="Times New Roman" w:hAnsi="Times New Roman" w:cs="Times New Roman"/>
          <w:sz w:val="24"/>
        </w:rPr>
        <w:t xml:space="preserve"> a </w:t>
      </w:r>
      <w:r w:rsidRPr="00F77093">
        <w:rPr>
          <w:rFonts w:ascii="Times New Roman" w:hAnsi="Times New Roman" w:cs="Times New Roman"/>
          <w:sz w:val="24"/>
        </w:rPr>
        <w:t xml:space="preserve">navrhuje plánované opatrenia energetickej efektívnosti  na ďalšie trojročné obdobie </w:t>
      </w:r>
      <w:r w:rsidR="00F01807" w:rsidRPr="00F77093">
        <w:rPr>
          <w:rFonts w:ascii="Times New Roman" w:hAnsi="Times New Roman" w:cs="Times New Roman"/>
          <w:sz w:val="24"/>
        </w:rPr>
        <w:t>s výhľadom do roku 2020</w:t>
      </w:r>
      <w:r w:rsidRPr="00F77093">
        <w:rPr>
          <w:rFonts w:ascii="Times New Roman" w:hAnsi="Times New Roman" w:cs="Times New Roman"/>
          <w:sz w:val="24"/>
        </w:rPr>
        <w:t xml:space="preserve"> tak, aby bolo možné plniť záväzky SR do roku 2020</w:t>
      </w:r>
      <w:r w:rsidR="00F01807" w:rsidRPr="00F77093">
        <w:rPr>
          <w:rFonts w:ascii="Times New Roman" w:hAnsi="Times New Roman" w:cs="Times New Roman"/>
          <w:sz w:val="24"/>
        </w:rPr>
        <w:t xml:space="preserve">. </w:t>
      </w:r>
      <w:r w:rsidRPr="00F77093">
        <w:rPr>
          <w:rFonts w:ascii="Times New Roman" w:hAnsi="Times New Roman" w:cs="Times New Roman"/>
          <w:sz w:val="24"/>
        </w:rPr>
        <w:t>D</w:t>
      </w:r>
      <w:r w:rsidR="00F01807" w:rsidRPr="00F77093">
        <w:rPr>
          <w:rFonts w:ascii="Times New Roman" w:hAnsi="Times New Roman" w:cs="Times New Roman"/>
          <w:sz w:val="24"/>
        </w:rPr>
        <w:t xml:space="preserve">ôraz </w:t>
      </w:r>
      <w:r w:rsidRPr="00F77093">
        <w:rPr>
          <w:rFonts w:ascii="Times New Roman" w:hAnsi="Times New Roman" w:cs="Times New Roman"/>
          <w:sz w:val="24"/>
        </w:rPr>
        <w:t xml:space="preserve">sa kladie </w:t>
      </w:r>
      <w:r w:rsidR="00F01807" w:rsidRPr="00F77093">
        <w:rPr>
          <w:rFonts w:ascii="Times New Roman" w:hAnsi="Times New Roman" w:cs="Times New Roman"/>
          <w:sz w:val="24"/>
        </w:rPr>
        <w:t xml:space="preserve">na vyhodnocovanie opatrení energetickej efektívnosti zdola nahor na základe konkrétnych projektov a na podrobný opis metodiky vyhodnocovania. </w:t>
      </w:r>
      <w:r w:rsidRPr="00F77093">
        <w:rPr>
          <w:rFonts w:ascii="Times New Roman" w:hAnsi="Times New Roman" w:cs="Times New Roman"/>
          <w:sz w:val="24"/>
        </w:rPr>
        <w:t xml:space="preserve">Štvrtý </w:t>
      </w:r>
      <w:r w:rsidR="00F01807" w:rsidRPr="00F77093">
        <w:rPr>
          <w:rFonts w:ascii="Times New Roman" w:hAnsi="Times New Roman" w:cs="Times New Roman"/>
          <w:sz w:val="24"/>
        </w:rPr>
        <w:t>akčný plán okrem opatrení na strane spotreby</w:t>
      </w:r>
      <w:r w:rsidRPr="00F77093">
        <w:rPr>
          <w:rFonts w:ascii="Times New Roman" w:hAnsi="Times New Roman" w:cs="Times New Roman"/>
          <w:sz w:val="24"/>
        </w:rPr>
        <w:t xml:space="preserve"> energie</w:t>
      </w:r>
      <w:r w:rsidR="00F01807" w:rsidRPr="00F77093">
        <w:rPr>
          <w:rFonts w:ascii="Times New Roman" w:hAnsi="Times New Roman" w:cs="Times New Roman"/>
          <w:sz w:val="24"/>
        </w:rPr>
        <w:t xml:space="preserve"> zahŕňa aj opatrenia na strane premeny, prenosu a distribúcie energie.</w:t>
      </w:r>
    </w:p>
    <w:p w14:paraId="788B3FB9" w14:textId="41C7EC7D" w:rsidR="00DF3EC4" w:rsidRDefault="00942810" w:rsidP="00EC14E2">
      <w:pPr>
        <w:jc w:val="both"/>
        <w:rPr>
          <w:rFonts w:ascii="Times New Roman" w:hAnsi="Times New Roman" w:cs="Times New Roman"/>
          <w:sz w:val="24"/>
        </w:rPr>
      </w:pPr>
      <w:r>
        <w:rPr>
          <w:rFonts w:ascii="Times New Roman" w:hAnsi="Times New Roman" w:cs="Times New Roman"/>
          <w:sz w:val="24"/>
        </w:rPr>
        <w:t xml:space="preserve">Vo vyhodnocovacej časti v rámci kapitoly 1 boli </w:t>
      </w:r>
      <w:r w:rsidR="00C63D74">
        <w:rPr>
          <w:rFonts w:ascii="Times New Roman" w:hAnsi="Times New Roman" w:cs="Times New Roman"/>
          <w:sz w:val="24"/>
        </w:rPr>
        <w:t xml:space="preserve">vyhodnocované </w:t>
      </w:r>
      <w:r>
        <w:rPr>
          <w:rFonts w:ascii="Times New Roman" w:hAnsi="Times New Roman" w:cs="Times New Roman"/>
          <w:sz w:val="24"/>
        </w:rPr>
        <w:t>jednotliv</w:t>
      </w:r>
      <w:r w:rsidR="00C63D74">
        <w:rPr>
          <w:rFonts w:ascii="Times New Roman" w:hAnsi="Times New Roman" w:cs="Times New Roman"/>
          <w:sz w:val="24"/>
        </w:rPr>
        <w:t>é</w:t>
      </w:r>
      <w:r>
        <w:rPr>
          <w:rFonts w:ascii="Times New Roman" w:hAnsi="Times New Roman" w:cs="Times New Roman"/>
          <w:sz w:val="24"/>
        </w:rPr>
        <w:t xml:space="preserve"> cie</w:t>
      </w:r>
      <w:r w:rsidR="00C63D74">
        <w:rPr>
          <w:rFonts w:ascii="Times New Roman" w:hAnsi="Times New Roman" w:cs="Times New Roman"/>
          <w:sz w:val="24"/>
        </w:rPr>
        <w:t>le</w:t>
      </w:r>
      <w:r>
        <w:rPr>
          <w:rFonts w:ascii="Times New Roman" w:hAnsi="Times New Roman" w:cs="Times New Roman"/>
          <w:sz w:val="24"/>
        </w:rPr>
        <w:t xml:space="preserve"> podľa smerníc 2006/32/ES a 2012/27/EÚ</w:t>
      </w:r>
      <w:r w:rsidR="00DF3EC4">
        <w:rPr>
          <w:rFonts w:ascii="Times New Roman" w:hAnsi="Times New Roman" w:cs="Times New Roman"/>
          <w:sz w:val="24"/>
        </w:rPr>
        <w:t xml:space="preserve"> vrátane odôvodnenia.</w:t>
      </w:r>
    </w:p>
    <w:p w14:paraId="2A5C38F4" w14:textId="57A69209" w:rsidR="008F4A21" w:rsidRDefault="00942810" w:rsidP="008F4A21">
      <w:pPr>
        <w:jc w:val="both"/>
        <w:rPr>
          <w:rFonts w:ascii="Times New Roman" w:hAnsi="Times New Roman" w:cs="Times New Roman"/>
          <w:sz w:val="24"/>
          <w:szCs w:val="24"/>
        </w:rPr>
      </w:pPr>
      <w:r w:rsidRPr="00A622E5">
        <w:rPr>
          <w:rFonts w:ascii="Times New Roman" w:hAnsi="Times New Roman" w:cs="Times New Roman"/>
          <w:sz w:val="24"/>
          <w:szCs w:val="24"/>
        </w:rPr>
        <w:t xml:space="preserve">Na základe dostupných údajov pre rok 2016 je možné konštatovať, že </w:t>
      </w:r>
      <w:r w:rsidRPr="001B1483">
        <w:rPr>
          <w:rFonts w:ascii="Times New Roman" w:hAnsi="Times New Roman" w:cs="Times New Roman"/>
          <w:b/>
          <w:sz w:val="24"/>
          <w:szCs w:val="24"/>
        </w:rPr>
        <w:t>cieľ úspor energie podľa smernice 2006/32/ES</w:t>
      </w:r>
      <w:r w:rsidR="00765FF8">
        <w:rPr>
          <w:rFonts w:ascii="Times New Roman" w:hAnsi="Times New Roman" w:cs="Times New Roman"/>
          <w:b/>
          <w:sz w:val="24"/>
          <w:szCs w:val="24"/>
        </w:rPr>
        <w:t xml:space="preserve"> stanovený do roku 2016</w:t>
      </w:r>
      <w:r w:rsidRPr="001B1483">
        <w:rPr>
          <w:rFonts w:ascii="Times New Roman" w:hAnsi="Times New Roman" w:cs="Times New Roman"/>
          <w:b/>
          <w:sz w:val="24"/>
          <w:szCs w:val="24"/>
        </w:rPr>
        <w:t xml:space="preserve"> vo výške </w:t>
      </w:r>
      <w:r w:rsidR="00901B09">
        <w:rPr>
          <w:rFonts w:ascii="Times New Roman" w:hAnsi="Times New Roman" w:cs="Times New Roman"/>
          <w:b/>
          <w:sz w:val="24"/>
          <w:szCs w:val="24"/>
        </w:rPr>
        <w:t>28 098</w:t>
      </w:r>
      <w:r w:rsidRPr="001B1483">
        <w:rPr>
          <w:rFonts w:ascii="Times New Roman" w:hAnsi="Times New Roman" w:cs="Times New Roman"/>
          <w:b/>
          <w:sz w:val="24"/>
          <w:szCs w:val="24"/>
        </w:rPr>
        <w:t xml:space="preserve"> TJ nebol naplnený</w:t>
      </w:r>
      <w:r w:rsidRPr="00A622E5">
        <w:rPr>
          <w:rFonts w:ascii="Times New Roman" w:hAnsi="Times New Roman" w:cs="Times New Roman"/>
          <w:sz w:val="24"/>
          <w:szCs w:val="24"/>
        </w:rPr>
        <w:t>.</w:t>
      </w:r>
      <w:r w:rsidR="00765FF8">
        <w:rPr>
          <w:rFonts w:ascii="Times New Roman" w:hAnsi="Times New Roman" w:cs="Times New Roman"/>
          <w:sz w:val="24"/>
          <w:szCs w:val="24"/>
        </w:rPr>
        <w:t xml:space="preserve"> Tento cieľ bol</w:t>
      </w:r>
      <w:r w:rsidRPr="00A622E5">
        <w:rPr>
          <w:rFonts w:ascii="Times New Roman" w:hAnsi="Times New Roman" w:cs="Times New Roman"/>
          <w:sz w:val="24"/>
          <w:szCs w:val="24"/>
        </w:rPr>
        <w:t xml:space="preserve"> plnený vo výške </w:t>
      </w:r>
      <w:r w:rsidR="00517672" w:rsidRPr="00AF5415">
        <w:rPr>
          <w:rFonts w:ascii="Times New Roman" w:hAnsi="Times New Roman" w:cs="Times New Roman"/>
          <w:b/>
          <w:sz w:val="24"/>
          <w:szCs w:val="24"/>
        </w:rPr>
        <w:t>26 1</w:t>
      </w:r>
      <w:r w:rsidR="00901B09">
        <w:rPr>
          <w:rFonts w:ascii="Times New Roman" w:hAnsi="Times New Roman" w:cs="Times New Roman"/>
          <w:b/>
          <w:sz w:val="24"/>
          <w:szCs w:val="24"/>
        </w:rPr>
        <w:t>7</w:t>
      </w:r>
      <w:r w:rsidR="00517672" w:rsidRPr="00AF5415">
        <w:rPr>
          <w:rFonts w:ascii="Times New Roman" w:hAnsi="Times New Roman" w:cs="Times New Roman"/>
          <w:b/>
          <w:sz w:val="24"/>
          <w:szCs w:val="24"/>
        </w:rPr>
        <w:t>8</w:t>
      </w:r>
      <w:r w:rsidRPr="00AF5415">
        <w:rPr>
          <w:rFonts w:ascii="Times New Roman" w:hAnsi="Times New Roman" w:cs="Times New Roman"/>
          <w:b/>
          <w:sz w:val="24"/>
          <w:szCs w:val="24"/>
        </w:rPr>
        <w:t xml:space="preserve"> TJ</w:t>
      </w:r>
      <w:r w:rsidRPr="00A622E5">
        <w:rPr>
          <w:rFonts w:ascii="Times New Roman" w:hAnsi="Times New Roman" w:cs="Times New Roman"/>
          <w:sz w:val="24"/>
          <w:szCs w:val="24"/>
        </w:rPr>
        <w:t xml:space="preserve"> (</w:t>
      </w:r>
      <w:r w:rsidR="00517672" w:rsidRPr="00AF5415">
        <w:rPr>
          <w:rFonts w:ascii="Times New Roman" w:hAnsi="Times New Roman" w:cs="Times New Roman"/>
          <w:b/>
          <w:sz w:val="24"/>
          <w:szCs w:val="24"/>
        </w:rPr>
        <w:t>93,</w:t>
      </w:r>
      <w:r w:rsidR="00422C8D">
        <w:rPr>
          <w:rFonts w:ascii="Times New Roman" w:hAnsi="Times New Roman" w:cs="Times New Roman"/>
          <w:b/>
          <w:sz w:val="24"/>
          <w:szCs w:val="24"/>
        </w:rPr>
        <w:t>2</w:t>
      </w:r>
      <w:r w:rsidR="00517672" w:rsidRPr="00AF5415">
        <w:rPr>
          <w:rFonts w:ascii="Times New Roman" w:hAnsi="Times New Roman" w:cs="Times New Roman"/>
          <w:b/>
          <w:sz w:val="24"/>
          <w:szCs w:val="24"/>
        </w:rPr>
        <w:t>%</w:t>
      </w:r>
      <w:r w:rsidRPr="00A622E5">
        <w:rPr>
          <w:rFonts w:ascii="Times New Roman" w:hAnsi="Times New Roman" w:cs="Times New Roman"/>
          <w:sz w:val="24"/>
          <w:szCs w:val="24"/>
        </w:rPr>
        <w:t xml:space="preserve">). Čo sa týka plnenia cieľov </w:t>
      </w:r>
      <w:r w:rsidR="00EC14E2" w:rsidRPr="00A622E5">
        <w:rPr>
          <w:rFonts w:ascii="Times New Roman" w:hAnsi="Times New Roman" w:cs="Times New Roman"/>
          <w:sz w:val="24"/>
          <w:szCs w:val="24"/>
        </w:rPr>
        <w:t xml:space="preserve">pre rok 2016 </w:t>
      </w:r>
      <w:r w:rsidRPr="00A622E5">
        <w:rPr>
          <w:rFonts w:ascii="Times New Roman" w:hAnsi="Times New Roman" w:cs="Times New Roman"/>
          <w:sz w:val="24"/>
          <w:szCs w:val="24"/>
        </w:rPr>
        <w:t xml:space="preserve">podľa </w:t>
      </w:r>
      <w:r w:rsidR="00B363DE" w:rsidRPr="00A622E5">
        <w:rPr>
          <w:rFonts w:ascii="Times New Roman" w:hAnsi="Times New Roman" w:cs="Times New Roman"/>
          <w:sz w:val="24"/>
          <w:szCs w:val="24"/>
        </w:rPr>
        <w:t xml:space="preserve">jednotlivých článkov </w:t>
      </w:r>
      <w:r w:rsidRPr="00A622E5">
        <w:rPr>
          <w:rFonts w:ascii="Times New Roman" w:hAnsi="Times New Roman" w:cs="Times New Roman"/>
          <w:sz w:val="24"/>
          <w:szCs w:val="24"/>
        </w:rPr>
        <w:t xml:space="preserve">smernice 2012/27/EÚ </w:t>
      </w:r>
      <w:r w:rsidR="0015005C" w:rsidRPr="00A622E5">
        <w:rPr>
          <w:rFonts w:ascii="Times New Roman" w:hAnsi="Times New Roman" w:cs="Times New Roman"/>
          <w:sz w:val="24"/>
          <w:szCs w:val="24"/>
        </w:rPr>
        <w:t xml:space="preserve">je možné konštatovať, že </w:t>
      </w:r>
      <w:r w:rsidR="00765FF8">
        <w:rPr>
          <w:rFonts w:ascii="Times New Roman" w:hAnsi="Times New Roman" w:cs="Times New Roman"/>
          <w:sz w:val="24"/>
          <w:szCs w:val="24"/>
        </w:rPr>
        <w:t xml:space="preserve">úroveň energetickej spotreby v SR je zatiaľ v rámci stanoveného </w:t>
      </w:r>
      <w:r w:rsidR="0015005C" w:rsidRPr="001B1483">
        <w:rPr>
          <w:rFonts w:ascii="Times New Roman" w:hAnsi="Times New Roman" w:cs="Times New Roman"/>
          <w:b/>
          <w:sz w:val="24"/>
          <w:szCs w:val="24"/>
        </w:rPr>
        <w:t>národn</w:t>
      </w:r>
      <w:r w:rsidR="00765FF8">
        <w:rPr>
          <w:rFonts w:ascii="Times New Roman" w:hAnsi="Times New Roman" w:cs="Times New Roman"/>
          <w:b/>
          <w:sz w:val="24"/>
          <w:szCs w:val="24"/>
        </w:rPr>
        <w:t>ého</w:t>
      </w:r>
      <w:r w:rsidR="0015005C" w:rsidRPr="001B1483">
        <w:rPr>
          <w:rFonts w:ascii="Times New Roman" w:hAnsi="Times New Roman" w:cs="Times New Roman"/>
          <w:b/>
          <w:sz w:val="24"/>
          <w:szCs w:val="24"/>
        </w:rPr>
        <w:t xml:space="preserve"> indikatívn</w:t>
      </w:r>
      <w:r w:rsidR="00765FF8">
        <w:rPr>
          <w:rFonts w:ascii="Times New Roman" w:hAnsi="Times New Roman" w:cs="Times New Roman"/>
          <w:b/>
          <w:sz w:val="24"/>
          <w:szCs w:val="24"/>
        </w:rPr>
        <w:t>eho</w:t>
      </w:r>
      <w:r w:rsidR="0015005C" w:rsidRPr="001B1483">
        <w:rPr>
          <w:rFonts w:ascii="Times New Roman" w:hAnsi="Times New Roman" w:cs="Times New Roman"/>
          <w:b/>
          <w:sz w:val="24"/>
          <w:szCs w:val="24"/>
        </w:rPr>
        <w:t xml:space="preserve"> cieľ</w:t>
      </w:r>
      <w:r w:rsidR="00765FF8">
        <w:rPr>
          <w:rFonts w:ascii="Times New Roman" w:hAnsi="Times New Roman" w:cs="Times New Roman"/>
          <w:b/>
          <w:sz w:val="24"/>
          <w:szCs w:val="24"/>
        </w:rPr>
        <w:t>a</w:t>
      </w:r>
      <w:r w:rsidR="0015005C" w:rsidRPr="001B1483">
        <w:rPr>
          <w:rFonts w:ascii="Times New Roman" w:hAnsi="Times New Roman" w:cs="Times New Roman"/>
          <w:b/>
          <w:sz w:val="24"/>
          <w:szCs w:val="24"/>
        </w:rPr>
        <w:t xml:space="preserve"> energetickej efektívnosti podľa čl. 3 </w:t>
      </w:r>
      <w:r w:rsidR="00765FF8">
        <w:rPr>
          <w:rFonts w:ascii="Times New Roman" w:hAnsi="Times New Roman" w:cs="Times New Roman"/>
          <w:b/>
          <w:sz w:val="24"/>
          <w:szCs w:val="24"/>
        </w:rPr>
        <w:t xml:space="preserve">do roku 2020, avšak bez zásadných zmien môže byť plnenie tohto cieľa </w:t>
      </w:r>
      <w:r w:rsidR="0015005C" w:rsidRPr="001B1483">
        <w:rPr>
          <w:rFonts w:ascii="Times New Roman" w:hAnsi="Times New Roman" w:cs="Times New Roman"/>
          <w:b/>
          <w:sz w:val="24"/>
          <w:szCs w:val="24"/>
        </w:rPr>
        <w:t>ohrozen</w:t>
      </w:r>
      <w:r w:rsidR="00765FF8">
        <w:rPr>
          <w:rFonts w:ascii="Times New Roman" w:hAnsi="Times New Roman" w:cs="Times New Roman"/>
          <w:b/>
          <w:sz w:val="24"/>
          <w:szCs w:val="24"/>
        </w:rPr>
        <w:t>é</w:t>
      </w:r>
      <w:r w:rsidR="0015005C" w:rsidRPr="001B1483">
        <w:rPr>
          <w:rFonts w:ascii="Times New Roman" w:hAnsi="Times New Roman" w:cs="Times New Roman"/>
          <w:b/>
          <w:sz w:val="24"/>
          <w:szCs w:val="24"/>
        </w:rPr>
        <w:t>.</w:t>
      </w:r>
      <w:r w:rsidR="0015005C" w:rsidRPr="00A622E5">
        <w:rPr>
          <w:rFonts w:ascii="Times New Roman" w:hAnsi="Times New Roman" w:cs="Times New Roman"/>
          <w:sz w:val="24"/>
          <w:szCs w:val="24"/>
        </w:rPr>
        <w:t xml:space="preserve"> </w:t>
      </w:r>
      <w:r w:rsidR="00B363DE" w:rsidRPr="00A622E5">
        <w:rPr>
          <w:rFonts w:ascii="Times New Roman" w:hAnsi="Times New Roman" w:cs="Times New Roman"/>
          <w:sz w:val="24"/>
          <w:szCs w:val="24"/>
        </w:rPr>
        <w:t>Ďalším hodnoteným cieľom bol</w:t>
      </w:r>
      <w:r w:rsidR="00765FF8">
        <w:rPr>
          <w:rFonts w:ascii="Times New Roman" w:hAnsi="Times New Roman" w:cs="Times New Roman"/>
          <w:sz w:val="24"/>
          <w:szCs w:val="24"/>
        </w:rPr>
        <w:t xml:space="preserve"> cieľ </w:t>
      </w:r>
      <w:r w:rsidR="00B363DE" w:rsidRPr="00A622E5">
        <w:rPr>
          <w:rFonts w:ascii="Times New Roman" w:hAnsi="Times New Roman" w:cs="Times New Roman"/>
          <w:sz w:val="24"/>
          <w:szCs w:val="24"/>
        </w:rPr>
        <w:t xml:space="preserve"> úspor energie </w:t>
      </w:r>
      <w:r w:rsidR="00765FF8">
        <w:rPr>
          <w:rFonts w:ascii="Times New Roman" w:hAnsi="Times New Roman" w:cs="Times New Roman"/>
          <w:sz w:val="24"/>
          <w:szCs w:val="24"/>
        </w:rPr>
        <w:t> </w:t>
      </w:r>
      <w:r w:rsidR="00B363DE" w:rsidRPr="00A622E5">
        <w:rPr>
          <w:rFonts w:ascii="Times New Roman" w:hAnsi="Times New Roman" w:cs="Times New Roman"/>
          <w:sz w:val="24"/>
          <w:szCs w:val="24"/>
        </w:rPr>
        <w:t>budov</w:t>
      </w:r>
      <w:r w:rsidR="00765FF8">
        <w:rPr>
          <w:rFonts w:ascii="Times New Roman" w:hAnsi="Times New Roman" w:cs="Times New Roman"/>
          <w:sz w:val="24"/>
          <w:szCs w:val="24"/>
        </w:rPr>
        <w:t xml:space="preserve">, pričom </w:t>
      </w:r>
      <w:r w:rsidR="00765FF8">
        <w:rPr>
          <w:rFonts w:ascii="Times New Roman" w:hAnsi="Times New Roman" w:cs="Times New Roman"/>
          <w:b/>
          <w:sz w:val="24"/>
          <w:szCs w:val="24"/>
        </w:rPr>
        <w:t>tento</w:t>
      </w:r>
      <w:r w:rsidR="00B363DE" w:rsidRPr="001B1483">
        <w:rPr>
          <w:rFonts w:ascii="Times New Roman" w:hAnsi="Times New Roman" w:cs="Times New Roman"/>
          <w:b/>
          <w:sz w:val="24"/>
          <w:szCs w:val="24"/>
        </w:rPr>
        <w:t xml:space="preserve"> cieľ </w:t>
      </w:r>
      <w:r w:rsidR="00765FF8">
        <w:rPr>
          <w:rFonts w:ascii="Times New Roman" w:hAnsi="Times New Roman" w:cs="Times New Roman"/>
          <w:b/>
          <w:sz w:val="24"/>
          <w:szCs w:val="24"/>
        </w:rPr>
        <w:t xml:space="preserve"> stanovený </w:t>
      </w:r>
      <w:r w:rsidR="00B363DE" w:rsidRPr="001B1483">
        <w:rPr>
          <w:rFonts w:ascii="Times New Roman" w:hAnsi="Times New Roman" w:cs="Times New Roman"/>
          <w:b/>
          <w:sz w:val="24"/>
          <w:szCs w:val="24"/>
        </w:rPr>
        <w:t xml:space="preserve"> podľa čl. 5 </w:t>
      </w:r>
      <w:r w:rsidR="00765FF8">
        <w:rPr>
          <w:rFonts w:ascii="Times New Roman" w:hAnsi="Times New Roman" w:cs="Times New Roman"/>
          <w:b/>
          <w:sz w:val="24"/>
          <w:szCs w:val="24"/>
        </w:rPr>
        <w:t xml:space="preserve">smernice </w:t>
      </w:r>
      <w:r w:rsidR="00B363DE" w:rsidRPr="001B1483">
        <w:rPr>
          <w:rFonts w:ascii="Times New Roman" w:hAnsi="Times New Roman" w:cs="Times New Roman"/>
          <w:b/>
          <w:sz w:val="24"/>
          <w:szCs w:val="24"/>
        </w:rPr>
        <w:t>nebol  naplnený.</w:t>
      </w:r>
      <w:r w:rsidR="00B363DE" w:rsidRPr="00A622E5">
        <w:rPr>
          <w:rFonts w:ascii="Times New Roman" w:hAnsi="Times New Roman" w:cs="Times New Roman"/>
          <w:sz w:val="24"/>
          <w:szCs w:val="24"/>
        </w:rPr>
        <w:t xml:space="preserve"> </w:t>
      </w:r>
      <w:r w:rsidR="008F4A21">
        <w:rPr>
          <w:rFonts w:ascii="Times New Roman" w:hAnsi="Times New Roman" w:cs="Times New Roman"/>
          <w:sz w:val="24"/>
          <w:szCs w:val="24"/>
        </w:rPr>
        <w:t xml:space="preserve">Je preto nevyhnutné, aby </w:t>
      </w:r>
      <w:r w:rsidR="00DB18C0">
        <w:rPr>
          <w:rFonts w:ascii="Times New Roman" w:hAnsi="Times New Roman" w:cs="Times New Roman"/>
          <w:sz w:val="24"/>
          <w:szCs w:val="24"/>
        </w:rPr>
        <w:t>ústredné orgány štátnej správy prijali adekvátne opatrenia na splnenie cieľa vyplývajúceho z vládou schvaľovaných „Plánov obnovy relevantných budov“</w:t>
      </w:r>
      <w:r w:rsidR="008F4A21">
        <w:rPr>
          <w:rFonts w:ascii="Times New Roman" w:hAnsi="Times New Roman" w:cs="Times New Roman"/>
          <w:sz w:val="24"/>
          <w:szCs w:val="24"/>
        </w:rPr>
        <w:t>.</w:t>
      </w:r>
    </w:p>
    <w:p w14:paraId="727BDA7F" w14:textId="7FC9E83E" w:rsidR="00C63D74" w:rsidRDefault="00B363DE" w:rsidP="00942810">
      <w:pPr>
        <w:jc w:val="both"/>
        <w:rPr>
          <w:rFonts w:ascii="Times New Roman" w:hAnsi="Times New Roman" w:cs="Times New Roman"/>
          <w:sz w:val="24"/>
          <w:szCs w:val="24"/>
        </w:rPr>
      </w:pPr>
      <w:r w:rsidRPr="00A622E5">
        <w:rPr>
          <w:rFonts w:ascii="Times New Roman" w:hAnsi="Times New Roman" w:cs="Times New Roman"/>
          <w:sz w:val="24"/>
          <w:szCs w:val="24"/>
        </w:rPr>
        <w:t>Posledným hodnoteným cieľom podľa tejto smernice je cieľ úspor energie u konečného spotrebiteľa</w:t>
      </w:r>
      <w:r w:rsidR="00EC14E2" w:rsidRPr="00A622E5">
        <w:rPr>
          <w:rFonts w:ascii="Times New Roman" w:hAnsi="Times New Roman" w:cs="Times New Roman"/>
          <w:sz w:val="24"/>
          <w:szCs w:val="24"/>
        </w:rPr>
        <w:t xml:space="preserve">, pričom bolo vyčíslené, že </w:t>
      </w:r>
      <w:r w:rsidR="00EC14E2" w:rsidRPr="001B1483">
        <w:rPr>
          <w:rFonts w:ascii="Times New Roman" w:hAnsi="Times New Roman" w:cs="Times New Roman"/>
          <w:b/>
          <w:sz w:val="24"/>
          <w:szCs w:val="24"/>
        </w:rPr>
        <w:t>cieľ úspor energie u</w:t>
      </w:r>
      <w:r w:rsidR="00EC14E2" w:rsidRPr="001B1483">
        <w:rPr>
          <w:rFonts w:ascii="Times New Roman" w:eastAsiaTheme="majorEastAsia" w:hAnsi="Times New Roman" w:cs="Times New Roman"/>
          <w:b/>
          <w:bCs/>
          <w:sz w:val="24"/>
          <w:szCs w:val="24"/>
        </w:rPr>
        <w:t xml:space="preserve"> konečného spotrebiteľa podľa čl. 7 n</w:t>
      </w:r>
      <w:r w:rsidR="00EC14E2" w:rsidRPr="001B1483">
        <w:rPr>
          <w:rFonts w:ascii="Times New Roman" w:hAnsi="Times New Roman" w:cs="Times New Roman"/>
          <w:b/>
          <w:sz w:val="24"/>
          <w:szCs w:val="24"/>
        </w:rPr>
        <w:t>ebol v roku 2016 naplnený.</w:t>
      </w:r>
      <w:r w:rsidR="00EC14E2" w:rsidRPr="00A622E5">
        <w:rPr>
          <w:rFonts w:ascii="Times New Roman" w:hAnsi="Times New Roman" w:cs="Times New Roman"/>
          <w:sz w:val="24"/>
          <w:szCs w:val="24"/>
        </w:rPr>
        <w:t xml:space="preserve"> Z toho </w:t>
      </w:r>
      <w:r w:rsidR="00EC14E2" w:rsidRPr="00A622E5">
        <w:rPr>
          <w:rFonts w:ascii="Times New Roman" w:eastAsiaTheme="majorEastAsia" w:hAnsi="Times New Roman" w:cs="Times New Roman"/>
          <w:bCs/>
          <w:sz w:val="24"/>
          <w:szCs w:val="24"/>
        </w:rPr>
        <w:t>dôvodu bolo potrebné  prepočítať hodnotu ročného cieľa na obdobie rokov 2017-2020, pričom táto bola zvýšená z </w:t>
      </w:r>
      <w:r w:rsidR="00EC14E2" w:rsidRPr="001B1483">
        <w:rPr>
          <w:rFonts w:ascii="Times New Roman" w:eastAsiaTheme="majorEastAsia" w:hAnsi="Times New Roman" w:cs="Times New Roman"/>
          <w:b/>
          <w:bCs/>
          <w:sz w:val="24"/>
          <w:szCs w:val="24"/>
        </w:rPr>
        <w:t xml:space="preserve">959,84 GWh/rok </w:t>
      </w:r>
      <w:r w:rsidR="00EC14E2" w:rsidRPr="00A622E5">
        <w:rPr>
          <w:rFonts w:ascii="Times New Roman" w:eastAsiaTheme="majorEastAsia" w:hAnsi="Times New Roman" w:cs="Times New Roman"/>
          <w:bCs/>
          <w:sz w:val="24"/>
          <w:szCs w:val="24"/>
        </w:rPr>
        <w:t>(</w:t>
      </w:r>
      <w:r w:rsidR="00EC14E2" w:rsidRPr="001B1483">
        <w:rPr>
          <w:rFonts w:ascii="Times New Roman" w:eastAsiaTheme="majorEastAsia" w:hAnsi="Times New Roman" w:cs="Times New Roman"/>
          <w:bCs/>
          <w:sz w:val="24"/>
          <w:szCs w:val="24"/>
        </w:rPr>
        <w:t>počítaná k</w:t>
      </w:r>
      <w:r w:rsidR="00765FF8">
        <w:rPr>
          <w:rFonts w:ascii="Times New Roman" w:eastAsiaTheme="majorEastAsia" w:hAnsi="Times New Roman" w:cs="Times New Roman"/>
          <w:bCs/>
          <w:sz w:val="24"/>
          <w:szCs w:val="24"/>
        </w:rPr>
        <w:t xml:space="preserve"> roku </w:t>
      </w:r>
      <w:r w:rsidR="00EC14E2" w:rsidRPr="00A622E5">
        <w:rPr>
          <w:rFonts w:ascii="Times New Roman" w:eastAsiaTheme="majorEastAsia" w:hAnsi="Times New Roman" w:cs="Times New Roman"/>
          <w:bCs/>
          <w:sz w:val="24"/>
          <w:szCs w:val="24"/>
        </w:rPr>
        <w:t>2016) na hodnotu</w:t>
      </w:r>
      <w:r w:rsidR="00EC14E2" w:rsidRPr="00A622E5">
        <w:rPr>
          <w:rFonts w:ascii="Times New Roman" w:hAnsi="Times New Roman" w:cs="Times New Roman"/>
          <w:bCs/>
          <w:sz w:val="24"/>
          <w:szCs w:val="24"/>
        </w:rPr>
        <w:t xml:space="preserve"> </w:t>
      </w:r>
      <w:r w:rsidR="00EC14E2" w:rsidRPr="00A622E5">
        <w:rPr>
          <w:rFonts w:ascii="Times New Roman" w:hAnsi="Times New Roman" w:cs="Times New Roman"/>
          <w:b/>
          <w:sz w:val="24"/>
          <w:szCs w:val="24"/>
        </w:rPr>
        <w:t>1</w:t>
      </w:r>
      <w:r w:rsidR="00422C8D">
        <w:rPr>
          <w:rFonts w:ascii="Times New Roman" w:hAnsi="Times New Roman" w:cs="Times New Roman"/>
          <w:b/>
          <w:sz w:val="24"/>
          <w:szCs w:val="24"/>
        </w:rPr>
        <w:t> 019,49</w:t>
      </w:r>
      <w:r w:rsidR="00422C8D" w:rsidRPr="00A622E5">
        <w:rPr>
          <w:rFonts w:ascii="Times New Roman" w:hAnsi="Times New Roman" w:cs="Times New Roman"/>
          <w:b/>
          <w:sz w:val="24"/>
          <w:szCs w:val="24"/>
        </w:rPr>
        <w:t xml:space="preserve"> </w:t>
      </w:r>
      <w:r w:rsidR="00EC14E2" w:rsidRPr="00A622E5">
        <w:rPr>
          <w:rFonts w:ascii="Times New Roman" w:hAnsi="Times New Roman" w:cs="Times New Roman"/>
          <w:b/>
          <w:sz w:val="24"/>
          <w:szCs w:val="24"/>
        </w:rPr>
        <w:t xml:space="preserve">GWh/rok </w:t>
      </w:r>
      <w:r w:rsidR="00EC14E2" w:rsidRPr="001B1483">
        <w:rPr>
          <w:rFonts w:ascii="Times New Roman" w:hAnsi="Times New Roman" w:cs="Times New Roman"/>
          <w:sz w:val="24"/>
          <w:szCs w:val="24"/>
        </w:rPr>
        <w:t xml:space="preserve">(počítaná k </w:t>
      </w:r>
      <w:r w:rsidR="00765FF8">
        <w:rPr>
          <w:rFonts w:ascii="Times New Roman" w:hAnsi="Times New Roman" w:cs="Times New Roman"/>
          <w:sz w:val="24"/>
          <w:szCs w:val="24"/>
        </w:rPr>
        <w:t xml:space="preserve">roku </w:t>
      </w:r>
      <w:r w:rsidR="00EC14E2" w:rsidRPr="001B1483">
        <w:rPr>
          <w:rFonts w:ascii="Times New Roman" w:hAnsi="Times New Roman" w:cs="Times New Roman"/>
          <w:sz w:val="24"/>
          <w:szCs w:val="24"/>
        </w:rPr>
        <w:t>2017)</w:t>
      </w:r>
      <w:r w:rsidR="00EC14E2" w:rsidRPr="00A622E5">
        <w:rPr>
          <w:rFonts w:ascii="Times New Roman" w:hAnsi="Times New Roman" w:cs="Times New Roman"/>
          <w:sz w:val="24"/>
          <w:szCs w:val="24"/>
        </w:rPr>
        <w:t xml:space="preserve">. </w:t>
      </w:r>
      <w:r w:rsidRPr="00856490">
        <w:rPr>
          <w:rFonts w:ascii="Times New Roman" w:hAnsi="Times New Roman" w:cs="Times New Roman"/>
          <w:sz w:val="24"/>
          <w:szCs w:val="24"/>
        </w:rPr>
        <w:t>Jedným z hlavných dôvodov neplnenia cie</w:t>
      </w:r>
      <w:r w:rsidR="00EC14E2">
        <w:rPr>
          <w:rFonts w:ascii="Times New Roman" w:hAnsi="Times New Roman" w:cs="Times New Roman"/>
          <w:sz w:val="24"/>
          <w:szCs w:val="24"/>
        </w:rPr>
        <w:t>ľov</w:t>
      </w:r>
      <w:r w:rsidRPr="00856490">
        <w:rPr>
          <w:rFonts w:ascii="Times New Roman" w:hAnsi="Times New Roman" w:cs="Times New Roman"/>
          <w:sz w:val="24"/>
          <w:szCs w:val="24"/>
        </w:rPr>
        <w:t xml:space="preserve"> v roku 2016 je </w:t>
      </w:r>
      <w:r>
        <w:rPr>
          <w:rFonts w:ascii="Times New Roman" w:hAnsi="Times New Roman" w:cs="Times New Roman"/>
          <w:sz w:val="24"/>
          <w:szCs w:val="24"/>
        </w:rPr>
        <w:t>pretrvávajúci nedostatok verejných zdrojov</w:t>
      </w:r>
      <w:r w:rsidR="00765FF8">
        <w:rPr>
          <w:rFonts w:ascii="Times New Roman" w:hAnsi="Times New Roman" w:cs="Times New Roman"/>
          <w:sz w:val="24"/>
          <w:szCs w:val="24"/>
        </w:rPr>
        <w:t xml:space="preserve"> na opatrenia energetickej efektívnosti</w:t>
      </w:r>
      <w:r w:rsidR="008A64AA">
        <w:rPr>
          <w:rFonts w:ascii="Times New Roman" w:hAnsi="Times New Roman" w:cs="Times New Roman"/>
          <w:sz w:val="24"/>
          <w:szCs w:val="24"/>
        </w:rPr>
        <w:t xml:space="preserve"> (vrátane zdrojov na obnovu budov ÚOŠS)</w:t>
      </w:r>
      <w:r>
        <w:rPr>
          <w:rFonts w:ascii="Times New Roman" w:hAnsi="Times New Roman" w:cs="Times New Roman"/>
          <w:sz w:val="24"/>
          <w:szCs w:val="24"/>
        </w:rPr>
        <w:t xml:space="preserve">, ako aj </w:t>
      </w:r>
      <w:r w:rsidRPr="003B1856">
        <w:rPr>
          <w:rFonts w:ascii="Times New Roman" w:hAnsi="Times New Roman" w:cs="Times New Roman"/>
          <w:sz w:val="24"/>
          <w:szCs w:val="24"/>
        </w:rPr>
        <w:t xml:space="preserve">oneskorené začatie realizácie projektov </w:t>
      </w:r>
      <w:r w:rsidR="00EC14E2">
        <w:rPr>
          <w:rFonts w:ascii="Times New Roman" w:hAnsi="Times New Roman" w:cs="Times New Roman"/>
          <w:sz w:val="24"/>
          <w:szCs w:val="24"/>
        </w:rPr>
        <w:t>financovaných z</w:t>
      </w:r>
      <w:r w:rsidR="00765FF8">
        <w:rPr>
          <w:rFonts w:ascii="Times New Roman" w:hAnsi="Times New Roman" w:cs="Times New Roman"/>
          <w:sz w:val="24"/>
          <w:szCs w:val="24"/>
        </w:rPr>
        <w:t xml:space="preserve"> európskych</w:t>
      </w:r>
      <w:r w:rsidR="00EC14E2">
        <w:rPr>
          <w:rFonts w:ascii="Times New Roman" w:hAnsi="Times New Roman" w:cs="Times New Roman"/>
          <w:sz w:val="24"/>
          <w:szCs w:val="24"/>
        </w:rPr>
        <w:t xml:space="preserve"> štrukturálnych </w:t>
      </w:r>
      <w:r w:rsidR="00765FF8">
        <w:rPr>
          <w:rFonts w:ascii="Times New Roman" w:hAnsi="Times New Roman" w:cs="Times New Roman"/>
          <w:sz w:val="24"/>
          <w:szCs w:val="24"/>
        </w:rPr>
        <w:t xml:space="preserve">a investičných </w:t>
      </w:r>
      <w:r w:rsidR="00EC14E2">
        <w:rPr>
          <w:rFonts w:ascii="Times New Roman" w:hAnsi="Times New Roman" w:cs="Times New Roman"/>
          <w:sz w:val="24"/>
          <w:szCs w:val="24"/>
        </w:rPr>
        <w:t xml:space="preserve">fondov. Určité nedostatky v realizácii opatrení sa objavili aj v sektoroch priemyslu a dopravy. Je potrebné konštatovať, že </w:t>
      </w:r>
      <w:r w:rsidR="00C63D74" w:rsidRPr="001B1483">
        <w:rPr>
          <w:rFonts w:ascii="Times New Roman" w:hAnsi="Times New Roman" w:cs="Times New Roman"/>
          <w:b/>
          <w:sz w:val="24"/>
          <w:szCs w:val="24"/>
        </w:rPr>
        <w:t>bez zabezpečenia včasného a plného čerpania štrukturálnych fondov a iných podporných mechanizmov</w:t>
      </w:r>
      <w:r w:rsidR="00C63D74">
        <w:rPr>
          <w:rFonts w:ascii="Times New Roman" w:hAnsi="Times New Roman" w:cs="Times New Roman"/>
          <w:sz w:val="24"/>
          <w:szCs w:val="24"/>
        </w:rPr>
        <w:t xml:space="preserve"> môže byť cieľ pre čl. 7 smernice ohrozený. </w:t>
      </w:r>
      <w:r w:rsidR="000D1519">
        <w:rPr>
          <w:rFonts w:ascii="Times New Roman" w:hAnsi="Times New Roman" w:cs="Times New Roman"/>
          <w:sz w:val="24"/>
          <w:szCs w:val="24"/>
        </w:rPr>
        <w:t xml:space="preserve">V budúcnosti je preto potrebné zabezpečiť čerpanie zdrojov z uvedených zdrojov. </w:t>
      </w:r>
    </w:p>
    <w:p w14:paraId="0985704B" w14:textId="30D74671" w:rsidR="004A66C0" w:rsidRDefault="00DF3EC4" w:rsidP="000578FE">
      <w:pPr>
        <w:jc w:val="both"/>
        <w:rPr>
          <w:rFonts w:ascii="Times New Roman" w:hAnsi="Times New Roman" w:cs="Times New Roman"/>
          <w:sz w:val="24"/>
        </w:rPr>
      </w:pPr>
      <w:r>
        <w:rPr>
          <w:rFonts w:ascii="Times New Roman" w:hAnsi="Times New Roman" w:cs="Times New Roman"/>
          <w:sz w:val="24"/>
        </w:rPr>
        <w:t>V druhej časti sa dokument zaoberal samotným akčným plánom na roky 2017-2019 s výhľadom do roku 2020.</w:t>
      </w:r>
      <w:r w:rsidR="00C63D74">
        <w:rPr>
          <w:rFonts w:ascii="Times New Roman" w:hAnsi="Times New Roman" w:cs="Times New Roman"/>
          <w:sz w:val="24"/>
        </w:rPr>
        <w:t xml:space="preserve"> </w:t>
      </w:r>
      <w:r w:rsidR="00F01807" w:rsidRPr="00F77093">
        <w:rPr>
          <w:rFonts w:ascii="Times New Roman" w:hAnsi="Times New Roman" w:cs="Times New Roman"/>
          <w:sz w:val="24"/>
        </w:rPr>
        <w:t xml:space="preserve">Pri navrhovaní </w:t>
      </w:r>
      <w:r w:rsidR="00ED3085" w:rsidRPr="00F77093">
        <w:rPr>
          <w:rFonts w:ascii="Times New Roman" w:hAnsi="Times New Roman" w:cs="Times New Roman"/>
          <w:sz w:val="24"/>
        </w:rPr>
        <w:t>plánovaných</w:t>
      </w:r>
      <w:r w:rsidR="00F01807" w:rsidRPr="00F77093">
        <w:rPr>
          <w:rFonts w:ascii="Times New Roman" w:hAnsi="Times New Roman" w:cs="Times New Roman"/>
          <w:sz w:val="24"/>
        </w:rPr>
        <w:t xml:space="preserve"> opatrení </w:t>
      </w:r>
      <w:r w:rsidR="00ED3085" w:rsidRPr="00F77093">
        <w:rPr>
          <w:rFonts w:ascii="Times New Roman" w:hAnsi="Times New Roman" w:cs="Times New Roman"/>
          <w:sz w:val="24"/>
        </w:rPr>
        <w:t xml:space="preserve">energetickej efektívnosti </w:t>
      </w:r>
      <w:r w:rsidR="00F01807" w:rsidRPr="00F77093">
        <w:rPr>
          <w:rFonts w:ascii="Times New Roman" w:hAnsi="Times New Roman" w:cs="Times New Roman"/>
          <w:sz w:val="24"/>
        </w:rPr>
        <w:t>na roky 2017-2019</w:t>
      </w:r>
      <w:r w:rsidR="00ED3085" w:rsidRPr="00F77093">
        <w:rPr>
          <w:rFonts w:ascii="Times New Roman" w:hAnsi="Times New Roman" w:cs="Times New Roman"/>
          <w:sz w:val="24"/>
        </w:rPr>
        <w:t>, resp. do roku 2020</w:t>
      </w:r>
      <w:r w:rsidR="003E0471" w:rsidRPr="00F77093">
        <w:rPr>
          <w:rFonts w:ascii="Times New Roman" w:hAnsi="Times New Roman" w:cs="Times New Roman"/>
          <w:sz w:val="24"/>
        </w:rPr>
        <w:t>,</w:t>
      </w:r>
      <w:r w:rsidR="00F01807" w:rsidRPr="00F77093">
        <w:rPr>
          <w:rFonts w:ascii="Times New Roman" w:hAnsi="Times New Roman" w:cs="Times New Roman"/>
          <w:sz w:val="24"/>
        </w:rPr>
        <w:t xml:space="preserve"> sa</w:t>
      </w:r>
      <w:r w:rsidR="003E0471" w:rsidRPr="00F77093">
        <w:rPr>
          <w:rFonts w:ascii="Times New Roman" w:hAnsi="Times New Roman" w:cs="Times New Roman"/>
          <w:sz w:val="24"/>
        </w:rPr>
        <w:t xml:space="preserve"> </w:t>
      </w:r>
      <w:r w:rsidR="00F01807" w:rsidRPr="00F77093">
        <w:rPr>
          <w:rFonts w:ascii="Times New Roman" w:hAnsi="Times New Roman" w:cs="Times New Roman"/>
          <w:sz w:val="24"/>
        </w:rPr>
        <w:t>vychádzalo z konkrétnych projektov a</w:t>
      </w:r>
      <w:r w:rsidR="00ED3085" w:rsidRPr="00F77093">
        <w:rPr>
          <w:rFonts w:ascii="Times New Roman" w:hAnsi="Times New Roman" w:cs="Times New Roman"/>
          <w:sz w:val="24"/>
        </w:rPr>
        <w:t xml:space="preserve"> podporných</w:t>
      </w:r>
      <w:r w:rsidR="00F01807" w:rsidRPr="00F77093">
        <w:rPr>
          <w:rFonts w:ascii="Times New Roman" w:hAnsi="Times New Roman" w:cs="Times New Roman"/>
          <w:sz w:val="24"/>
        </w:rPr>
        <w:t> programov</w:t>
      </w:r>
      <w:r>
        <w:rPr>
          <w:rFonts w:ascii="Times New Roman" w:hAnsi="Times New Roman" w:cs="Times New Roman"/>
          <w:sz w:val="24"/>
        </w:rPr>
        <w:t xml:space="preserve"> v rámci jednotlivých sektorov. Plánovanie bolo nastavené tak, aby vo všetkých segmentoch národného hospodárstva bolo zabezpečené plnenie cieľov podľa jednotlivých článkov smernice 2012/27/EÚ.</w:t>
      </w:r>
      <w:r w:rsidR="00C63D74">
        <w:rPr>
          <w:rFonts w:ascii="Times New Roman" w:hAnsi="Times New Roman" w:cs="Times New Roman"/>
          <w:sz w:val="24"/>
        </w:rPr>
        <w:t xml:space="preserve"> </w:t>
      </w:r>
      <w:r w:rsidR="00F01807" w:rsidRPr="00F77093">
        <w:rPr>
          <w:rFonts w:ascii="Times New Roman" w:hAnsi="Times New Roman" w:cs="Times New Roman"/>
          <w:sz w:val="24"/>
        </w:rPr>
        <w:t xml:space="preserve">V budúcnosti je </w:t>
      </w:r>
      <w:r w:rsidR="003E0471" w:rsidRPr="00F77093">
        <w:rPr>
          <w:rFonts w:ascii="Times New Roman" w:hAnsi="Times New Roman" w:cs="Times New Roman"/>
          <w:sz w:val="24"/>
        </w:rPr>
        <w:t xml:space="preserve">preto </w:t>
      </w:r>
      <w:r>
        <w:rPr>
          <w:rFonts w:ascii="Times New Roman" w:hAnsi="Times New Roman" w:cs="Times New Roman"/>
          <w:sz w:val="24"/>
        </w:rPr>
        <w:t xml:space="preserve">potrebné sa zamerať na dôkladnú implementáciu podporných mechanizmov a </w:t>
      </w:r>
      <w:r w:rsidR="00F01807" w:rsidRPr="00F77093">
        <w:rPr>
          <w:rFonts w:ascii="Times New Roman" w:hAnsi="Times New Roman" w:cs="Times New Roman"/>
          <w:sz w:val="24"/>
        </w:rPr>
        <w:t xml:space="preserve">aktívnejšie presadzovať využívanie existujúcich </w:t>
      </w:r>
      <w:r>
        <w:rPr>
          <w:rFonts w:ascii="Times New Roman" w:hAnsi="Times New Roman" w:cs="Times New Roman"/>
          <w:sz w:val="24"/>
        </w:rPr>
        <w:t>finančných mechanizmov.</w:t>
      </w:r>
      <w:r w:rsidRPr="001B1483">
        <w:rPr>
          <w:rFonts w:ascii="Times New Roman" w:hAnsi="Times New Roman" w:cs="Times New Roman"/>
          <w:sz w:val="24"/>
        </w:rPr>
        <w:t xml:space="preserve"> </w:t>
      </w:r>
      <w:r>
        <w:rPr>
          <w:rFonts w:ascii="Times New Roman" w:hAnsi="Times New Roman" w:cs="Times New Roman"/>
          <w:sz w:val="24"/>
        </w:rPr>
        <w:t>Najvýznamnejší</w:t>
      </w:r>
      <w:r w:rsidRPr="00DF3EC4">
        <w:rPr>
          <w:rFonts w:ascii="Times New Roman" w:hAnsi="Times New Roman" w:cs="Times New Roman"/>
          <w:sz w:val="24"/>
        </w:rPr>
        <w:t xml:space="preserve"> potenciál úspor energie </w:t>
      </w:r>
      <w:r>
        <w:rPr>
          <w:rFonts w:ascii="Times New Roman" w:hAnsi="Times New Roman" w:cs="Times New Roman"/>
          <w:sz w:val="24"/>
        </w:rPr>
        <w:t xml:space="preserve">pretrváva naďalej </w:t>
      </w:r>
      <w:r w:rsidR="006131F5">
        <w:rPr>
          <w:rFonts w:ascii="Times New Roman" w:hAnsi="Times New Roman" w:cs="Times New Roman"/>
          <w:sz w:val="24"/>
        </w:rPr>
        <w:t>v priemysle a v budovách.</w:t>
      </w:r>
    </w:p>
    <w:p w14:paraId="3520E7F1" w14:textId="77777777" w:rsidR="00520406" w:rsidRDefault="00520406" w:rsidP="00520406">
      <w:pPr>
        <w:jc w:val="both"/>
        <w:rPr>
          <w:rFonts w:ascii="Times New Roman" w:hAnsi="Times New Roman" w:cs="Times New Roman"/>
          <w:sz w:val="24"/>
        </w:rPr>
      </w:pPr>
      <w:r w:rsidRPr="00107A5D">
        <w:rPr>
          <w:rFonts w:ascii="Times New Roman" w:hAnsi="Times New Roman" w:cs="Times New Roman"/>
          <w:sz w:val="24"/>
        </w:rPr>
        <w:lastRenderedPageBreak/>
        <w:t xml:space="preserve">Z uvedeného vyplýva, že SR si neplní väčšinu stanovených cieľov. </w:t>
      </w:r>
      <w:r>
        <w:rPr>
          <w:rFonts w:ascii="Times New Roman" w:hAnsi="Times New Roman" w:cs="Times New Roman"/>
          <w:sz w:val="24"/>
        </w:rPr>
        <w:t>Z tohto dôvodu navrhujeme nasledujúce odporúčania podľa jednotlivých sektorov pre rezorty, ktoré v nich majú pôsobnosť.</w:t>
      </w:r>
    </w:p>
    <w:p w14:paraId="4A6EE7DC" w14:textId="77777777" w:rsidR="00520406" w:rsidRDefault="00520406" w:rsidP="00520406">
      <w:pPr>
        <w:jc w:val="both"/>
        <w:rPr>
          <w:rFonts w:ascii="Times New Roman" w:hAnsi="Times New Roman" w:cs="Times New Roman"/>
          <w:sz w:val="24"/>
        </w:rPr>
      </w:pPr>
    </w:p>
    <w:p w14:paraId="1BC1BE90" w14:textId="77777777" w:rsidR="00520406" w:rsidRPr="00E05BCF" w:rsidRDefault="00520406" w:rsidP="00520406">
      <w:pPr>
        <w:jc w:val="both"/>
        <w:rPr>
          <w:rFonts w:ascii="Times New Roman" w:hAnsi="Times New Roman" w:cs="Times New Roman"/>
          <w:sz w:val="24"/>
          <w:u w:val="single"/>
        </w:rPr>
      </w:pPr>
      <w:r w:rsidRPr="00E05BCF">
        <w:rPr>
          <w:rFonts w:ascii="Times New Roman" w:hAnsi="Times New Roman" w:cs="Times New Roman"/>
          <w:sz w:val="24"/>
          <w:u w:val="single"/>
        </w:rPr>
        <w:t xml:space="preserve">Odporúčania: </w:t>
      </w:r>
    </w:p>
    <w:p w14:paraId="72B85368" w14:textId="77777777" w:rsidR="00520406" w:rsidRDefault="00520406" w:rsidP="00520406">
      <w:pPr>
        <w:pStyle w:val="Odsekzoznamu"/>
        <w:numPr>
          <w:ilvl w:val="0"/>
          <w:numId w:val="33"/>
        </w:numPr>
        <w:jc w:val="both"/>
        <w:rPr>
          <w:rFonts w:ascii="Times New Roman" w:hAnsi="Times New Roman" w:cs="Times New Roman"/>
          <w:sz w:val="24"/>
        </w:rPr>
      </w:pPr>
      <w:r w:rsidRPr="00A71548">
        <w:rPr>
          <w:rFonts w:ascii="Times New Roman" w:hAnsi="Times New Roman" w:cs="Times New Roman"/>
          <w:b/>
          <w:sz w:val="24"/>
        </w:rPr>
        <w:t>Sektor budov</w:t>
      </w:r>
      <w:r>
        <w:rPr>
          <w:rFonts w:ascii="Times New Roman" w:hAnsi="Times New Roman" w:cs="Times New Roman"/>
          <w:sz w:val="24"/>
        </w:rPr>
        <w:t xml:space="preserve"> – aktívne presadzovať podporu opatrení zameraných na energetickej hospodárnosti budov, a to najmä nasledovne:</w:t>
      </w:r>
    </w:p>
    <w:p w14:paraId="2464A65B" w14:textId="77777777" w:rsidR="00520406" w:rsidRDefault="00520406" w:rsidP="00520406">
      <w:pPr>
        <w:pStyle w:val="Odsekzoznamu"/>
        <w:numPr>
          <w:ilvl w:val="1"/>
          <w:numId w:val="33"/>
        </w:numPr>
        <w:jc w:val="both"/>
        <w:rPr>
          <w:rFonts w:ascii="Times New Roman" w:hAnsi="Times New Roman" w:cs="Times New Roman"/>
          <w:sz w:val="24"/>
        </w:rPr>
      </w:pPr>
      <w:r>
        <w:rPr>
          <w:rFonts w:ascii="Times New Roman" w:hAnsi="Times New Roman" w:cs="Times New Roman"/>
          <w:sz w:val="24"/>
        </w:rPr>
        <w:t xml:space="preserve">Pokračovať v podpore zatepľovania bytových domov prostredníctvom ŠFRB a zatepľovania rodinných domov z kapitoly MDV SR a pri podpore hľadať možnosti zvýhodnenia pre hĺbkovú obnovu. </w:t>
      </w:r>
    </w:p>
    <w:p w14:paraId="444EC85A" w14:textId="77777777" w:rsidR="00520406" w:rsidRPr="009F0E17" w:rsidRDefault="00520406" w:rsidP="00520406">
      <w:pPr>
        <w:pStyle w:val="Odsekzoznamu"/>
        <w:numPr>
          <w:ilvl w:val="1"/>
          <w:numId w:val="33"/>
        </w:numPr>
        <w:jc w:val="both"/>
        <w:rPr>
          <w:rFonts w:ascii="Times New Roman" w:hAnsi="Times New Roman" w:cs="Times New Roman"/>
          <w:sz w:val="24"/>
        </w:rPr>
      </w:pPr>
      <w:r w:rsidRPr="00A71548">
        <w:rPr>
          <w:rFonts w:ascii="Times New Roman" w:hAnsi="Times New Roman" w:cs="Times New Roman"/>
          <w:sz w:val="24"/>
        </w:rPr>
        <w:t xml:space="preserve">Zabezpečiť </w:t>
      </w:r>
      <w:r>
        <w:rPr>
          <w:rFonts w:ascii="Times New Roman" w:hAnsi="Times New Roman" w:cs="Times New Roman"/>
          <w:sz w:val="24"/>
        </w:rPr>
        <w:t xml:space="preserve">čo najskoršie čerpanie zdrojov v rámci OP </w:t>
      </w:r>
      <w:r w:rsidRPr="009F0E17">
        <w:rPr>
          <w:rFonts w:ascii="Times New Roman" w:hAnsi="Times New Roman" w:cs="Times New Roman"/>
          <w:sz w:val="24"/>
        </w:rPr>
        <w:t xml:space="preserve">KŽP, </w:t>
      </w:r>
      <w:r>
        <w:rPr>
          <w:rFonts w:ascii="Times New Roman" w:hAnsi="Times New Roman" w:cs="Times New Roman"/>
          <w:sz w:val="24"/>
        </w:rPr>
        <w:t xml:space="preserve">IROP (2014-2020), </w:t>
      </w:r>
      <w:r w:rsidRPr="009F0E17">
        <w:rPr>
          <w:rFonts w:ascii="Times New Roman" w:hAnsi="Times New Roman" w:cs="Times New Roman"/>
          <w:sz w:val="24"/>
        </w:rPr>
        <w:t xml:space="preserve"> </w:t>
      </w:r>
    </w:p>
    <w:p w14:paraId="1D68EFA0" w14:textId="77777777" w:rsidR="00520406" w:rsidRDefault="00520406" w:rsidP="00520406">
      <w:pPr>
        <w:pStyle w:val="Odsekzoznamu"/>
        <w:numPr>
          <w:ilvl w:val="0"/>
          <w:numId w:val="33"/>
        </w:numPr>
        <w:jc w:val="both"/>
        <w:rPr>
          <w:rFonts w:ascii="Times New Roman" w:hAnsi="Times New Roman" w:cs="Times New Roman"/>
          <w:sz w:val="24"/>
        </w:rPr>
      </w:pPr>
      <w:r w:rsidRPr="00A71548">
        <w:rPr>
          <w:rFonts w:ascii="Times New Roman" w:hAnsi="Times New Roman" w:cs="Times New Roman"/>
          <w:b/>
          <w:sz w:val="24"/>
        </w:rPr>
        <w:t>Sektor priemyslu</w:t>
      </w:r>
      <w:r>
        <w:rPr>
          <w:rFonts w:ascii="Times New Roman" w:hAnsi="Times New Roman" w:cs="Times New Roman"/>
          <w:sz w:val="24"/>
        </w:rPr>
        <w:t xml:space="preserve"> – aktívne presadzovať podporu opatrení zameraných na znižovanie energetickej náročnosti v priemysle, a to najmä nasledovne:</w:t>
      </w:r>
    </w:p>
    <w:p w14:paraId="5DBD992D" w14:textId="77777777" w:rsidR="00520406" w:rsidRDefault="00520406" w:rsidP="00520406">
      <w:pPr>
        <w:pStyle w:val="Odsekzoznamu"/>
        <w:numPr>
          <w:ilvl w:val="1"/>
          <w:numId w:val="33"/>
        </w:numPr>
        <w:jc w:val="both"/>
        <w:rPr>
          <w:rFonts w:ascii="Times New Roman" w:hAnsi="Times New Roman" w:cs="Times New Roman"/>
          <w:sz w:val="24"/>
        </w:rPr>
      </w:pPr>
      <w:r w:rsidRPr="00A71548">
        <w:rPr>
          <w:rFonts w:ascii="Times New Roman" w:hAnsi="Times New Roman" w:cs="Times New Roman"/>
          <w:sz w:val="24"/>
        </w:rPr>
        <w:t xml:space="preserve">Zabezpečiť </w:t>
      </w:r>
      <w:r>
        <w:rPr>
          <w:rFonts w:ascii="Times New Roman" w:hAnsi="Times New Roman" w:cs="Times New Roman"/>
          <w:sz w:val="24"/>
        </w:rPr>
        <w:t xml:space="preserve">čo najskoršie čerpanie zdrojov v rámci OP </w:t>
      </w:r>
      <w:r w:rsidRPr="009F0E17">
        <w:rPr>
          <w:rFonts w:ascii="Times New Roman" w:hAnsi="Times New Roman" w:cs="Times New Roman"/>
          <w:sz w:val="24"/>
        </w:rPr>
        <w:t>KŽP, OP VaI</w:t>
      </w:r>
      <w:r>
        <w:rPr>
          <w:rFonts w:ascii="Times New Roman" w:hAnsi="Times New Roman" w:cs="Times New Roman"/>
          <w:sz w:val="24"/>
        </w:rPr>
        <w:t xml:space="preserve"> (2014-2020). </w:t>
      </w:r>
    </w:p>
    <w:p w14:paraId="4DAA3B33" w14:textId="77777777" w:rsidR="00520406" w:rsidRPr="009F0E17" w:rsidRDefault="00520406" w:rsidP="00520406">
      <w:pPr>
        <w:pStyle w:val="Odsekzoznamu"/>
        <w:numPr>
          <w:ilvl w:val="1"/>
          <w:numId w:val="33"/>
        </w:numPr>
        <w:jc w:val="both"/>
        <w:rPr>
          <w:rFonts w:ascii="Times New Roman" w:hAnsi="Times New Roman" w:cs="Times New Roman"/>
          <w:sz w:val="24"/>
        </w:rPr>
      </w:pPr>
      <w:r>
        <w:rPr>
          <w:rFonts w:ascii="Times New Roman" w:hAnsi="Times New Roman" w:cs="Times New Roman"/>
          <w:sz w:val="24"/>
        </w:rPr>
        <w:t>Navrhnúť spôsob podpory realizácie opatrení vyplývajúcich z energetických auditov pre MSP v BSK.</w:t>
      </w:r>
    </w:p>
    <w:p w14:paraId="16ADE3EE" w14:textId="77777777" w:rsidR="00520406" w:rsidRPr="009F0E17" w:rsidRDefault="00520406" w:rsidP="00520406">
      <w:pPr>
        <w:pStyle w:val="Odsekzoznamu"/>
        <w:numPr>
          <w:ilvl w:val="1"/>
          <w:numId w:val="33"/>
        </w:numPr>
        <w:jc w:val="both"/>
        <w:rPr>
          <w:rFonts w:ascii="Times New Roman" w:hAnsi="Times New Roman" w:cs="Times New Roman"/>
          <w:sz w:val="24"/>
        </w:rPr>
      </w:pPr>
      <w:r>
        <w:rPr>
          <w:rFonts w:ascii="Times New Roman" w:hAnsi="Times New Roman" w:cs="Times New Roman"/>
          <w:sz w:val="24"/>
        </w:rPr>
        <w:t>Pokračovať v podpore energetických auditov v BSK prostredníctvom</w:t>
      </w:r>
      <w:r w:rsidRPr="009F0E17">
        <w:rPr>
          <w:rFonts w:ascii="Times New Roman" w:hAnsi="Times New Roman" w:cs="Times New Roman"/>
          <w:sz w:val="24"/>
        </w:rPr>
        <w:t xml:space="preserve"> schémy de minimis</w:t>
      </w:r>
      <w:r>
        <w:rPr>
          <w:rFonts w:ascii="Times New Roman" w:hAnsi="Times New Roman" w:cs="Times New Roman"/>
          <w:sz w:val="24"/>
        </w:rPr>
        <w:t>.</w:t>
      </w:r>
      <w:r w:rsidRPr="009F0E17">
        <w:rPr>
          <w:rFonts w:ascii="Times New Roman" w:hAnsi="Times New Roman" w:cs="Times New Roman"/>
          <w:sz w:val="24"/>
        </w:rPr>
        <w:t xml:space="preserve"> </w:t>
      </w:r>
    </w:p>
    <w:p w14:paraId="280DD11E" w14:textId="77777777" w:rsidR="00520406" w:rsidRPr="009F0E17" w:rsidRDefault="00520406" w:rsidP="00520406">
      <w:pPr>
        <w:pStyle w:val="Odsekzoznamu"/>
        <w:numPr>
          <w:ilvl w:val="1"/>
          <w:numId w:val="33"/>
        </w:numPr>
        <w:jc w:val="both"/>
        <w:rPr>
          <w:rFonts w:ascii="Times New Roman" w:hAnsi="Times New Roman" w:cs="Times New Roman"/>
          <w:sz w:val="24"/>
        </w:rPr>
      </w:pPr>
      <w:r>
        <w:rPr>
          <w:rFonts w:ascii="Times New Roman" w:hAnsi="Times New Roman" w:cs="Times New Roman"/>
          <w:sz w:val="24"/>
        </w:rPr>
        <w:t xml:space="preserve">Zintenzívniť spoluprácu s profesijnými organizáciami s cieľom uzatvoriť </w:t>
      </w:r>
      <w:r w:rsidRPr="009F0E17">
        <w:rPr>
          <w:rFonts w:ascii="Times New Roman" w:hAnsi="Times New Roman" w:cs="Times New Roman"/>
          <w:sz w:val="24"/>
        </w:rPr>
        <w:t xml:space="preserve"> dobrovoľné dohody, v rámci ktorých sa priemyselné podniky zaviažu k cieľom v oblasti úspor energie</w:t>
      </w:r>
      <w:r>
        <w:rPr>
          <w:rFonts w:ascii="Times New Roman" w:hAnsi="Times New Roman" w:cs="Times New Roman"/>
          <w:sz w:val="24"/>
        </w:rPr>
        <w:t>.</w:t>
      </w:r>
      <w:r w:rsidRPr="009F0E17">
        <w:rPr>
          <w:rFonts w:ascii="Times New Roman" w:hAnsi="Times New Roman" w:cs="Times New Roman"/>
          <w:sz w:val="24"/>
        </w:rPr>
        <w:t xml:space="preserve"> </w:t>
      </w:r>
    </w:p>
    <w:p w14:paraId="351C3375" w14:textId="77777777" w:rsidR="00520406" w:rsidRPr="009F0E17" w:rsidRDefault="00520406" w:rsidP="00520406">
      <w:pPr>
        <w:pStyle w:val="Odsekzoznamu"/>
        <w:numPr>
          <w:ilvl w:val="1"/>
          <w:numId w:val="33"/>
        </w:numPr>
        <w:jc w:val="both"/>
        <w:rPr>
          <w:rFonts w:ascii="Times New Roman" w:hAnsi="Times New Roman" w:cs="Times New Roman"/>
          <w:sz w:val="24"/>
        </w:rPr>
      </w:pPr>
      <w:r>
        <w:rPr>
          <w:rFonts w:ascii="Times New Roman" w:hAnsi="Times New Roman" w:cs="Times New Roman"/>
          <w:sz w:val="24"/>
        </w:rPr>
        <w:t>Pri poskytovaní</w:t>
      </w:r>
      <w:r w:rsidRPr="009F0E17">
        <w:rPr>
          <w:rFonts w:ascii="Times New Roman" w:hAnsi="Times New Roman" w:cs="Times New Roman"/>
          <w:sz w:val="24"/>
        </w:rPr>
        <w:t xml:space="preserve"> fiškálnych stimulov </w:t>
      </w:r>
      <w:r>
        <w:rPr>
          <w:rFonts w:ascii="Times New Roman" w:hAnsi="Times New Roman" w:cs="Times New Roman"/>
          <w:sz w:val="24"/>
        </w:rPr>
        <w:t xml:space="preserve">zohľadniť zvýhodnenie pri projektoch s vplyvom na úsporu </w:t>
      </w:r>
      <w:r w:rsidRPr="009F0E17">
        <w:rPr>
          <w:rFonts w:ascii="Times New Roman" w:hAnsi="Times New Roman" w:cs="Times New Roman"/>
          <w:sz w:val="24"/>
        </w:rPr>
        <w:t>energie</w:t>
      </w:r>
      <w:r>
        <w:rPr>
          <w:rFonts w:ascii="Times New Roman" w:hAnsi="Times New Roman" w:cs="Times New Roman"/>
          <w:sz w:val="24"/>
        </w:rPr>
        <w:t>.</w:t>
      </w:r>
      <w:r w:rsidRPr="009F0E17">
        <w:rPr>
          <w:rFonts w:ascii="Times New Roman" w:hAnsi="Times New Roman" w:cs="Times New Roman"/>
          <w:sz w:val="24"/>
        </w:rPr>
        <w:t xml:space="preserve"> </w:t>
      </w:r>
    </w:p>
    <w:p w14:paraId="15EED4E4" w14:textId="77777777" w:rsidR="00520406" w:rsidRDefault="00520406" w:rsidP="00520406">
      <w:pPr>
        <w:pStyle w:val="Odsekzoznamu"/>
        <w:numPr>
          <w:ilvl w:val="1"/>
          <w:numId w:val="33"/>
        </w:numPr>
        <w:jc w:val="both"/>
        <w:rPr>
          <w:rFonts w:ascii="Times New Roman" w:hAnsi="Times New Roman" w:cs="Times New Roman"/>
          <w:sz w:val="24"/>
        </w:rPr>
      </w:pPr>
      <w:r>
        <w:rPr>
          <w:rFonts w:ascii="Times New Roman" w:hAnsi="Times New Roman" w:cs="Times New Roman"/>
          <w:sz w:val="24"/>
        </w:rPr>
        <w:t xml:space="preserve">Navrhnúť nové cielené nástroje na podporu znižovania energetickej náročnosti v jednotlivých priemyselných odvetviach. </w:t>
      </w:r>
    </w:p>
    <w:p w14:paraId="0669E9F3" w14:textId="77777777" w:rsidR="00520406" w:rsidRPr="00A54D00" w:rsidRDefault="00520406" w:rsidP="00520406">
      <w:pPr>
        <w:pStyle w:val="Odsekzoznamu"/>
        <w:numPr>
          <w:ilvl w:val="0"/>
          <w:numId w:val="33"/>
        </w:numPr>
        <w:jc w:val="both"/>
        <w:rPr>
          <w:rFonts w:ascii="Times New Roman" w:hAnsi="Times New Roman" w:cs="Times New Roman"/>
          <w:sz w:val="24"/>
        </w:rPr>
      </w:pPr>
      <w:r w:rsidRPr="00A54D00">
        <w:rPr>
          <w:rFonts w:ascii="Times New Roman" w:hAnsi="Times New Roman" w:cs="Times New Roman"/>
          <w:b/>
          <w:sz w:val="24"/>
        </w:rPr>
        <w:t>Verejný sektor</w:t>
      </w:r>
      <w:r w:rsidRPr="00A54D00">
        <w:rPr>
          <w:rFonts w:ascii="Times New Roman" w:hAnsi="Times New Roman" w:cs="Times New Roman"/>
          <w:sz w:val="24"/>
        </w:rPr>
        <w:t xml:space="preserve"> – doterajšie opatrenia nie sú dostatočne nastavené tak, aby bolo zabezpečené plnenie cieľa v oblasti budov. Pre plnenie cieľa je potrebné zabezpečiť dostatočné zdroje na využitie značného potenciálu úspor energie v tomto sektore (hlavne obnova budov, ale aj verejné obstarávanie), nakoľko tieto boli dlhodobo poddimenzované. Investície do realizácie opatrení v tomto sektore sa zároveň premietnu aj do zníženia verejných výdavkov. Ide najmä o tieto aktivity: </w:t>
      </w:r>
    </w:p>
    <w:p w14:paraId="2840CED1" w14:textId="77777777" w:rsidR="00520406" w:rsidRDefault="00520406" w:rsidP="00520406">
      <w:pPr>
        <w:pStyle w:val="Odsekzoznamu"/>
        <w:numPr>
          <w:ilvl w:val="1"/>
          <w:numId w:val="33"/>
        </w:numPr>
        <w:jc w:val="both"/>
        <w:rPr>
          <w:rFonts w:ascii="Times New Roman" w:hAnsi="Times New Roman" w:cs="Times New Roman"/>
          <w:sz w:val="24"/>
        </w:rPr>
      </w:pPr>
      <w:r w:rsidRPr="00A71548">
        <w:rPr>
          <w:rFonts w:ascii="Times New Roman" w:hAnsi="Times New Roman" w:cs="Times New Roman"/>
          <w:sz w:val="24"/>
        </w:rPr>
        <w:t xml:space="preserve">Zabezpečiť </w:t>
      </w:r>
      <w:r>
        <w:rPr>
          <w:rFonts w:ascii="Times New Roman" w:hAnsi="Times New Roman" w:cs="Times New Roman"/>
          <w:sz w:val="24"/>
        </w:rPr>
        <w:t>čo najskoršie čerpanie zdrojov v rámci OP KŽP a IROP (2014-2020)</w:t>
      </w:r>
      <w:r w:rsidRPr="00D45B4D">
        <w:rPr>
          <w:rFonts w:ascii="Times New Roman" w:hAnsi="Times New Roman" w:cs="Times New Roman"/>
          <w:sz w:val="24"/>
        </w:rPr>
        <w:t xml:space="preserve"> </w:t>
      </w:r>
      <w:r>
        <w:rPr>
          <w:rFonts w:ascii="Times New Roman" w:hAnsi="Times New Roman" w:cs="Times New Roman"/>
          <w:sz w:val="24"/>
        </w:rPr>
        <w:t>pre verejné budovy vrátane škôl.</w:t>
      </w:r>
    </w:p>
    <w:p w14:paraId="594B02F6" w14:textId="77777777" w:rsidR="00520406" w:rsidRDefault="00520406" w:rsidP="00520406">
      <w:pPr>
        <w:pStyle w:val="Odsekzoznamu"/>
        <w:numPr>
          <w:ilvl w:val="1"/>
          <w:numId w:val="33"/>
        </w:numPr>
        <w:jc w:val="both"/>
        <w:rPr>
          <w:rFonts w:ascii="Times New Roman" w:hAnsi="Times New Roman" w:cs="Times New Roman"/>
          <w:sz w:val="24"/>
        </w:rPr>
      </w:pPr>
      <w:r>
        <w:rPr>
          <w:rFonts w:ascii="Times New Roman" w:hAnsi="Times New Roman" w:cs="Times New Roman"/>
          <w:sz w:val="24"/>
        </w:rPr>
        <w:t>Zabezpečiť financovanie pre obnovu budov ÚOŠS a organizácií v ich pôsobnosti v rámci ich rozpočtových kapitol – je potrebné zabezpečiť dostatok zdrojov na hĺbkovú obnovu, nielen na čiastočné riešenia v rámci havarijných stavov,</w:t>
      </w:r>
    </w:p>
    <w:p w14:paraId="2DBD8BCF" w14:textId="77777777" w:rsidR="00520406" w:rsidRDefault="00520406" w:rsidP="00520406">
      <w:pPr>
        <w:pStyle w:val="Odsekzoznamu"/>
        <w:numPr>
          <w:ilvl w:val="1"/>
          <w:numId w:val="33"/>
        </w:numPr>
        <w:jc w:val="both"/>
        <w:rPr>
          <w:rFonts w:ascii="Times New Roman" w:hAnsi="Times New Roman" w:cs="Times New Roman"/>
          <w:sz w:val="24"/>
        </w:rPr>
      </w:pPr>
      <w:r>
        <w:rPr>
          <w:rFonts w:ascii="Times New Roman" w:hAnsi="Times New Roman" w:cs="Times New Roman"/>
          <w:sz w:val="24"/>
        </w:rPr>
        <w:t xml:space="preserve">Pri financovaní obnovy verejných budov zabezpečiť efektívne vynakladanie verejných zdrojov, a to zohľadnením potreby hĺbkovej obnovy budovy, ako aj budúcich úspor nákladov na energiu. </w:t>
      </w:r>
    </w:p>
    <w:p w14:paraId="5BA94204" w14:textId="77777777" w:rsidR="00520406" w:rsidRDefault="00520406" w:rsidP="00520406">
      <w:pPr>
        <w:pStyle w:val="Odsekzoznamu"/>
        <w:numPr>
          <w:ilvl w:val="1"/>
          <w:numId w:val="33"/>
        </w:numPr>
        <w:jc w:val="both"/>
        <w:rPr>
          <w:rFonts w:ascii="Times New Roman" w:hAnsi="Times New Roman" w:cs="Times New Roman"/>
          <w:sz w:val="24"/>
        </w:rPr>
      </w:pPr>
      <w:r>
        <w:rPr>
          <w:rFonts w:ascii="Times New Roman" w:hAnsi="Times New Roman" w:cs="Times New Roman"/>
          <w:sz w:val="24"/>
        </w:rPr>
        <w:t>Aktívne presadzovať uplatňovanie princípov energetickej efektívnosti vo verejnom obstarávaní aj v podlimitných zákazkách, ak je to nákladovo efektívne – a to najmä pri prenájme budov, obstarávania prenájmu nebytových priestorov, dopravných prostriedkov, technických zariadení budov na vykurovanie a klimatizáciu. Následne zabezpečiť aj jeho monitorovanie.</w:t>
      </w:r>
    </w:p>
    <w:p w14:paraId="075667AD" w14:textId="77777777" w:rsidR="00520406" w:rsidRDefault="00520406" w:rsidP="00520406">
      <w:pPr>
        <w:pStyle w:val="Odsekzoznamu"/>
        <w:numPr>
          <w:ilvl w:val="1"/>
          <w:numId w:val="33"/>
        </w:numPr>
        <w:jc w:val="both"/>
        <w:rPr>
          <w:rFonts w:ascii="Times New Roman" w:hAnsi="Times New Roman" w:cs="Times New Roman"/>
          <w:sz w:val="24"/>
        </w:rPr>
      </w:pPr>
      <w:r>
        <w:rPr>
          <w:rFonts w:ascii="Times New Roman" w:hAnsi="Times New Roman" w:cs="Times New Roman"/>
          <w:sz w:val="24"/>
        </w:rPr>
        <w:lastRenderedPageBreak/>
        <w:t>Aktívne presadzovať vyriešenie účtovníckeho problému na európskej úrovni v prípade projektov financovaných cez energetické služby.</w:t>
      </w:r>
    </w:p>
    <w:p w14:paraId="18D4119F" w14:textId="77777777" w:rsidR="00520406" w:rsidRDefault="00520406" w:rsidP="00520406">
      <w:pPr>
        <w:pStyle w:val="Odsekzoznamu"/>
        <w:numPr>
          <w:ilvl w:val="1"/>
          <w:numId w:val="33"/>
        </w:numPr>
        <w:jc w:val="both"/>
        <w:rPr>
          <w:rFonts w:ascii="Times New Roman" w:hAnsi="Times New Roman" w:cs="Times New Roman"/>
          <w:sz w:val="24"/>
        </w:rPr>
      </w:pPr>
      <w:r w:rsidRPr="006C745F">
        <w:rPr>
          <w:rFonts w:ascii="Times New Roman" w:hAnsi="Times New Roman" w:cs="Times New Roman"/>
          <w:sz w:val="24"/>
        </w:rPr>
        <w:t>Podporovať optimalizáciu spotreby energie pre subjekty štátnej správy a miestnej samosprávy.</w:t>
      </w:r>
    </w:p>
    <w:p w14:paraId="1AB4B5F7" w14:textId="77777777" w:rsidR="00520406" w:rsidRDefault="00520406" w:rsidP="00520406">
      <w:pPr>
        <w:pStyle w:val="Odsekzoznamu"/>
        <w:numPr>
          <w:ilvl w:val="0"/>
          <w:numId w:val="33"/>
        </w:numPr>
        <w:jc w:val="both"/>
        <w:rPr>
          <w:rFonts w:ascii="Times New Roman" w:hAnsi="Times New Roman" w:cs="Times New Roman"/>
          <w:sz w:val="24"/>
        </w:rPr>
      </w:pPr>
      <w:r w:rsidRPr="00295AD1">
        <w:rPr>
          <w:rFonts w:ascii="Times New Roman" w:hAnsi="Times New Roman" w:cs="Times New Roman"/>
          <w:b/>
          <w:sz w:val="24"/>
        </w:rPr>
        <w:t>Sektor dopravy</w:t>
      </w:r>
      <w:r>
        <w:rPr>
          <w:rFonts w:ascii="Times New Roman" w:hAnsi="Times New Roman" w:cs="Times New Roman"/>
          <w:sz w:val="24"/>
        </w:rPr>
        <w:t xml:space="preserve"> – zabezpečovať aktívne presadzovanie opatrení zameraných na znižovanie celkovej spotreby energie v doprave, a to najmä znižovaním vplyvu individuálnej automobilovej dopravy (IAD), zvyšovaním podielu verejnej osobnej dopravy (VOD) (resp. zastavenia jeho zvyšovania v prospech IAD), zvyšovaním atraktivity a dostupnosti funkčnej infraštruktúry VOD a nemotorovej dopravy (najmä cyklistickej), ako aj zvyšovaním podielu verejnej nákladnej prepravy na celkovej nákladnej preprave. </w:t>
      </w:r>
    </w:p>
    <w:p w14:paraId="21B576DC" w14:textId="77777777" w:rsidR="00520406" w:rsidRDefault="00520406" w:rsidP="00520406">
      <w:pPr>
        <w:pStyle w:val="Odsekzoznamu"/>
        <w:numPr>
          <w:ilvl w:val="0"/>
          <w:numId w:val="33"/>
        </w:numPr>
        <w:jc w:val="both"/>
        <w:rPr>
          <w:rFonts w:ascii="Times New Roman" w:hAnsi="Times New Roman" w:cs="Times New Roman"/>
          <w:sz w:val="24"/>
        </w:rPr>
      </w:pPr>
      <w:r>
        <w:rPr>
          <w:rFonts w:ascii="Times New Roman" w:hAnsi="Times New Roman" w:cs="Times New Roman"/>
          <w:b/>
          <w:sz w:val="24"/>
        </w:rPr>
        <w:t xml:space="preserve">Sektor spotrebiče </w:t>
      </w:r>
      <w:r>
        <w:rPr>
          <w:rFonts w:ascii="Times New Roman" w:hAnsi="Times New Roman" w:cs="Times New Roman"/>
          <w:sz w:val="24"/>
        </w:rPr>
        <w:t xml:space="preserve">– </w:t>
      </w:r>
      <w:r w:rsidRPr="00A54D00">
        <w:rPr>
          <w:rFonts w:ascii="Times New Roman" w:hAnsi="Times New Roman" w:cs="Times New Roman"/>
          <w:sz w:val="24"/>
        </w:rPr>
        <w:t>aktívne</w:t>
      </w:r>
      <w:r>
        <w:rPr>
          <w:rFonts w:ascii="Times New Roman" w:hAnsi="Times New Roman" w:cs="Times New Roman"/>
          <w:b/>
          <w:sz w:val="24"/>
        </w:rPr>
        <w:t xml:space="preserve"> </w:t>
      </w:r>
      <w:r w:rsidRPr="00A54D00">
        <w:rPr>
          <w:rFonts w:ascii="Times New Roman" w:hAnsi="Times New Roman" w:cs="Times New Roman"/>
          <w:sz w:val="24"/>
        </w:rPr>
        <w:t>pres</w:t>
      </w:r>
      <w:r>
        <w:rPr>
          <w:rFonts w:ascii="Times New Roman" w:hAnsi="Times New Roman" w:cs="Times New Roman"/>
          <w:sz w:val="24"/>
        </w:rPr>
        <w:t xml:space="preserve">adzovať obmenu spotrebičov, a to najmä cielenými informačnými a vzdelávacími aktivitami, ako aj zabezpečiť lepšie monitorovanie dosiahnutých úspor energie. </w:t>
      </w:r>
    </w:p>
    <w:p w14:paraId="499D9D41" w14:textId="77777777" w:rsidR="00520406" w:rsidRDefault="00520406" w:rsidP="00520406">
      <w:pPr>
        <w:pStyle w:val="Odsekzoznamu"/>
        <w:numPr>
          <w:ilvl w:val="0"/>
          <w:numId w:val="33"/>
        </w:numPr>
        <w:jc w:val="both"/>
        <w:rPr>
          <w:rFonts w:ascii="Times New Roman" w:hAnsi="Times New Roman" w:cs="Times New Roman"/>
          <w:sz w:val="24"/>
        </w:rPr>
      </w:pPr>
      <w:r w:rsidRPr="00A71548">
        <w:rPr>
          <w:rFonts w:ascii="Times New Roman" w:hAnsi="Times New Roman" w:cs="Times New Roman"/>
          <w:b/>
          <w:sz w:val="24"/>
        </w:rPr>
        <w:t>Sektor</w:t>
      </w:r>
      <w:r>
        <w:rPr>
          <w:rFonts w:ascii="Times New Roman" w:hAnsi="Times New Roman" w:cs="Times New Roman"/>
          <w:b/>
          <w:sz w:val="24"/>
        </w:rPr>
        <w:t xml:space="preserve"> premeny, prenosu a distribúcie energie</w:t>
      </w:r>
      <w:r>
        <w:rPr>
          <w:rFonts w:ascii="Times New Roman" w:hAnsi="Times New Roman" w:cs="Times New Roman"/>
          <w:sz w:val="24"/>
        </w:rPr>
        <w:t xml:space="preserve"> – aktívne presadzovať podporu opatrení zameraných na znižovanie energetickej náročnosti, a to najmä:</w:t>
      </w:r>
    </w:p>
    <w:p w14:paraId="3EA69D75" w14:textId="77777777" w:rsidR="00520406" w:rsidRDefault="00520406" w:rsidP="00520406">
      <w:pPr>
        <w:pStyle w:val="Odsekzoznamu"/>
        <w:numPr>
          <w:ilvl w:val="1"/>
          <w:numId w:val="33"/>
        </w:numPr>
        <w:jc w:val="both"/>
        <w:rPr>
          <w:rFonts w:ascii="Times New Roman" w:hAnsi="Times New Roman" w:cs="Times New Roman"/>
          <w:sz w:val="24"/>
        </w:rPr>
      </w:pPr>
      <w:r w:rsidRPr="00A71548">
        <w:rPr>
          <w:rFonts w:ascii="Times New Roman" w:hAnsi="Times New Roman" w:cs="Times New Roman"/>
          <w:sz w:val="24"/>
        </w:rPr>
        <w:t xml:space="preserve">Zabezpečiť </w:t>
      </w:r>
      <w:r>
        <w:rPr>
          <w:rFonts w:ascii="Times New Roman" w:hAnsi="Times New Roman" w:cs="Times New Roman"/>
          <w:sz w:val="24"/>
        </w:rPr>
        <w:t xml:space="preserve">čo najskoršie čerpanie zdrojov v rámci OP KŽP (2014-2020), </w:t>
      </w:r>
    </w:p>
    <w:p w14:paraId="18F358FD" w14:textId="77777777" w:rsidR="00520406" w:rsidRPr="009F0E17" w:rsidRDefault="00520406" w:rsidP="00520406">
      <w:pPr>
        <w:pStyle w:val="Odsekzoznamu"/>
        <w:numPr>
          <w:ilvl w:val="1"/>
          <w:numId w:val="33"/>
        </w:numPr>
        <w:jc w:val="both"/>
        <w:rPr>
          <w:rFonts w:ascii="Times New Roman" w:hAnsi="Times New Roman" w:cs="Times New Roman"/>
          <w:sz w:val="24"/>
        </w:rPr>
      </w:pPr>
      <w:r w:rsidRPr="009F0E17">
        <w:rPr>
          <w:rFonts w:ascii="Times New Roman" w:hAnsi="Times New Roman" w:cs="Times New Roman"/>
          <w:sz w:val="24"/>
        </w:rPr>
        <w:t>Zabezpečiť čerpanie zdrojov v rámci schémy štátnej pomoci a schémy de minimis</w:t>
      </w:r>
      <w:r>
        <w:rPr>
          <w:rFonts w:ascii="Times New Roman" w:hAnsi="Times New Roman" w:cs="Times New Roman"/>
          <w:sz w:val="24"/>
        </w:rPr>
        <w:t xml:space="preserve"> z rozpočtovej kapitoly MH SR</w:t>
      </w:r>
      <w:r w:rsidRPr="009F0E17">
        <w:rPr>
          <w:rFonts w:ascii="Times New Roman" w:hAnsi="Times New Roman" w:cs="Times New Roman"/>
          <w:sz w:val="24"/>
        </w:rPr>
        <w:t xml:space="preserve">. </w:t>
      </w:r>
    </w:p>
    <w:p w14:paraId="5343317D" w14:textId="77777777" w:rsidR="00520406" w:rsidRPr="00F77093" w:rsidRDefault="00520406" w:rsidP="000578FE">
      <w:pPr>
        <w:jc w:val="both"/>
        <w:rPr>
          <w:rFonts w:ascii="Times New Roman" w:hAnsi="Times New Roman" w:cs="Times New Roman"/>
          <w:sz w:val="24"/>
        </w:rPr>
      </w:pPr>
    </w:p>
    <w:sectPr w:rsidR="00520406" w:rsidRPr="00F77093" w:rsidSect="00245F4D">
      <w:pgSz w:w="11906" w:h="16838"/>
      <w:pgMar w:top="1417" w:right="1417" w:bottom="1417" w:left="1417" w:header="708" w:footer="708" w:gutter="0"/>
      <w:pgBorders w:offsetFrom="page">
        <w:top w:val="single" w:sz="4" w:space="24" w:color="FFFFFF"/>
        <w:left w:val="single" w:sz="4" w:space="24" w:color="FFFFFF"/>
        <w:bottom w:val="single" w:sz="4" w:space="24" w:color="FFFFFF"/>
        <w:right w:val="single" w:sz="4" w:space="24" w:color="FFFFF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234C95" w14:textId="77777777" w:rsidR="00107028" w:rsidRDefault="00107028" w:rsidP="000B4A2F">
      <w:pPr>
        <w:spacing w:after="0" w:line="240" w:lineRule="auto"/>
      </w:pPr>
      <w:r>
        <w:separator/>
      </w:r>
    </w:p>
  </w:endnote>
  <w:endnote w:type="continuationSeparator" w:id="0">
    <w:p w14:paraId="4D8939AB" w14:textId="77777777" w:rsidR="00107028" w:rsidRDefault="00107028" w:rsidP="000B4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774058"/>
      <w:docPartObj>
        <w:docPartGallery w:val="Page Numbers (Bottom of Page)"/>
        <w:docPartUnique/>
      </w:docPartObj>
    </w:sdtPr>
    <w:sdtEndPr>
      <w:rPr>
        <w:rFonts w:ascii="Times New Roman" w:hAnsi="Times New Roman" w:cs="Times New Roman"/>
      </w:rPr>
    </w:sdtEndPr>
    <w:sdtContent>
      <w:p w14:paraId="62F64A9D" w14:textId="34479837" w:rsidR="005F7B58" w:rsidRPr="001B1483" w:rsidRDefault="005F7B58">
        <w:pPr>
          <w:pStyle w:val="Pta"/>
          <w:jc w:val="right"/>
          <w:rPr>
            <w:rFonts w:ascii="Times New Roman" w:hAnsi="Times New Roman" w:cs="Times New Roman"/>
          </w:rPr>
        </w:pPr>
        <w:r w:rsidRPr="001B1483">
          <w:rPr>
            <w:rFonts w:ascii="Times New Roman" w:hAnsi="Times New Roman" w:cs="Times New Roman"/>
          </w:rPr>
          <w:fldChar w:fldCharType="begin"/>
        </w:r>
        <w:r w:rsidRPr="001B1483">
          <w:rPr>
            <w:rFonts w:ascii="Times New Roman" w:hAnsi="Times New Roman" w:cs="Times New Roman"/>
          </w:rPr>
          <w:instrText>PAGE   \* MERGEFORMAT</w:instrText>
        </w:r>
        <w:r w:rsidRPr="001B1483">
          <w:rPr>
            <w:rFonts w:ascii="Times New Roman" w:hAnsi="Times New Roman" w:cs="Times New Roman"/>
          </w:rPr>
          <w:fldChar w:fldCharType="separate"/>
        </w:r>
        <w:r w:rsidR="004E76E2">
          <w:rPr>
            <w:rFonts w:ascii="Times New Roman" w:hAnsi="Times New Roman" w:cs="Times New Roman"/>
            <w:noProof/>
          </w:rPr>
          <w:t>31</w:t>
        </w:r>
        <w:r w:rsidRPr="001B1483">
          <w:rPr>
            <w:rFonts w:ascii="Times New Roman" w:hAnsi="Times New Roman" w:cs="Times New Roman"/>
          </w:rPr>
          <w:fldChar w:fldCharType="end"/>
        </w:r>
      </w:p>
    </w:sdtContent>
  </w:sdt>
  <w:p w14:paraId="22DF3A03" w14:textId="77777777" w:rsidR="005F7B58" w:rsidRDefault="005F7B5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D80BA" w14:textId="77777777" w:rsidR="00107028" w:rsidRDefault="00107028" w:rsidP="000B4A2F">
      <w:pPr>
        <w:spacing w:after="0" w:line="240" w:lineRule="auto"/>
      </w:pPr>
      <w:r>
        <w:separator/>
      </w:r>
    </w:p>
  </w:footnote>
  <w:footnote w:type="continuationSeparator" w:id="0">
    <w:p w14:paraId="081D6E76" w14:textId="77777777" w:rsidR="00107028" w:rsidRDefault="00107028" w:rsidP="000B4A2F">
      <w:pPr>
        <w:spacing w:after="0" w:line="240" w:lineRule="auto"/>
      </w:pPr>
      <w:r>
        <w:continuationSeparator/>
      </w:r>
    </w:p>
  </w:footnote>
  <w:footnote w:id="1">
    <w:p w14:paraId="24C9F091" w14:textId="1431CD97" w:rsidR="005F7B58" w:rsidRPr="00DD2C1A" w:rsidRDefault="005F7B58" w:rsidP="00922ACD">
      <w:pPr>
        <w:pStyle w:val="Textpoznmkypodiarou"/>
        <w:jc w:val="both"/>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Smernica Európskeho parlamentu a Rady 2012/27/EÚ z 25. októbra 2012 o energetickej efektívnosti, ktorou sa menia a dopĺňajú smernice 2009/125/ES a 2010/30/EÚ a ktorou sa zrušujú smernice 2004/8/ES a 2006/32/ES.</w:t>
      </w:r>
    </w:p>
    <w:p w14:paraId="55A8DF03" w14:textId="77777777" w:rsidR="005F7B58" w:rsidRPr="00DD2C1A" w:rsidRDefault="005F7B58" w:rsidP="00922ACD">
      <w:pPr>
        <w:pStyle w:val="Textpoznmkypodiarou"/>
        <w:jc w:val="both"/>
        <w:rPr>
          <w:rFonts w:ascii="Times New Roman" w:hAnsi="Times New Roman" w:cs="Times New Roman"/>
        </w:rPr>
      </w:pPr>
    </w:p>
  </w:footnote>
  <w:footnote w:id="2">
    <w:p w14:paraId="1D73CB66" w14:textId="28E1A4DB" w:rsidR="005F7B58" w:rsidRPr="007577DE" w:rsidRDefault="005F7B58" w:rsidP="00922ACD">
      <w:pPr>
        <w:pStyle w:val="Textpoznmkypodiarou"/>
        <w:jc w:val="both"/>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Smernica Európskeho parlamentu a Rady 2006/32/ES z 5. apríla 2006 o energetickej účinnosti konečného využitia energie a energetických službách, a ktorou sa zrušuje smernica Rady 93/76/EHS</w:t>
      </w:r>
      <w:r>
        <w:rPr>
          <w:rFonts w:ascii="Times New Roman" w:hAnsi="Times New Roman" w:cs="Times New Roman"/>
        </w:rPr>
        <w:t xml:space="preserve"> („smernica o energetických službách“)</w:t>
      </w:r>
    </w:p>
  </w:footnote>
  <w:footnote w:id="3">
    <w:p w14:paraId="3129F2AE" w14:textId="77777777" w:rsidR="005F7B58" w:rsidRPr="00DD2C1A" w:rsidRDefault="005F7B58" w:rsidP="00FD6B11">
      <w:pPr>
        <w:pStyle w:val="Textpoznmkypodiarou"/>
        <w:jc w:val="both"/>
        <w:rPr>
          <w:rFonts w:ascii="Times New Roman" w:hAnsi="Times New Roman" w:cs="Times New Roman"/>
        </w:rPr>
      </w:pPr>
      <w:r w:rsidRPr="007577DE">
        <w:rPr>
          <w:rStyle w:val="Odkaznapoznmkupodiarou"/>
          <w:rFonts w:ascii="Times New Roman" w:hAnsi="Times New Roman" w:cs="Times New Roman"/>
        </w:rPr>
        <w:footnoteRef/>
      </w:r>
      <w:r w:rsidRPr="007577DE">
        <w:rPr>
          <w:rFonts w:ascii="Times New Roman" w:hAnsi="Times New Roman" w:cs="Times New Roman"/>
        </w:rPr>
        <w:t xml:space="preserve"> </w:t>
      </w:r>
      <w:r w:rsidRPr="00DD2C1A">
        <w:rPr>
          <w:rFonts w:ascii="Times New Roman" w:hAnsi="Times New Roman" w:cs="Times New Roman"/>
        </w:rPr>
        <w:t xml:space="preserve">Ciele úspor energie stanovené na základe smernice 2006/32/ES platia do 01.01.2017 (čl. 27 smernice 2012/27/EÚ). </w:t>
      </w:r>
    </w:p>
  </w:footnote>
  <w:footnote w:id="4">
    <w:p w14:paraId="314FD567" w14:textId="77777777" w:rsidR="005F7B58" w:rsidRPr="00DD2C1A" w:rsidRDefault="005F7B58" w:rsidP="00FD6B11">
      <w:pPr>
        <w:pStyle w:val="Textpoznmkypodiarou"/>
        <w:jc w:val="both"/>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Smernica 2003/87/ES Európskeho parlamentu a Rady z 13. októbra 2003, o vytvorení systému obchodovania s emisnými kvótami skleníkových plynov v spoločenstve, a ktorou sa mení a dopĺňa smernica Rady 96/61/ES.</w:t>
      </w:r>
    </w:p>
  </w:footnote>
  <w:footnote w:id="5">
    <w:p w14:paraId="25DF86A7" w14:textId="77777777" w:rsidR="005F7B58" w:rsidRPr="00DD2C1A" w:rsidRDefault="005F7B58" w:rsidP="007F10A4">
      <w:pPr>
        <w:pStyle w:val="Textpoznmkypodiarou"/>
        <w:jc w:val="both"/>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Uvedené ciele úspor energie sú očistené od vplyvu spoločností, ktoré sa podieľajú na obchodovaní s emisnými kvótami skleníkových plynov podľa smernice 2003/87/ES Európskeho parlamentu a Rady z 13. októbra 2003, o vytvorení systému obchodovania s emisnými kvótami skleníkových plynov v spoločenstve, a ktorou sa mení a dopĺňa smernica Rady 96/61/ES.</w:t>
      </w:r>
    </w:p>
  </w:footnote>
  <w:footnote w:id="6">
    <w:p w14:paraId="5EBAA23D" w14:textId="77777777" w:rsidR="005F7B58" w:rsidRPr="00DD2C1A" w:rsidRDefault="005F7B58" w:rsidP="00FD6B11">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ciele sú stanovené ku koncu uvedeného roka, t. j. vrátane roka, ku ktorému sa viaže cieľ.</w:t>
      </w:r>
    </w:p>
  </w:footnote>
  <w:footnote w:id="7">
    <w:p w14:paraId="38EEE57D" w14:textId="413DE7B3" w:rsidR="005F7B58" w:rsidRPr="00DD2C1A" w:rsidRDefault="005F7B58" w:rsidP="00FD6B11">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w:t>
      </w:r>
      <w:r w:rsidRPr="004E746F">
        <w:rPr>
          <w:rFonts w:ascii="Times New Roman" w:hAnsi="Times New Roman" w:cs="Times New Roman"/>
        </w:rPr>
        <w:t>Druhý</w:t>
      </w:r>
      <w:r w:rsidRPr="00DD2C1A">
        <w:rPr>
          <w:rFonts w:ascii="Times New Roman" w:hAnsi="Times New Roman" w:cs="Times New Roman"/>
        </w:rPr>
        <w:t xml:space="preserve"> akčný plán vyhodnotil 1. AP</w:t>
      </w:r>
    </w:p>
  </w:footnote>
  <w:footnote w:id="8">
    <w:p w14:paraId="3FE6B265" w14:textId="079373C2" w:rsidR="005F7B58" w:rsidRPr="00DD2C1A" w:rsidRDefault="005F7B58" w:rsidP="00FD6B11">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w:t>
      </w:r>
      <w:r w:rsidRPr="004E746F">
        <w:rPr>
          <w:rFonts w:ascii="Times New Roman" w:hAnsi="Times New Roman" w:cs="Times New Roman"/>
        </w:rPr>
        <w:t>Tretí</w:t>
      </w:r>
      <w:r w:rsidRPr="00DD2C1A">
        <w:rPr>
          <w:rFonts w:ascii="Times New Roman" w:hAnsi="Times New Roman" w:cs="Times New Roman"/>
        </w:rPr>
        <w:t xml:space="preserve"> akčný plán vyhodnotil 2. AP</w:t>
      </w:r>
      <w:r>
        <w:rPr>
          <w:rFonts w:ascii="Times New Roman" w:hAnsi="Times New Roman" w:cs="Times New Roman"/>
        </w:rPr>
        <w:t>.</w:t>
      </w:r>
    </w:p>
  </w:footnote>
  <w:footnote w:id="9">
    <w:p w14:paraId="10569932" w14:textId="62F3746A" w:rsidR="005F7B58" w:rsidRPr="00DD2C1A" w:rsidRDefault="005F7B58" w:rsidP="00FD6B11">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Stav plnenia 3. AP k 31.</w:t>
      </w:r>
      <w:r>
        <w:rPr>
          <w:rFonts w:ascii="Times New Roman" w:hAnsi="Times New Roman" w:cs="Times New Roman"/>
        </w:rPr>
        <w:t xml:space="preserve"> </w:t>
      </w:r>
      <w:r w:rsidRPr="00DD2C1A">
        <w:rPr>
          <w:rFonts w:ascii="Times New Roman" w:hAnsi="Times New Roman" w:cs="Times New Roman"/>
        </w:rPr>
        <w:t>12.</w:t>
      </w:r>
      <w:r>
        <w:rPr>
          <w:rFonts w:ascii="Times New Roman" w:hAnsi="Times New Roman" w:cs="Times New Roman"/>
        </w:rPr>
        <w:t xml:space="preserve"> </w:t>
      </w:r>
      <w:r w:rsidRPr="00DD2C1A">
        <w:rPr>
          <w:rFonts w:ascii="Times New Roman" w:hAnsi="Times New Roman" w:cs="Times New Roman"/>
        </w:rPr>
        <w:t xml:space="preserve">2016 podľa dostupných údajov k </w:t>
      </w:r>
      <w:r>
        <w:rPr>
          <w:rFonts w:ascii="Times New Roman" w:hAnsi="Times New Roman" w:cs="Times New Roman"/>
        </w:rPr>
        <w:t>7</w:t>
      </w:r>
      <w:r w:rsidRPr="00DD2C1A">
        <w:rPr>
          <w:rFonts w:ascii="Times New Roman" w:hAnsi="Times New Roman" w:cs="Times New Roman"/>
        </w:rPr>
        <w:t>.</w:t>
      </w:r>
      <w:r>
        <w:rPr>
          <w:rFonts w:ascii="Times New Roman" w:hAnsi="Times New Roman" w:cs="Times New Roman"/>
        </w:rPr>
        <w:t xml:space="preserve"> 4</w:t>
      </w:r>
      <w:r w:rsidRPr="00DD2C1A">
        <w:rPr>
          <w:rFonts w:ascii="Times New Roman" w:hAnsi="Times New Roman" w:cs="Times New Roman"/>
        </w:rPr>
        <w:t>.</w:t>
      </w:r>
      <w:r>
        <w:rPr>
          <w:rFonts w:ascii="Times New Roman" w:hAnsi="Times New Roman" w:cs="Times New Roman"/>
        </w:rPr>
        <w:t xml:space="preserve"> </w:t>
      </w:r>
      <w:r w:rsidRPr="00DD2C1A">
        <w:rPr>
          <w:rFonts w:ascii="Times New Roman" w:hAnsi="Times New Roman" w:cs="Times New Roman"/>
        </w:rPr>
        <w:t>2017</w:t>
      </w:r>
      <w:r>
        <w:rPr>
          <w:rFonts w:ascii="Times New Roman" w:hAnsi="Times New Roman" w:cs="Times New Roman"/>
        </w:rPr>
        <w:t>.</w:t>
      </w:r>
    </w:p>
  </w:footnote>
  <w:footnote w:id="10">
    <w:p w14:paraId="5D52151E" w14:textId="72D349ED" w:rsidR="005F7B58" w:rsidRPr="00DD2C1A" w:rsidRDefault="005F7B58" w:rsidP="00FD6B11">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w:t>
      </w:r>
      <w:r w:rsidRPr="004E746F">
        <w:rPr>
          <w:rFonts w:ascii="Times New Roman" w:hAnsi="Times New Roman" w:cs="Times New Roman"/>
        </w:rPr>
        <w:t>Hodnoty</w:t>
      </w:r>
      <w:r w:rsidRPr="00DD2C1A">
        <w:rPr>
          <w:rFonts w:ascii="Times New Roman" w:hAnsi="Times New Roman" w:cs="Times New Roman"/>
        </w:rPr>
        <w:t xml:space="preserve"> korigované ku dňu </w:t>
      </w:r>
      <w:r>
        <w:rPr>
          <w:rFonts w:ascii="Times New Roman" w:hAnsi="Times New Roman" w:cs="Times New Roman"/>
        </w:rPr>
        <w:t>7</w:t>
      </w:r>
      <w:r w:rsidRPr="00DD2C1A">
        <w:rPr>
          <w:rFonts w:ascii="Times New Roman" w:hAnsi="Times New Roman" w:cs="Times New Roman"/>
        </w:rPr>
        <w:t>.</w:t>
      </w:r>
      <w:r>
        <w:rPr>
          <w:rFonts w:ascii="Times New Roman" w:hAnsi="Times New Roman" w:cs="Times New Roman"/>
        </w:rPr>
        <w:t xml:space="preserve"> 4</w:t>
      </w:r>
      <w:r w:rsidRPr="00DD2C1A">
        <w:rPr>
          <w:rFonts w:ascii="Times New Roman" w:hAnsi="Times New Roman" w:cs="Times New Roman"/>
        </w:rPr>
        <w:t>.</w:t>
      </w:r>
      <w:r>
        <w:rPr>
          <w:rFonts w:ascii="Times New Roman" w:hAnsi="Times New Roman" w:cs="Times New Roman"/>
        </w:rPr>
        <w:t xml:space="preserve"> </w:t>
      </w:r>
      <w:r w:rsidRPr="00DD2C1A">
        <w:rPr>
          <w:rFonts w:ascii="Times New Roman" w:hAnsi="Times New Roman" w:cs="Times New Roman"/>
        </w:rPr>
        <w:t>2017 (T-2)</w:t>
      </w:r>
    </w:p>
  </w:footnote>
  <w:footnote w:id="11">
    <w:p w14:paraId="3100F82A" w14:textId="5286E8B2" w:rsidR="005F7B58" w:rsidRPr="007577DE" w:rsidRDefault="005F7B58" w:rsidP="00FD6B11">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w:t>
      </w:r>
      <w:r w:rsidRPr="004E746F">
        <w:rPr>
          <w:rFonts w:ascii="Times New Roman" w:hAnsi="Times New Roman" w:cs="Times New Roman"/>
        </w:rPr>
        <w:t>Hodnoty</w:t>
      </w:r>
      <w:r w:rsidRPr="00DD2C1A">
        <w:rPr>
          <w:rFonts w:ascii="Times New Roman" w:hAnsi="Times New Roman" w:cs="Times New Roman"/>
        </w:rPr>
        <w:t xml:space="preserve"> dostupné ku dňu </w:t>
      </w:r>
      <w:r>
        <w:rPr>
          <w:rFonts w:ascii="Times New Roman" w:hAnsi="Times New Roman" w:cs="Times New Roman"/>
        </w:rPr>
        <w:t>7</w:t>
      </w:r>
      <w:r w:rsidRPr="00DD2C1A">
        <w:rPr>
          <w:rFonts w:ascii="Times New Roman" w:hAnsi="Times New Roman" w:cs="Times New Roman"/>
        </w:rPr>
        <w:t>.</w:t>
      </w:r>
      <w:r>
        <w:rPr>
          <w:rFonts w:ascii="Times New Roman" w:hAnsi="Times New Roman" w:cs="Times New Roman"/>
        </w:rPr>
        <w:t xml:space="preserve"> 4</w:t>
      </w:r>
      <w:r w:rsidRPr="00DD2C1A">
        <w:rPr>
          <w:rFonts w:ascii="Times New Roman" w:hAnsi="Times New Roman" w:cs="Times New Roman"/>
        </w:rPr>
        <w:t>.</w:t>
      </w:r>
      <w:r>
        <w:rPr>
          <w:rFonts w:ascii="Times New Roman" w:hAnsi="Times New Roman" w:cs="Times New Roman"/>
        </w:rPr>
        <w:t xml:space="preserve"> </w:t>
      </w:r>
      <w:r w:rsidRPr="00DD2C1A">
        <w:rPr>
          <w:rFonts w:ascii="Times New Roman" w:hAnsi="Times New Roman" w:cs="Times New Roman"/>
        </w:rPr>
        <w:t>2017 (T-1)</w:t>
      </w:r>
    </w:p>
  </w:footnote>
  <w:footnote w:id="12">
    <w:p w14:paraId="02E5B8BB" w14:textId="21DA44C9" w:rsidR="005F7B58" w:rsidRPr="00DD2C1A" w:rsidRDefault="005F7B58">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v porovnaní s referenčným scenárom PRIMES 2007 pre rok 2020</w:t>
      </w:r>
    </w:p>
  </w:footnote>
  <w:footnote w:id="13">
    <w:p w14:paraId="7B721DDA" w14:textId="77777777" w:rsidR="005F7B58" w:rsidRPr="007577DE" w:rsidRDefault="005F7B58" w:rsidP="00E60DE4">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Notifikačná správa k alternatívnemu prístupu podľa článku 5 smernice 2012/27/EÚ o energetickej efektívnosti (zaslaná Európskej komisii v roku 2013).</w:t>
      </w:r>
    </w:p>
  </w:footnote>
  <w:footnote w:id="14">
    <w:p w14:paraId="4309A31D" w14:textId="77777777" w:rsidR="005F7B58" w:rsidRPr="00DD2C1A" w:rsidRDefault="005F7B58" w:rsidP="00D73888">
      <w:pPr>
        <w:pStyle w:val="Textpoznmkypodiarou"/>
        <w:jc w:val="both"/>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Ročný cieľ bol stanovený ako 1,5 % z konečnej energetickej spotreby bez spotreby dopravy za roky 2010 až 2012. Na základe hodnoty ročného cieľa bola vypočítaná kumulatívna hodnota cieľa do roku 2020.</w:t>
      </w:r>
    </w:p>
  </w:footnote>
  <w:footnote w:id="15">
    <w:p w14:paraId="713B3EDA" w14:textId="1769F37D" w:rsidR="005F7B58" w:rsidRDefault="005F7B58">
      <w:pPr>
        <w:pStyle w:val="Textpoznmkypodiarou"/>
      </w:pPr>
      <w:r>
        <w:rPr>
          <w:rStyle w:val="Odkaznapoznmkupodiarou"/>
        </w:rPr>
        <w:footnoteRef/>
      </w:r>
      <w:r>
        <w:t xml:space="preserve"> </w:t>
      </w:r>
      <w:r w:rsidRPr="005F7B58">
        <w:rPr>
          <w:rFonts w:ascii="Times New Roman" w:hAnsi="Times New Roman" w:cs="Times New Roman"/>
        </w:rPr>
        <w:t>Vyhodnotenie k 07.</w:t>
      </w:r>
      <w:r>
        <w:rPr>
          <w:rFonts w:ascii="Times New Roman" w:hAnsi="Times New Roman" w:cs="Times New Roman"/>
        </w:rPr>
        <w:t xml:space="preserve"> </w:t>
      </w:r>
      <w:r w:rsidRPr="005F7B58">
        <w:rPr>
          <w:rFonts w:ascii="Times New Roman" w:hAnsi="Times New Roman" w:cs="Times New Roman"/>
        </w:rPr>
        <w:t>04.</w:t>
      </w:r>
      <w:r>
        <w:rPr>
          <w:rFonts w:ascii="Times New Roman" w:hAnsi="Times New Roman" w:cs="Times New Roman"/>
        </w:rPr>
        <w:t xml:space="preserve"> </w:t>
      </w:r>
      <w:r w:rsidRPr="005F7B58">
        <w:rPr>
          <w:rFonts w:ascii="Times New Roman" w:hAnsi="Times New Roman" w:cs="Times New Roman"/>
        </w:rPr>
        <w:t>2017.</w:t>
      </w:r>
      <w:r>
        <w:t xml:space="preserve"> </w:t>
      </w:r>
    </w:p>
  </w:footnote>
  <w:footnote w:id="16">
    <w:p w14:paraId="5E443B2F" w14:textId="3B383B6B" w:rsidR="005F7B58" w:rsidRPr="001B1483" w:rsidRDefault="005F7B58">
      <w:pPr>
        <w:pStyle w:val="Textpoznmkypodiarou"/>
        <w:rPr>
          <w:rFonts w:ascii="Times New Roman" w:hAnsi="Times New Roman" w:cs="Times New Roman"/>
        </w:rPr>
      </w:pPr>
      <w:r w:rsidRPr="001B1483">
        <w:rPr>
          <w:rStyle w:val="Odkaznapoznmkupodiarou"/>
          <w:rFonts w:ascii="Times New Roman" w:hAnsi="Times New Roman" w:cs="Times New Roman"/>
        </w:rPr>
        <w:footnoteRef/>
      </w:r>
      <w:r w:rsidRPr="001B1483">
        <w:rPr>
          <w:rFonts w:ascii="Times New Roman" w:hAnsi="Times New Roman" w:cs="Times New Roman"/>
        </w:rPr>
        <w:t xml:space="preserve"> Hodnota plnenia na rok 2016 bude korigovaná </w:t>
      </w:r>
      <w:r>
        <w:rPr>
          <w:rFonts w:ascii="Times New Roman" w:hAnsi="Times New Roman" w:cs="Times New Roman"/>
        </w:rPr>
        <w:t>v ďalšom období</w:t>
      </w:r>
      <w:r w:rsidRPr="001B1483">
        <w:rPr>
          <w:rFonts w:ascii="Times New Roman" w:hAnsi="Times New Roman" w:cs="Times New Roman"/>
        </w:rPr>
        <w:t xml:space="preserve"> na základe aktualizovaných údajov. </w:t>
      </w:r>
    </w:p>
  </w:footnote>
  <w:footnote w:id="17">
    <w:p w14:paraId="4999F3D1" w14:textId="00F45CF9" w:rsidR="005F7B58" w:rsidRPr="00DD2C1A" w:rsidRDefault="005F7B58">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Pr>
          <w:rFonts w:ascii="Times New Roman" w:hAnsi="Times New Roman" w:cs="Times New Roman"/>
        </w:rPr>
        <w:t xml:space="preserve"> Vyhodnotenie</w:t>
      </w:r>
      <w:r w:rsidRPr="00DD2C1A">
        <w:rPr>
          <w:rFonts w:ascii="Times New Roman" w:hAnsi="Times New Roman" w:cs="Times New Roman"/>
        </w:rPr>
        <w:t xml:space="preserve"> na základe dostupných údajov k </w:t>
      </w:r>
      <w:r>
        <w:rPr>
          <w:rFonts w:ascii="Times New Roman" w:hAnsi="Times New Roman" w:cs="Times New Roman"/>
        </w:rPr>
        <w:t>07</w:t>
      </w:r>
      <w:r w:rsidRPr="00DD2C1A">
        <w:rPr>
          <w:rFonts w:ascii="Times New Roman" w:hAnsi="Times New Roman" w:cs="Times New Roman"/>
        </w:rPr>
        <w:t>.</w:t>
      </w:r>
      <w:r>
        <w:rPr>
          <w:rFonts w:ascii="Times New Roman" w:hAnsi="Times New Roman" w:cs="Times New Roman"/>
        </w:rPr>
        <w:t xml:space="preserve"> 04</w:t>
      </w:r>
      <w:r w:rsidRPr="00DD2C1A">
        <w:rPr>
          <w:rFonts w:ascii="Times New Roman" w:hAnsi="Times New Roman" w:cs="Times New Roman"/>
        </w:rPr>
        <w:t>.</w:t>
      </w:r>
      <w:r>
        <w:rPr>
          <w:rFonts w:ascii="Times New Roman" w:hAnsi="Times New Roman" w:cs="Times New Roman"/>
        </w:rPr>
        <w:t xml:space="preserve"> </w:t>
      </w:r>
      <w:r w:rsidRPr="00DD2C1A">
        <w:rPr>
          <w:rFonts w:ascii="Times New Roman" w:hAnsi="Times New Roman" w:cs="Times New Roman"/>
        </w:rPr>
        <w:t>2017, rok 2016 bude aktualizovaný</w:t>
      </w:r>
      <w:r>
        <w:rPr>
          <w:rFonts w:ascii="Times New Roman" w:hAnsi="Times New Roman" w:cs="Times New Roman"/>
        </w:rPr>
        <w:t xml:space="preserve"> v ročnej správe v roku 2018</w:t>
      </w:r>
      <w:r w:rsidRPr="00DD2C1A">
        <w:rPr>
          <w:rFonts w:ascii="Times New Roman" w:hAnsi="Times New Roman" w:cs="Times New Roman"/>
        </w:rPr>
        <w:t>.</w:t>
      </w:r>
    </w:p>
  </w:footnote>
  <w:footnote w:id="18">
    <w:p w14:paraId="7709E67B" w14:textId="4F9C3EAE" w:rsidR="005F7B58" w:rsidRDefault="005F7B58" w:rsidP="005F7B58">
      <w:pPr>
        <w:pStyle w:val="Textpoznmkypodiarou"/>
        <w:jc w:val="both"/>
      </w:pPr>
      <w:r>
        <w:rPr>
          <w:rStyle w:val="Odkaznapoznmkupodiarou"/>
        </w:rPr>
        <w:footnoteRef/>
      </w:r>
      <w:r>
        <w:t xml:space="preserve"> </w:t>
      </w:r>
      <w:r w:rsidRPr="005F7B58">
        <w:rPr>
          <w:rFonts w:ascii="Times New Roman" w:hAnsi="Times New Roman" w:cs="Times New Roman"/>
          <w:szCs w:val="24"/>
        </w:rPr>
        <w:t>Úspory energie sú uvádzané v ročnej hodnote (napr. TJ/rok</w:t>
      </w:r>
      <w:r>
        <w:rPr>
          <w:rFonts w:ascii="Times New Roman" w:hAnsi="Times New Roman" w:cs="Times New Roman"/>
          <w:szCs w:val="24"/>
        </w:rPr>
        <w:t>, GWh/rok</w:t>
      </w:r>
      <w:r w:rsidRPr="005F7B58">
        <w:rPr>
          <w:rFonts w:ascii="Times New Roman" w:hAnsi="Times New Roman" w:cs="Times New Roman"/>
          <w:szCs w:val="24"/>
        </w:rPr>
        <w:t xml:space="preserve">), čo je rozdiel oproti kumulovaným ukazovateľom uvedených v rámci jednotlivých operačných </w:t>
      </w:r>
      <w:r w:rsidRPr="00742DEE">
        <w:rPr>
          <w:rFonts w:ascii="Times New Roman" w:hAnsi="Times New Roman" w:cs="Times New Roman"/>
          <w:szCs w:val="24"/>
        </w:rPr>
        <w:t>programov do roku 2023</w:t>
      </w:r>
      <w:r w:rsidRPr="005F7B58">
        <w:rPr>
          <w:rFonts w:ascii="Times New Roman" w:hAnsi="Times New Roman" w:cs="Times New Roman"/>
          <w:szCs w:val="24"/>
        </w:rPr>
        <w:t>.</w:t>
      </w:r>
    </w:p>
  </w:footnote>
  <w:footnote w:id="19">
    <w:p w14:paraId="6E635D45" w14:textId="04059005" w:rsidR="005F7B58" w:rsidRPr="00DD2C1A" w:rsidRDefault="005F7B58" w:rsidP="00227988">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w:t>
      </w:r>
      <w:r w:rsidRPr="00B133D4">
        <w:rPr>
          <w:rFonts w:ascii="Times New Roman" w:hAnsi="Times New Roman" w:cs="Times New Roman"/>
        </w:rPr>
        <w:t xml:space="preserve">Zákon č. 476/2008 Z. z. o efektívnosti pri používaní energie (zákon o energetickej efektívnosti) a o zmene a doplnení zákona č. 555/2005 Z. z. o energetickej hospodárnosti budov a o zmene a doplnení niektorých zákonov v znení zákona č. 17/2007 Z. z. </w:t>
      </w:r>
    </w:p>
  </w:footnote>
  <w:footnote w:id="20">
    <w:p w14:paraId="74FE0032" w14:textId="3C7B5A00" w:rsidR="005F7B58" w:rsidRPr="00DD2C1A" w:rsidRDefault="005F7B58" w:rsidP="00227988">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Do konca roku 2013 bolo vypracovaných 145 energetických auditov</w:t>
      </w:r>
      <w:r>
        <w:rPr>
          <w:rFonts w:ascii="Times New Roman" w:hAnsi="Times New Roman" w:cs="Times New Roman"/>
        </w:rPr>
        <w:t>.</w:t>
      </w:r>
    </w:p>
  </w:footnote>
  <w:footnote w:id="21">
    <w:p w14:paraId="4F5A802A" w14:textId="77777777" w:rsidR="005F7B58" w:rsidRPr="007577DE" w:rsidRDefault="005F7B58" w:rsidP="00227988">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 14 zákona č. 321/2014 Z. z. o energetickej efektívnosti</w:t>
      </w:r>
    </w:p>
  </w:footnote>
  <w:footnote w:id="22">
    <w:p w14:paraId="5D73D8DC" w14:textId="615E0A77" w:rsidR="005F7B58" w:rsidRPr="00DD2C1A" w:rsidRDefault="005F7B58">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Partnerská dohoda 06/2014.</w:t>
      </w:r>
    </w:p>
  </w:footnote>
  <w:footnote w:id="23">
    <w:p w14:paraId="423B1E7E" w14:textId="7B1BE8C1" w:rsidR="005F7B58" w:rsidRPr="007577DE" w:rsidRDefault="005F7B58">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w:t>
      </w:r>
      <w:r>
        <w:rPr>
          <w:rFonts w:ascii="Times New Roman" w:hAnsi="Times New Roman" w:cs="Times New Roman"/>
        </w:rPr>
        <w:t>0</w:t>
      </w:r>
      <w:r w:rsidRPr="00DD2C1A">
        <w:rPr>
          <w:rFonts w:ascii="Times New Roman" w:hAnsi="Times New Roman" w:cs="Times New Roman"/>
        </w:rPr>
        <w:t>7.12.2015 vyhlásila SIEA výzvu na „Zníženie spotreby energie pri prevádzke verejných budov“  s indikatívnym rozpočtom 150 mil. eur.</w:t>
      </w:r>
    </w:p>
  </w:footnote>
  <w:footnote w:id="24">
    <w:p w14:paraId="4A5FC185" w14:textId="6B5E9545" w:rsidR="005F7B58" w:rsidRPr="00316509" w:rsidRDefault="005F7B58" w:rsidP="008029A8">
      <w:pPr>
        <w:jc w:val="both"/>
        <w:rPr>
          <w:rFonts w:ascii="Times New Roman" w:hAnsi="Times New Roman" w:cs="Times New Roman"/>
          <w:sz w:val="20"/>
          <w:szCs w:val="20"/>
        </w:rPr>
      </w:pPr>
      <w:r w:rsidRPr="00DD2C1A">
        <w:rPr>
          <w:rStyle w:val="Odkaznapoznmkupodiarou"/>
          <w:rFonts w:ascii="Times New Roman" w:hAnsi="Times New Roman" w:cs="Times New Roman"/>
          <w:sz w:val="20"/>
          <w:szCs w:val="20"/>
        </w:rPr>
        <w:footnoteRef/>
      </w:r>
      <w:r w:rsidRPr="00DD2C1A">
        <w:rPr>
          <w:rFonts w:ascii="Times New Roman" w:hAnsi="Times New Roman" w:cs="Times New Roman"/>
          <w:sz w:val="20"/>
          <w:szCs w:val="20"/>
        </w:rPr>
        <w:t xml:space="preserve"> Vyhodnotenie opatrení na strane premeny, prenosu a distribúcie energie za rok 2016 nie je dostupné k termínu uzávierky </w:t>
      </w:r>
      <w:r w:rsidRPr="00A06DF6">
        <w:rPr>
          <w:rFonts w:ascii="Times New Roman" w:hAnsi="Times New Roman" w:cs="Times New Roman"/>
          <w:sz w:val="20"/>
          <w:szCs w:val="20"/>
        </w:rPr>
        <w:t xml:space="preserve">07. </w:t>
      </w:r>
      <w:r w:rsidRPr="005F7B58">
        <w:rPr>
          <w:rFonts w:ascii="Times New Roman" w:hAnsi="Times New Roman" w:cs="Times New Roman"/>
          <w:sz w:val="20"/>
          <w:szCs w:val="20"/>
        </w:rPr>
        <w:t>0</w:t>
      </w:r>
      <w:r w:rsidRPr="00A06DF6">
        <w:rPr>
          <w:rFonts w:ascii="Times New Roman" w:hAnsi="Times New Roman" w:cs="Times New Roman"/>
          <w:sz w:val="20"/>
          <w:szCs w:val="20"/>
        </w:rPr>
        <w:t>4. 2017, nakoľko</w:t>
      </w:r>
      <w:r w:rsidRPr="00DD2C1A">
        <w:rPr>
          <w:rFonts w:ascii="Times New Roman" w:hAnsi="Times New Roman" w:cs="Times New Roman"/>
          <w:sz w:val="20"/>
          <w:szCs w:val="20"/>
        </w:rPr>
        <w:t xml:space="preserve"> termín pre poskytnutie údajov je v zmysle zákona č. 321/2014 Z. z. o energetickej efektívnosti do 30. aprí</w:t>
      </w:r>
      <w:r w:rsidRPr="00316509">
        <w:rPr>
          <w:rFonts w:ascii="Times New Roman" w:hAnsi="Times New Roman" w:cs="Times New Roman"/>
          <w:sz w:val="20"/>
          <w:szCs w:val="20"/>
        </w:rPr>
        <w:t>la.</w:t>
      </w:r>
    </w:p>
    <w:p w14:paraId="62DDBF7E" w14:textId="03BED0E0" w:rsidR="005F7B58" w:rsidRPr="007577DE" w:rsidRDefault="005F7B58">
      <w:pPr>
        <w:pStyle w:val="Textpoznmkypodiarou"/>
        <w:rPr>
          <w:rFonts w:ascii="Times New Roman" w:hAnsi="Times New Roman" w:cs="Times New Roman"/>
        </w:rPr>
      </w:pPr>
    </w:p>
  </w:footnote>
  <w:footnote w:id="25">
    <w:p w14:paraId="79AC13FA" w14:textId="05D73E4F" w:rsidR="005F7B58" w:rsidRPr="00316509" w:rsidRDefault="005F7B58">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Úspora energie za rok 2016 bola započítaná len na základe dostupných údajov k </w:t>
      </w:r>
      <w:r>
        <w:rPr>
          <w:rFonts w:ascii="Times New Roman" w:hAnsi="Times New Roman" w:cs="Times New Roman"/>
        </w:rPr>
        <w:t>07</w:t>
      </w:r>
      <w:r w:rsidRPr="007577DE">
        <w:rPr>
          <w:rFonts w:ascii="Times New Roman" w:hAnsi="Times New Roman" w:cs="Times New Roman"/>
        </w:rPr>
        <w:t>.</w:t>
      </w:r>
      <w:r>
        <w:rPr>
          <w:rFonts w:ascii="Times New Roman" w:hAnsi="Times New Roman" w:cs="Times New Roman"/>
        </w:rPr>
        <w:t>04</w:t>
      </w:r>
      <w:r w:rsidRPr="007577DE">
        <w:rPr>
          <w:rFonts w:ascii="Times New Roman" w:hAnsi="Times New Roman" w:cs="Times New Roman"/>
        </w:rPr>
        <w:t>.2017</w:t>
      </w:r>
      <w:r w:rsidRPr="00DD2C1A">
        <w:rPr>
          <w:rFonts w:ascii="Times New Roman" w:hAnsi="Times New Roman" w:cs="Times New Roman"/>
        </w:rPr>
        <w:t xml:space="preserve"> a predpokladá sa kladná korekcia po aktualizovaní údaj</w:t>
      </w:r>
      <w:r w:rsidRPr="00316509">
        <w:rPr>
          <w:rFonts w:ascii="Times New Roman" w:hAnsi="Times New Roman" w:cs="Times New Roman"/>
        </w:rPr>
        <w:t>ov za rok 2016 v nasledujúcej ročnej správe vypracovanej v roku 2018.</w:t>
      </w:r>
    </w:p>
  </w:footnote>
  <w:footnote w:id="26">
    <w:p w14:paraId="3386B834" w14:textId="28A202DF" w:rsidR="005F7B58" w:rsidRPr="00316509" w:rsidRDefault="005F7B58" w:rsidP="00062715">
      <w:pPr>
        <w:jc w:val="both"/>
        <w:rPr>
          <w:rFonts w:ascii="Times New Roman" w:hAnsi="Times New Roman" w:cs="Times New Roman"/>
          <w:sz w:val="20"/>
          <w:szCs w:val="20"/>
        </w:rPr>
      </w:pPr>
      <w:r w:rsidRPr="007577DE">
        <w:rPr>
          <w:rStyle w:val="Odkaznapoznmkupodiarou"/>
          <w:rFonts w:ascii="Times New Roman" w:hAnsi="Times New Roman" w:cs="Times New Roman"/>
        </w:rPr>
        <w:footnoteRef/>
      </w:r>
      <w:r w:rsidRPr="007577DE">
        <w:rPr>
          <w:rFonts w:ascii="Times New Roman" w:hAnsi="Times New Roman" w:cs="Times New Roman"/>
        </w:rPr>
        <w:t xml:space="preserve"> </w:t>
      </w:r>
      <w:r w:rsidRPr="00DD2C1A">
        <w:rPr>
          <w:rFonts w:ascii="Times New Roman" w:hAnsi="Times New Roman" w:cs="Times New Roman"/>
          <w:sz w:val="20"/>
          <w:szCs w:val="20"/>
        </w:rPr>
        <w:t xml:space="preserve">Vyhodnotenie ES za rok 2016 </w:t>
      </w:r>
      <w:r>
        <w:rPr>
          <w:rFonts w:ascii="Times New Roman" w:hAnsi="Times New Roman" w:cs="Times New Roman"/>
          <w:sz w:val="20"/>
          <w:szCs w:val="20"/>
        </w:rPr>
        <w:t>j</w:t>
      </w:r>
      <w:r w:rsidRPr="00DD2C1A">
        <w:rPr>
          <w:rFonts w:ascii="Times New Roman" w:hAnsi="Times New Roman" w:cs="Times New Roman"/>
          <w:sz w:val="20"/>
          <w:szCs w:val="20"/>
        </w:rPr>
        <w:t xml:space="preserve">e k termínu uzávierky </w:t>
      </w:r>
      <w:r>
        <w:rPr>
          <w:rFonts w:ascii="Times New Roman" w:hAnsi="Times New Roman" w:cs="Times New Roman"/>
          <w:sz w:val="20"/>
          <w:szCs w:val="20"/>
        </w:rPr>
        <w:t>07</w:t>
      </w:r>
      <w:r w:rsidRPr="00DD2C1A">
        <w:rPr>
          <w:rFonts w:ascii="Times New Roman" w:hAnsi="Times New Roman" w:cs="Times New Roman"/>
          <w:sz w:val="20"/>
          <w:szCs w:val="20"/>
        </w:rPr>
        <w:t>.</w:t>
      </w:r>
      <w:r>
        <w:rPr>
          <w:rFonts w:ascii="Times New Roman" w:hAnsi="Times New Roman" w:cs="Times New Roman"/>
          <w:sz w:val="20"/>
          <w:szCs w:val="20"/>
        </w:rPr>
        <w:t>04</w:t>
      </w:r>
      <w:r w:rsidRPr="00DD2C1A">
        <w:rPr>
          <w:rFonts w:ascii="Times New Roman" w:hAnsi="Times New Roman" w:cs="Times New Roman"/>
          <w:sz w:val="20"/>
          <w:szCs w:val="20"/>
        </w:rPr>
        <w:t xml:space="preserve">.2017 </w:t>
      </w:r>
    </w:p>
    <w:p w14:paraId="6416563B" w14:textId="69992754" w:rsidR="005F7B58" w:rsidRPr="007577DE" w:rsidRDefault="005F7B58">
      <w:pPr>
        <w:pStyle w:val="Textpoznmkypodiarou"/>
        <w:rPr>
          <w:rFonts w:ascii="Times New Roman" w:hAnsi="Times New Roman" w:cs="Times New Roman"/>
        </w:rPr>
      </w:pPr>
    </w:p>
  </w:footnote>
  <w:footnote w:id="27">
    <w:p w14:paraId="22323AAE" w14:textId="77777777" w:rsidR="005F7B58" w:rsidRPr="00DD2C1A" w:rsidRDefault="005F7B58" w:rsidP="00BB33A1">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Ciele sú stanovené na základe čl. 3 a 7 smernice 2012/27/EÚ o energetickej efektívnosti.</w:t>
      </w:r>
    </w:p>
  </w:footnote>
  <w:footnote w:id="28">
    <w:p w14:paraId="74EA2EF8" w14:textId="77777777" w:rsidR="005F7B58" w:rsidRPr="00DD2C1A" w:rsidRDefault="005F7B58" w:rsidP="007170F1">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Informácia o uplatnení odseku 2 článku 7 smernice 2012/27/EÚ o energetickej efektívnosti v podmienkach Slovenskej republiky (MH SR, 2014).</w:t>
      </w:r>
    </w:p>
  </w:footnote>
  <w:footnote w:id="29">
    <w:p w14:paraId="647617BF" w14:textId="39490C07" w:rsidR="005F7B58" w:rsidRPr="00DD2C1A" w:rsidRDefault="005F7B58">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Pre vyhodnotenie ro</w:t>
      </w:r>
      <w:r w:rsidRPr="00316509">
        <w:rPr>
          <w:rFonts w:ascii="Times New Roman" w:hAnsi="Times New Roman" w:cs="Times New Roman"/>
        </w:rPr>
        <w:t>ku 2016 boli spracované údaje, ktoré boli k dispozícii k </w:t>
      </w:r>
      <w:r>
        <w:rPr>
          <w:rFonts w:ascii="Times New Roman" w:hAnsi="Times New Roman" w:cs="Times New Roman"/>
        </w:rPr>
        <w:t>7</w:t>
      </w:r>
      <w:r w:rsidRPr="007577DE">
        <w:rPr>
          <w:rFonts w:ascii="Times New Roman" w:hAnsi="Times New Roman" w:cs="Times New Roman"/>
        </w:rPr>
        <w:t>.</w:t>
      </w:r>
      <w:r>
        <w:rPr>
          <w:rFonts w:ascii="Times New Roman" w:hAnsi="Times New Roman" w:cs="Times New Roman"/>
        </w:rPr>
        <w:t xml:space="preserve"> 4</w:t>
      </w:r>
      <w:r w:rsidRPr="007577DE">
        <w:rPr>
          <w:rFonts w:ascii="Times New Roman" w:hAnsi="Times New Roman" w:cs="Times New Roman"/>
        </w:rPr>
        <w:t>.</w:t>
      </w:r>
      <w:r>
        <w:rPr>
          <w:rFonts w:ascii="Times New Roman" w:hAnsi="Times New Roman" w:cs="Times New Roman"/>
        </w:rPr>
        <w:t xml:space="preserve"> </w:t>
      </w:r>
      <w:r w:rsidRPr="007577DE">
        <w:rPr>
          <w:rFonts w:ascii="Times New Roman" w:hAnsi="Times New Roman" w:cs="Times New Roman"/>
        </w:rPr>
        <w:t>2017</w:t>
      </w:r>
      <w:r w:rsidRPr="00DD2C1A">
        <w:rPr>
          <w:rFonts w:ascii="Times New Roman" w:hAnsi="Times New Roman" w:cs="Times New Roman"/>
        </w:rPr>
        <w:t>, teda nepredstavujú konečné číslo.</w:t>
      </w:r>
    </w:p>
  </w:footnote>
  <w:footnote w:id="30">
    <w:p w14:paraId="16C66841" w14:textId="77777777" w:rsidR="005F7B58" w:rsidRPr="00316509" w:rsidRDefault="005F7B58" w:rsidP="009135F1">
      <w:pPr>
        <w:pStyle w:val="Textpoznmkypodiarou"/>
        <w:jc w:val="both"/>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Príloha I nariadenia Komisie (EÚ) č. 651/2014 zo dňa 17. júna 2014  o vyhlásení určitých kategórií pomoci za zlučiteľné s vnútorným trhom podľa článkov</w:t>
      </w:r>
      <w:r w:rsidRPr="00316509">
        <w:rPr>
          <w:rFonts w:ascii="Times New Roman" w:hAnsi="Times New Roman" w:cs="Times New Roman"/>
        </w:rPr>
        <w:t xml:space="preserve"> 107 a 108 zmluvy (Text s významom pre EHP) (Úradný vestník EÚ L 187, 26.6.2014). </w:t>
      </w:r>
    </w:p>
  </w:footnote>
  <w:footnote w:id="31">
    <w:p w14:paraId="28A07C37" w14:textId="28C89944" w:rsidR="005F7B58" w:rsidRPr="007577DE" w:rsidRDefault="005F7B58">
      <w:pPr>
        <w:pStyle w:val="Textpoznmkypodiarou"/>
        <w:rPr>
          <w:rFonts w:ascii="Times New Roman" w:hAnsi="Times New Roman" w:cs="Times New Roman"/>
        </w:rPr>
      </w:pPr>
      <w:r w:rsidRPr="007577DE">
        <w:rPr>
          <w:rStyle w:val="Odkaznapoznmkupodiarou"/>
          <w:rFonts w:ascii="Times New Roman" w:hAnsi="Times New Roman" w:cs="Times New Roman"/>
        </w:rPr>
        <w:footnoteRef/>
      </w:r>
      <w:r w:rsidRPr="007577DE">
        <w:rPr>
          <w:rFonts w:ascii="Times New Roman" w:hAnsi="Times New Roman" w:cs="Times New Roman"/>
        </w:rPr>
        <w:t xml:space="preserve"> Stav počtu auditov</w:t>
      </w:r>
      <w:r>
        <w:rPr>
          <w:rFonts w:ascii="Times New Roman" w:hAnsi="Times New Roman" w:cs="Times New Roman"/>
        </w:rPr>
        <w:t xml:space="preserve"> (iba podniky)</w:t>
      </w:r>
      <w:r w:rsidRPr="007577DE">
        <w:rPr>
          <w:rFonts w:ascii="Times New Roman" w:hAnsi="Times New Roman" w:cs="Times New Roman"/>
        </w:rPr>
        <w:t xml:space="preserve"> ku dňu </w:t>
      </w:r>
      <w:r>
        <w:rPr>
          <w:rFonts w:ascii="Times New Roman" w:hAnsi="Times New Roman" w:cs="Times New Roman"/>
        </w:rPr>
        <w:t>07.04</w:t>
      </w:r>
      <w:r w:rsidRPr="007577DE">
        <w:rPr>
          <w:rFonts w:ascii="Times New Roman" w:hAnsi="Times New Roman" w:cs="Times New Roman"/>
        </w:rPr>
        <w:t>.2017. Konečný počet bude dostupný v hodnotení až v roku 2018</w:t>
      </w:r>
    </w:p>
  </w:footnote>
  <w:footnote w:id="32">
    <w:p w14:paraId="674CE8A3" w14:textId="02F1D3C2" w:rsidR="005F7B58" w:rsidRPr="00DD2C1A" w:rsidRDefault="005F7B58">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Stav k uzávierke údajov </w:t>
      </w:r>
      <w:r>
        <w:rPr>
          <w:rFonts w:ascii="Times New Roman" w:hAnsi="Times New Roman" w:cs="Times New Roman"/>
        </w:rPr>
        <w:t>7. 4</w:t>
      </w:r>
      <w:r w:rsidRPr="007577DE">
        <w:rPr>
          <w:rFonts w:ascii="Times New Roman" w:hAnsi="Times New Roman" w:cs="Times New Roman"/>
        </w:rPr>
        <w:t>.</w:t>
      </w:r>
      <w:r>
        <w:rPr>
          <w:rFonts w:ascii="Times New Roman" w:hAnsi="Times New Roman" w:cs="Times New Roman"/>
        </w:rPr>
        <w:t xml:space="preserve"> </w:t>
      </w:r>
      <w:r w:rsidRPr="007577DE">
        <w:rPr>
          <w:rFonts w:ascii="Times New Roman" w:hAnsi="Times New Roman" w:cs="Times New Roman"/>
        </w:rPr>
        <w:t>2017</w:t>
      </w:r>
    </w:p>
  </w:footnote>
  <w:footnote w:id="33">
    <w:p w14:paraId="376EF8AD" w14:textId="77777777" w:rsidR="005F7B58" w:rsidRPr="00316509" w:rsidRDefault="005F7B58" w:rsidP="00CB175F">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Relevantnou budovou sa rozumie  budova v správe ústredného orgánu štátnej správy (ďalej aj „ÚOŠS“), ktorá k 1. januáru príslušného kalendárneho roka nespĺňa minimálne požiadavky na energetickú hospodárn</w:t>
      </w:r>
      <w:r w:rsidRPr="00316509">
        <w:rPr>
          <w:rFonts w:ascii="Times New Roman" w:hAnsi="Times New Roman" w:cs="Times New Roman"/>
        </w:rPr>
        <w:t>osť budovy podľa § 4 ods. 3 zákona č. 555/2005 Z. z. o energetickej hospodárnosti budov v znení zákona č. 300/2012 Z. z. a ktorej celková podlahová plocha je väčšia ako 250 m</w:t>
      </w:r>
      <w:r w:rsidRPr="00316509">
        <w:rPr>
          <w:rFonts w:ascii="Times New Roman" w:hAnsi="Times New Roman" w:cs="Times New Roman"/>
          <w:vertAlign w:val="superscript"/>
        </w:rPr>
        <w:t>2</w:t>
      </w:r>
      <w:r w:rsidRPr="00316509">
        <w:rPr>
          <w:rFonts w:ascii="Times New Roman" w:hAnsi="Times New Roman" w:cs="Times New Roman"/>
        </w:rPr>
        <w:t>.</w:t>
      </w:r>
    </w:p>
  </w:footnote>
  <w:footnote w:id="34">
    <w:p w14:paraId="3746E881" w14:textId="77777777" w:rsidR="005F7B58" w:rsidRPr="00DD2C1A" w:rsidRDefault="005F7B58" w:rsidP="00CB175F">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http://www.telecom.gov.sk/index/index.php?ids=170474</w:t>
      </w:r>
    </w:p>
  </w:footnote>
  <w:footnote w:id="35">
    <w:p w14:paraId="123984BE" w14:textId="35B29AD1" w:rsidR="005F7B58" w:rsidRPr="007577DE" w:rsidRDefault="005F7B58" w:rsidP="00CB175F">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Notifikačná správa k a</w:t>
      </w:r>
      <w:r w:rsidRPr="00316509">
        <w:rPr>
          <w:rFonts w:ascii="Times New Roman" w:hAnsi="Times New Roman" w:cs="Times New Roman"/>
        </w:rPr>
        <w:t>lternatívnemu prístupu podľa článku 5 smernice 2012/27/EÚ o energetickej efektívnosti, december 2013</w:t>
      </w:r>
      <w:r>
        <w:rPr>
          <w:rFonts w:ascii="Times New Roman" w:hAnsi="Times New Roman" w:cs="Times New Roman"/>
        </w:rPr>
        <w:t>.</w:t>
      </w:r>
    </w:p>
  </w:footnote>
  <w:footnote w:id="36">
    <w:p w14:paraId="7F4C06CA" w14:textId="52E714B1" w:rsidR="005F7B58" w:rsidRPr="007577DE" w:rsidRDefault="005F7B58">
      <w:pPr>
        <w:pStyle w:val="Textpoznmkypodiarou"/>
        <w:rPr>
          <w:rFonts w:ascii="Times New Roman" w:hAnsi="Times New Roman" w:cs="Times New Roman"/>
        </w:rPr>
      </w:pPr>
      <w:r w:rsidRPr="007577DE">
        <w:rPr>
          <w:rStyle w:val="Odkaznapoznmkupodiarou"/>
          <w:rFonts w:ascii="Times New Roman" w:hAnsi="Times New Roman" w:cs="Times New Roman"/>
        </w:rPr>
        <w:footnoteRef/>
      </w:r>
      <w:r w:rsidRPr="007577DE">
        <w:rPr>
          <w:rFonts w:ascii="Times New Roman" w:hAnsi="Times New Roman" w:cs="Times New Roman"/>
        </w:rPr>
        <w:t xml:space="preserve"> Pre potreby vyčíslenia úspor energie bol pre administratívne budovy uvažovaný podiel verejných budov vo výške 50% zo všetkých administratívnych budov v databáze certifikátov. </w:t>
      </w:r>
    </w:p>
  </w:footnote>
  <w:footnote w:id="37">
    <w:p w14:paraId="1EA9FB64" w14:textId="77777777" w:rsidR="005F7B58" w:rsidRPr="00DD2C1A" w:rsidRDefault="005F7B58" w:rsidP="00E43041">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w:t>
      </w:r>
      <w:r w:rsidRPr="007577DE">
        <w:rPr>
          <w:rFonts w:ascii="Times New Roman" w:hAnsi="Times New Roman" w:cs="Times New Roman"/>
        </w:rPr>
        <w:t>Ekonomicko-technické hodnotenie uplatnenia CZT v SR a komplexné posúdenie národného potenciálu pre uplatnenie CZT. Komplexné posúdenie národného potenciálu pre uplatnenie vysoko účinnej kombinovanej výroby., December 2015</w:t>
      </w:r>
    </w:p>
  </w:footnote>
  <w:footnote w:id="38">
    <w:p w14:paraId="7A1DED56" w14:textId="77777777" w:rsidR="005F7B58" w:rsidRPr="007577DE" w:rsidRDefault="005F7B58" w:rsidP="00E43041">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Operačný program Kvalita životného prostredia, prioritná os 4, Investičná priorita 4.4., opatrenie 4.4.1A</w:t>
      </w:r>
    </w:p>
  </w:footnote>
  <w:footnote w:id="39">
    <w:p w14:paraId="6926FD6B" w14:textId="77777777" w:rsidR="005F7B58" w:rsidRPr="00316509" w:rsidRDefault="005F7B58" w:rsidP="00E43041">
      <w:pPr>
        <w:pStyle w:val="Textpoznmkypodiarou"/>
        <w:rPr>
          <w:rFonts w:ascii="Times New Roman" w:hAnsi="Times New Roman" w:cs="Times New Roman"/>
        </w:rPr>
      </w:pPr>
      <w:r w:rsidRPr="00DD2C1A">
        <w:rPr>
          <w:rStyle w:val="Odkaznapoznmkupodiarou"/>
          <w:rFonts w:ascii="Times New Roman" w:hAnsi="Times New Roman" w:cs="Times New Roman"/>
        </w:rPr>
        <w:footnoteRef/>
      </w:r>
      <w:r w:rsidRPr="00DD2C1A">
        <w:rPr>
          <w:rFonts w:ascii="Times New Roman" w:hAnsi="Times New Roman" w:cs="Times New Roman"/>
        </w:rPr>
        <w:t xml:space="preserve"> Operačný program Kvalita životného prostredia, prioritná os 4, Investič</w:t>
      </w:r>
      <w:r w:rsidRPr="00316509">
        <w:rPr>
          <w:rFonts w:ascii="Times New Roman" w:hAnsi="Times New Roman" w:cs="Times New Roman"/>
        </w:rPr>
        <w:t>ná priorita 4.1. a 4.5.</w:t>
      </w:r>
    </w:p>
  </w:footnote>
  <w:footnote w:id="40">
    <w:p w14:paraId="6FC1A101" w14:textId="6FDB6BC2" w:rsidR="005F7B58" w:rsidRPr="00316509" w:rsidRDefault="005F7B58" w:rsidP="0080114C">
      <w:pPr>
        <w:autoSpaceDE w:val="0"/>
        <w:autoSpaceDN w:val="0"/>
        <w:adjustRightInd w:val="0"/>
        <w:spacing w:after="0" w:line="240" w:lineRule="auto"/>
        <w:rPr>
          <w:rFonts w:ascii="Times New Roman" w:hAnsi="Times New Roman" w:cs="Times New Roman"/>
          <w:bCs/>
        </w:rPr>
      </w:pPr>
      <w:r w:rsidRPr="005F7B58">
        <w:rPr>
          <w:rStyle w:val="Odkaznapoznmkupodiarou"/>
          <w:rFonts w:ascii="Times New Roman" w:hAnsi="Times New Roman" w:cs="Times New Roman"/>
          <w:sz w:val="20"/>
        </w:rPr>
        <w:footnoteRef/>
      </w:r>
      <w:r w:rsidRPr="005F7B58">
        <w:rPr>
          <w:rFonts w:ascii="Times New Roman" w:hAnsi="Times New Roman" w:cs="Times New Roman"/>
          <w:sz w:val="20"/>
        </w:rPr>
        <w:t xml:space="preserve"> Napr. Vyhláška úradu pre reguláciu sieťových odvetví č. 17/2017 Z. z., </w:t>
      </w:r>
      <w:r w:rsidRPr="005F7B58">
        <w:rPr>
          <w:rFonts w:ascii="Times New Roman" w:hAnsi="Times New Roman" w:cs="Times New Roman"/>
          <w:bCs/>
          <w:sz w:val="20"/>
        </w:rPr>
        <w:t>ktorou sa ustanovuje cenová regulácia v elektroenergetike a niektoré podmienky vykonávania regulovaných činností v</w:t>
      </w:r>
      <w:r>
        <w:rPr>
          <w:rFonts w:ascii="Times New Roman" w:hAnsi="Times New Roman" w:cs="Times New Roman"/>
          <w:bCs/>
          <w:sz w:val="20"/>
        </w:rPr>
        <w:t> </w:t>
      </w:r>
      <w:r w:rsidRPr="005F7B58">
        <w:rPr>
          <w:rFonts w:ascii="Times New Roman" w:hAnsi="Times New Roman" w:cs="Times New Roman"/>
          <w:bCs/>
          <w:sz w:val="20"/>
        </w:rPr>
        <w:t>elektroenergetike</w:t>
      </w:r>
      <w:r>
        <w:rPr>
          <w:rFonts w:ascii="Times New Roman" w:hAnsi="Times New Roman" w:cs="Times New Roman"/>
          <w:bCs/>
          <w:sz w:val="20"/>
        </w:rPr>
        <w:t>.</w:t>
      </w:r>
    </w:p>
  </w:footnote>
  <w:footnote w:id="41">
    <w:p w14:paraId="213AAE64" w14:textId="3B7BE910" w:rsidR="005F7B58" w:rsidRPr="00316509" w:rsidRDefault="005F7B58" w:rsidP="0080114C">
      <w:pPr>
        <w:pStyle w:val="Default"/>
        <w:rPr>
          <w:sz w:val="20"/>
          <w:szCs w:val="20"/>
        </w:rPr>
      </w:pPr>
      <w:r w:rsidRPr="00DD2C1A">
        <w:rPr>
          <w:rStyle w:val="Odkaznapoznmkupodiarou"/>
          <w:sz w:val="20"/>
          <w:szCs w:val="20"/>
        </w:rPr>
        <w:footnoteRef/>
      </w:r>
      <w:r w:rsidRPr="00DD2C1A">
        <w:rPr>
          <w:sz w:val="20"/>
          <w:szCs w:val="20"/>
        </w:rPr>
        <w:t xml:space="preserve"> Napr. </w:t>
      </w:r>
      <w:r w:rsidRPr="00316509">
        <w:rPr>
          <w:bCs/>
          <w:sz w:val="20"/>
          <w:szCs w:val="20"/>
        </w:rPr>
        <w:t>Metodické usmernenie č. 05/12/2015  z 11. júna 2015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91FFB"/>
    <w:multiLevelType w:val="multilevel"/>
    <w:tmpl w:val="4B6A99AC"/>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A21CB"/>
    <w:multiLevelType w:val="multilevel"/>
    <w:tmpl w:val="26E448FE"/>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9434A6"/>
    <w:multiLevelType w:val="multilevel"/>
    <w:tmpl w:val="26304C6A"/>
    <w:lvl w:ilvl="0">
      <w:start w:val="3"/>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93B85"/>
    <w:multiLevelType w:val="hybridMultilevel"/>
    <w:tmpl w:val="7F24F830"/>
    <w:lvl w:ilvl="0" w:tplc="6276CFC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99C51D5"/>
    <w:multiLevelType w:val="hybridMultilevel"/>
    <w:tmpl w:val="954E363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25416B"/>
    <w:multiLevelType w:val="hybridMultilevel"/>
    <w:tmpl w:val="B6C2DC18"/>
    <w:lvl w:ilvl="0" w:tplc="FFC4AA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C856A33"/>
    <w:multiLevelType w:val="hybridMultilevel"/>
    <w:tmpl w:val="7068CC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39D0F7E"/>
    <w:multiLevelType w:val="hybridMultilevel"/>
    <w:tmpl w:val="E65CE26E"/>
    <w:lvl w:ilvl="0" w:tplc="53ECD55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C2573C1"/>
    <w:multiLevelType w:val="hybridMultilevel"/>
    <w:tmpl w:val="24CCF474"/>
    <w:lvl w:ilvl="0" w:tplc="50727566">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3C8711F"/>
    <w:multiLevelType w:val="hybridMultilevel"/>
    <w:tmpl w:val="3686308C"/>
    <w:lvl w:ilvl="0" w:tplc="F9ACF7C6">
      <w:start w:val="1"/>
      <w:numFmt w:val="decimal"/>
      <w:pStyle w:val="Nadpis1"/>
      <w:lvlText w:val="%1."/>
      <w:lvlJc w:val="left"/>
      <w:pPr>
        <w:ind w:left="644" w:hanging="360"/>
      </w:pPr>
      <w:rPr>
        <w:rFonts w:hint="default"/>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D00913"/>
    <w:multiLevelType w:val="multilevel"/>
    <w:tmpl w:val="8418102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57F2F43"/>
    <w:multiLevelType w:val="hybridMultilevel"/>
    <w:tmpl w:val="ABDE191A"/>
    <w:lvl w:ilvl="0" w:tplc="041B0001">
      <w:start w:val="1"/>
      <w:numFmt w:val="bullet"/>
      <w:lvlText w:val=""/>
      <w:lvlJc w:val="left"/>
      <w:pPr>
        <w:ind w:left="1068" w:hanging="360"/>
      </w:pPr>
      <w:rPr>
        <w:rFonts w:ascii="Symbol" w:hAnsi="Symbol"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2" w15:restartNumberingAfterBreak="0">
    <w:nsid w:val="2C5F62CA"/>
    <w:multiLevelType w:val="multilevel"/>
    <w:tmpl w:val="417451B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3823AD6"/>
    <w:multiLevelType w:val="hybridMultilevel"/>
    <w:tmpl w:val="02C82B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68D767C"/>
    <w:multiLevelType w:val="hybridMultilevel"/>
    <w:tmpl w:val="5F7A57D0"/>
    <w:lvl w:ilvl="0" w:tplc="92C055E4">
      <w:start w:val="3"/>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B0306AF"/>
    <w:multiLevelType w:val="multilevel"/>
    <w:tmpl w:val="417451B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2B52AFD"/>
    <w:multiLevelType w:val="hybridMultilevel"/>
    <w:tmpl w:val="E2F0C1B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C62CA0"/>
    <w:multiLevelType w:val="multilevel"/>
    <w:tmpl w:val="58041716"/>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6E60CCC"/>
    <w:multiLevelType w:val="hybridMultilevel"/>
    <w:tmpl w:val="399CA178"/>
    <w:lvl w:ilvl="0" w:tplc="FFC4AA88">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9" w15:restartNumberingAfterBreak="0">
    <w:nsid w:val="56ED79E2"/>
    <w:multiLevelType w:val="hybridMultilevel"/>
    <w:tmpl w:val="076AD732"/>
    <w:lvl w:ilvl="0" w:tplc="A88A35D2">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F846892"/>
    <w:multiLevelType w:val="multilevel"/>
    <w:tmpl w:val="9B6AD5AC"/>
    <w:lvl w:ilvl="0">
      <w:start w:val="2"/>
      <w:numFmt w:val="decimal"/>
      <w:lvlText w:val="%1"/>
      <w:lvlJc w:val="left"/>
      <w:pPr>
        <w:ind w:left="432" w:hanging="432"/>
      </w:pPr>
      <w:rPr>
        <w:rFonts w:hint="default"/>
        <w:b w:val="0"/>
        <w:bCs w:val="0"/>
        <w:i w:val="0"/>
        <w:iCs w:val="0"/>
        <w:caps w:val="0"/>
        <w:smallCaps w:val="0"/>
        <w:strike w:val="0"/>
        <w:dstrike w:val="0"/>
        <w:noProof w:val="0"/>
        <w:vanish w:val="0"/>
        <w:color w:val="2F5496" w:themeColor="accent5"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ascii="Times New Roman" w:hAnsi="Times New Roman" w:cs="Times New Roman" w:hint="default"/>
        <w:b/>
      </w:rPr>
    </w:lvl>
    <w:lvl w:ilvl="2">
      <w:start w:val="1"/>
      <w:numFmt w:val="decimal"/>
      <w:pStyle w:val="Nadpis3"/>
      <w:lvlText w:val="%1.%2.%3"/>
      <w:lvlJc w:val="left"/>
      <w:pPr>
        <w:ind w:left="720" w:hanging="720"/>
      </w:pPr>
      <w:rPr>
        <w:rFonts w:hint="default"/>
        <w:i w:val="0"/>
      </w:rPr>
    </w:lvl>
    <w:lvl w:ilvl="3">
      <w:start w:val="1"/>
      <w:numFmt w:val="decimal"/>
      <w:pStyle w:val="Nadpis4"/>
      <w:lvlText w:val="%1.%2.%3.%4"/>
      <w:lvlJc w:val="left"/>
      <w:pPr>
        <w:ind w:left="864" w:hanging="864"/>
      </w:pPr>
      <w:rPr>
        <w:rFonts w:hint="default"/>
        <w:i w:val="0"/>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1" w15:restartNumberingAfterBreak="0">
    <w:nsid w:val="780952CC"/>
    <w:multiLevelType w:val="hybridMultilevel"/>
    <w:tmpl w:val="59581B5A"/>
    <w:lvl w:ilvl="0" w:tplc="DC6E1BA8">
      <w:start w:val="1"/>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7BEC62BB"/>
    <w:multiLevelType w:val="hybridMultilevel"/>
    <w:tmpl w:val="3E6414B8"/>
    <w:lvl w:ilvl="0" w:tplc="95CC444A">
      <w:start w:val="3"/>
      <w:numFmt w:val="bullet"/>
      <w:lvlText w:val="-"/>
      <w:lvlJc w:val="left"/>
      <w:pPr>
        <w:ind w:left="948" w:hanging="360"/>
      </w:pPr>
      <w:rPr>
        <w:rFonts w:ascii="Calibri" w:eastAsiaTheme="minorHAnsi" w:hAnsi="Calibri" w:cstheme="minorBidi" w:hint="default"/>
      </w:rPr>
    </w:lvl>
    <w:lvl w:ilvl="1" w:tplc="041B0003" w:tentative="1">
      <w:start w:val="1"/>
      <w:numFmt w:val="bullet"/>
      <w:lvlText w:val="o"/>
      <w:lvlJc w:val="left"/>
      <w:pPr>
        <w:ind w:left="1668" w:hanging="360"/>
      </w:pPr>
      <w:rPr>
        <w:rFonts w:ascii="Courier New" w:hAnsi="Courier New" w:cs="Courier New" w:hint="default"/>
      </w:rPr>
    </w:lvl>
    <w:lvl w:ilvl="2" w:tplc="041B0005" w:tentative="1">
      <w:start w:val="1"/>
      <w:numFmt w:val="bullet"/>
      <w:lvlText w:val=""/>
      <w:lvlJc w:val="left"/>
      <w:pPr>
        <w:ind w:left="2388" w:hanging="360"/>
      </w:pPr>
      <w:rPr>
        <w:rFonts w:ascii="Wingdings" w:hAnsi="Wingdings" w:hint="default"/>
      </w:rPr>
    </w:lvl>
    <w:lvl w:ilvl="3" w:tplc="041B0001" w:tentative="1">
      <w:start w:val="1"/>
      <w:numFmt w:val="bullet"/>
      <w:lvlText w:val=""/>
      <w:lvlJc w:val="left"/>
      <w:pPr>
        <w:ind w:left="3108" w:hanging="360"/>
      </w:pPr>
      <w:rPr>
        <w:rFonts w:ascii="Symbol" w:hAnsi="Symbol" w:hint="default"/>
      </w:rPr>
    </w:lvl>
    <w:lvl w:ilvl="4" w:tplc="041B0003" w:tentative="1">
      <w:start w:val="1"/>
      <w:numFmt w:val="bullet"/>
      <w:lvlText w:val="o"/>
      <w:lvlJc w:val="left"/>
      <w:pPr>
        <w:ind w:left="3828" w:hanging="360"/>
      </w:pPr>
      <w:rPr>
        <w:rFonts w:ascii="Courier New" w:hAnsi="Courier New" w:cs="Courier New" w:hint="default"/>
      </w:rPr>
    </w:lvl>
    <w:lvl w:ilvl="5" w:tplc="041B0005" w:tentative="1">
      <w:start w:val="1"/>
      <w:numFmt w:val="bullet"/>
      <w:lvlText w:val=""/>
      <w:lvlJc w:val="left"/>
      <w:pPr>
        <w:ind w:left="4548" w:hanging="360"/>
      </w:pPr>
      <w:rPr>
        <w:rFonts w:ascii="Wingdings" w:hAnsi="Wingdings" w:hint="default"/>
      </w:rPr>
    </w:lvl>
    <w:lvl w:ilvl="6" w:tplc="041B0001" w:tentative="1">
      <w:start w:val="1"/>
      <w:numFmt w:val="bullet"/>
      <w:lvlText w:val=""/>
      <w:lvlJc w:val="left"/>
      <w:pPr>
        <w:ind w:left="5268" w:hanging="360"/>
      </w:pPr>
      <w:rPr>
        <w:rFonts w:ascii="Symbol" w:hAnsi="Symbol" w:hint="default"/>
      </w:rPr>
    </w:lvl>
    <w:lvl w:ilvl="7" w:tplc="041B0003" w:tentative="1">
      <w:start w:val="1"/>
      <w:numFmt w:val="bullet"/>
      <w:lvlText w:val="o"/>
      <w:lvlJc w:val="left"/>
      <w:pPr>
        <w:ind w:left="5988" w:hanging="360"/>
      </w:pPr>
      <w:rPr>
        <w:rFonts w:ascii="Courier New" w:hAnsi="Courier New" w:cs="Courier New" w:hint="default"/>
      </w:rPr>
    </w:lvl>
    <w:lvl w:ilvl="8" w:tplc="041B0005" w:tentative="1">
      <w:start w:val="1"/>
      <w:numFmt w:val="bullet"/>
      <w:lvlText w:val=""/>
      <w:lvlJc w:val="left"/>
      <w:pPr>
        <w:ind w:left="6708" w:hanging="360"/>
      </w:pPr>
      <w:rPr>
        <w:rFonts w:ascii="Wingdings" w:hAnsi="Wingdings" w:hint="default"/>
      </w:rPr>
    </w:lvl>
  </w:abstractNum>
  <w:num w:numId="1">
    <w:abstractNumId w:val="20"/>
  </w:num>
  <w:num w:numId="2">
    <w:abstractNumId w:val="14"/>
  </w:num>
  <w:num w:numId="3">
    <w:abstractNumId w:val="6"/>
  </w:num>
  <w:num w:numId="4">
    <w:abstractNumId w:val="7"/>
  </w:num>
  <w:num w:numId="5">
    <w:abstractNumId w:val="18"/>
  </w:num>
  <w:num w:numId="6">
    <w:abstractNumId w:val="5"/>
  </w:num>
  <w:num w:numId="7">
    <w:abstractNumId w:val="19"/>
  </w:num>
  <w:num w:numId="8">
    <w:abstractNumId w:val="22"/>
  </w:num>
  <w:num w:numId="9">
    <w:abstractNumId w:val="16"/>
  </w:num>
  <w:num w:numId="10">
    <w:abstractNumId w:val="21"/>
  </w:num>
  <w:num w:numId="11">
    <w:abstractNumId w:val="13"/>
  </w:num>
  <w:num w:numId="12">
    <w:abstractNumId w:val="11"/>
  </w:num>
  <w:num w:numId="13">
    <w:abstractNumId w:val="8"/>
  </w:num>
  <w:num w:numId="14">
    <w:abstractNumId w:val="9"/>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
  </w:num>
  <w:num w:numId="18">
    <w:abstractNumId w:val="17"/>
  </w:num>
  <w:num w:numId="19">
    <w:abstractNumId w:val="9"/>
  </w:num>
  <w:num w:numId="20">
    <w:abstractNumId w:val="20"/>
  </w:num>
  <w:num w:numId="21">
    <w:abstractNumId w:val="20"/>
  </w:num>
  <w:num w:numId="22">
    <w:abstractNumId w:val="20"/>
  </w:num>
  <w:num w:numId="23">
    <w:abstractNumId w:val="9"/>
  </w:num>
  <w:num w:numId="24">
    <w:abstractNumId w:val="20"/>
    <w:lvlOverride w:ilvl="0">
      <w:startOverride w:val="2"/>
    </w:lvlOverride>
    <w:lvlOverride w:ilvl="1">
      <w:startOverride w:val="1"/>
    </w:lvlOverride>
  </w:num>
  <w:num w:numId="25">
    <w:abstractNumId w:val="20"/>
    <w:lvlOverride w:ilvl="0">
      <w:startOverride w:val="2"/>
    </w:lvlOverride>
    <w:lvlOverride w:ilvl="1">
      <w:startOverride w:val="1"/>
    </w:lvlOverride>
  </w:num>
  <w:num w:numId="26">
    <w:abstractNumId w:val="20"/>
  </w:num>
  <w:num w:numId="27">
    <w:abstractNumId w:val="9"/>
  </w:num>
  <w:num w:numId="28">
    <w:abstractNumId w:val="9"/>
  </w:num>
  <w:num w:numId="29">
    <w:abstractNumId w:val="3"/>
  </w:num>
  <w:num w:numId="30">
    <w:abstractNumId w:val="10"/>
  </w:num>
  <w:num w:numId="31">
    <w:abstractNumId w:val="0"/>
  </w:num>
  <w:num w:numId="32">
    <w:abstractNumId w:val="15"/>
  </w:num>
  <w:num w:numId="33">
    <w:abstractNumId w:val="4"/>
  </w:num>
  <w:num w:numId="34">
    <w:abstractNumId w:val="20"/>
  </w:num>
  <w:num w:numId="35">
    <w:abstractNumId w:val="20"/>
  </w:num>
  <w:num w:numId="36">
    <w:abstractNumId w:val="20"/>
  </w:num>
  <w:num w:numId="37">
    <w:abstractNumId w:val="20"/>
  </w:num>
  <w:num w:numId="38">
    <w:abstractNumId w:val="20"/>
  </w:num>
  <w:num w:numId="39">
    <w:abstractNumId w:val="20"/>
  </w:num>
  <w:num w:numId="40">
    <w:abstractNumId w:val="20"/>
  </w:num>
  <w:num w:numId="41">
    <w:abstractNumId w:val="20"/>
  </w:num>
  <w:num w:numId="42">
    <w:abstractNumId w:val="20"/>
  </w:num>
  <w:num w:numId="43">
    <w:abstractNumId w:val="12"/>
  </w:num>
  <w:num w:numId="44">
    <w:abstractNumId w:val="20"/>
  </w:num>
  <w:num w:numId="45">
    <w:abstractNumId w:val="20"/>
  </w:num>
  <w:num w:numId="46">
    <w:abstractNumId w:val="20"/>
  </w:num>
  <w:num w:numId="47">
    <w:abstractNumId w:val="20"/>
    <w:lvlOverride w:ilvl="0">
      <w:startOverride w:val="2"/>
    </w:lvlOverride>
    <w:lvlOverride w:ilvl="1">
      <w:startOverride w:val="2"/>
    </w:lvlOverride>
    <w:lvlOverride w:ilvl="2">
      <w:startOverride w:val="5"/>
    </w:lvlOverride>
  </w:num>
  <w:num w:numId="4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F39"/>
    <w:rsid w:val="00000C2A"/>
    <w:rsid w:val="000023F7"/>
    <w:rsid w:val="000041F2"/>
    <w:rsid w:val="000062FB"/>
    <w:rsid w:val="00006C85"/>
    <w:rsid w:val="00011C7A"/>
    <w:rsid w:val="00013057"/>
    <w:rsid w:val="000155A6"/>
    <w:rsid w:val="0001635C"/>
    <w:rsid w:val="00017016"/>
    <w:rsid w:val="000223AB"/>
    <w:rsid w:val="00022EEB"/>
    <w:rsid w:val="00025512"/>
    <w:rsid w:val="00025572"/>
    <w:rsid w:val="00031099"/>
    <w:rsid w:val="00031AC9"/>
    <w:rsid w:val="0003297C"/>
    <w:rsid w:val="00036138"/>
    <w:rsid w:val="000377CB"/>
    <w:rsid w:val="000378F3"/>
    <w:rsid w:val="00040946"/>
    <w:rsid w:val="00042158"/>
    <w:rsid w:val="00044016"/>
    <w:rsid w:val="00044366"/>
    <w:rsid w:val="000453A3"/>
    <w:rsid w:val="00045F42"/>
    <w:rsid w:val="00047FF1"/>
    <w:rsid w:val="00050066"/>
    <w:rsid w:val="00051381"/>
    <w:rsid w:val="00052505"/>
    <w:rsid w:val="00056B5E"/>
    <w:rsid w:val="000576BD"/>
    <w:rsid w:val="000576F8"/>
    <w:rsid w:val="000578FE"/>
    <w:rsid w:val="00057AE1"/>
    <w:rsid w:val="000610D8"/>
    <w:rsid w:val="000619AE"/>
    <w:rsid w:val="00062715"/>
    <w:rsid w:val="0006281A"/>
    <w:rsid w:val="00063ACC"/>
    <w:rsid w:val="00063AF1"/>
    <w:rsid w:val="0006480B"/>
    <w:rsid w:val="000658FB"/>
    <w:rsid w:val="00067565"/>
    <w:rsid w:val="00067E85"/>
    <w:rsid w:val="000723D1"/>
    <w:rsid w:val="0007368A"/>
    <w:rsid w:val="00074593"/>
    <w:rsid w:val="000745A8"/>
    <w:rsid w:val="0007497F"/>
    <w:rsid w:val="000749D6"/>
    <w:rsid w:val="0007724F"/>
    <w:rsid w:val="00082206"/>
    <w:rsid w:val="00082781"/>
    <w:rsid w:val="000838F5"/>
    <w:rsid w:val="00083A8F"/>
    <w:rsid w:val="00086BB0"/>
    <w:rsid w:val="00087249"/>
    <w:rsid w:val="00090EBE"/>
    <w:rsid w:val="00092122"/>
    <w:rsid w:val="00092585"/>
    <w:rsid w:val="00092ED7"/>
    <w:rsid w:val="00094C8F"/>
    <w:rsid w:val="000A1B1D"/>
    <w:rsid w:val="000A3BE2"/>
    <w:rsid w:val="000A4E10"/>
    <w:rsid w:val="000A6611"/>
    <w:rsid w:val="000A6B26"/>
    <w:rsid w:val="000B039D"/>
    <w:rsid w:val="000B15D7"/>
    <w:rsid w:val="000B168C"/>
    <w:rsid w:val="000B19E2"/>
    <w:rsid w:val="000B1AAD"/>
    <w:rsid w:val="000B38DB"/>
    <w:rsid w:val="000B4A2F"/>
    <w:rsid w:val="000B74BF"/>
    <w:rsid w:val="000C195E"/>
    <w:rsid w:val="000C25E1"/>
    <w:rsid w:val="000C2919"/>
    <w:rsid w:val="000C593C"/>
    <w:rsid w:val="000D0415"/>
    <w:rsid w:val="000D07E7"/>
    <w:rsid w:val="000D0AD5"/>
    <w:rsid w:val="000D1519"/>
    <w:rsid w:val="000D1C56"/>
    <w:rsid w:val="000D2B77"/>
    <w:rsid w:val="000D333E"/>
    <w:rsid w:val="000D43C4"/>
    <w:rsid w:val="000D4F80"/>
    <w:rsid w:val="000D5267"/>
    <w:rsid w:val="000D7909"/>
    <w:rsid w:val="000E01BC"/>
    <w:rsid w:val="000E078E"/>
    <w:rsid w:val="000E20F4"/>
    <w:rsid w:val="000E28C4"/>
    <w:rsid w:val="000E2AED"/>
    <w:rsid w:val="000E5385"/>
    <w:rsid w:val="000E60A6"/>
    <w:rsid w:val="000F0201"/>
    <w:rsid w:val="000F0397"/>
    <w:rsid w:val="000F1098"/>
    <w:rsid w:val="000F1F42"/>
    <w:rsid w:val="000F213B"/>
    <w:rsid w:val="000F45A9"/>
    <w:rsid w:val="000F708C"/>
    <w:rsid w:val="001011B6"/>
    <w:rsid w:val="00102D11"/>
    <w:rsid w:val="0010480F"/>
    <w:rsid w:val="00107028"/>
    <w:rsid w:val="00107947"/>
    <w:rsid w:val="00110CB9"/>
    <w:rsid w:val="00112999"/>
    <w:rsid w:val="0011464D"/>
    <w:rsid w:val="00114C2E"/>
    <w:rsid w:val="00115A69"/>
    <w:rsid w:val="00116B48"/>
    <w:rsid w:val="001170C3"/>
    <w:rsid w:val="00120E23"/>
    <w:rsid w:val="00120EB2"/>
    <w:rsid w:val="00121D42"/>
    <w:rsid w:val="00122C99"/>
    <w:rsid w:val="001235B1"/>
    <w:rsid w:val="001261F1"/>
    <w:rsid w:val="00126284"/>
    <w:rsid w:val="00130482"/>
    <w:rsid w:val="001323EF"/>
    <w:rsid w:val="001327AD"/>
    <w:rsid w:val="001328B6"/>
    <w:rsid w:val="001330C9"/>
    <w:rsid w:val="0014115F"/>
    <w:rsid w:val="00141DB8"/>
    <w:rsid w:val="00141EDF"/>
    <w:rsid w:val="001424BA"/>
    <w:rsid w:val="0014292B"/>
    <w:rsid w:val="00144256"/>
    <w:rsid w:val="0014464F"/>
    <w:rsid w:val="001448E1"/>
    <w:rsid w:val="00145DDD"/>
    <w:rsid w:val="001460AF"/>
    <w:rsid w:val="0015005C"/>
    <w:rsid w:val="0015115A"/>
    <w:rsid w:val="00152D97"/>
    <w:rsid w:val="00154BA0"/>
    <w:rsid w:val="001570B9"/>
    <w:rsid w:val="00160590"/>
    <w:rsid w:val="001607E1"/>
    <w:rsid w:val="0016099E"/>
    <w:rsid w:val="001617F3"/>
    <w:rsid w:val="0016249C"/>
    <w:rsid w:val="001630D5"/>
    <w:rsid w:val="00163C77"/>
    <w:rsid w:val="00164003"/>
    <w:rsid w:val="001653AA"/>
    <w:rsid w:val="00165501"/>
    <w:rsid w:val="0016691E"/>
    <w:rsid w:val="00167FF2"/>
    <w:rsid w:val="00170557"/>
    <w:rsid w:val="001713A5"/>
    <w:rsid w:val="00171805"/>
    <w:rsid w:val="00176FFE"/>
    <w:rsid w:val="00177B2A"/>
    <w:rsid w:val="001810F4"/>
    <w:rsid w:val="00181D8C"/>
    <w:rsid w:val="00183883"/>
    <w:rsid w:val="001857DD"/>
    <w:rsid w:val="00186D97"/>
    <w:rsid w:val="00190578"/>
    <w:rsid w:val="00190D8C"/>
    <w:rsid w:val="00192844"/>
    <w:rsid w:val="00193CEF"/>
    <w:rsid w:val="00193FAC"/>
    <w:rsid w:val="001941F3"/>
    <w:rsid w:val="001947AB"/>
    <w:rsid w:val="00195DB5"/>
    <w:rsid w:val="0019682E"/>
    <w:rsid w:val="0019712E"/>
    <w:rsid w:val="0019763B"/>
    <w:rsid w:val="001978DE"/>
    <w:rsid w:val="001978E8"/>
    <w:rsid w:val="001A0A0B"/>
    <w:rsid w:val="001A12AB"/>
    <w:rsid w:val="001A19D8"/>
    <w:rsid w:val="001A2FDF"/>
    <w:rsid w:val="001A4813"/>
    <w:rsid w:val="001A49B3"/>
    <w:rsid w:val="001A6EE1"/>
    <w:rsid w:val="001A7158"/>
    <w:rsid w:val="001A7A74"/>
    <w:rsid w:val="001B097E"/>
    <w:rsid w:val="001B1483"/>
    <w:rsid w:val="001B1788"/>
    <w:rsid w:val="001B2DCB"/>
    <w:rsid w:val="001B31E5"/>
    <w:rsid w:val="001B4397"/>
    <w:rsid w:val="001C3BC0"/>
    <w:rsid w:val="001C4BCA"/>
    <w:rsid w:val="001C4FEA"/>
    <w:rsid w:val="001C6037"/>
    <w:rsid w:val="001C663A"/>
    <w:rsid w:val="001C68B1"/>
    <w:rsid w:val="001C7F95"/>
    <w:rsid w:val="001D06C9"/>
    <w:rsid w:val="001D0FF0"/>
    <w:rsid w:val="001D12B1"/>
    <w:rsid w:val="001D1334"/>
    <w:rsid w:val="001D160A"/>
    <w:rsid w:val="001D210E"/>
    <w:rsid w:val="001D299D"/>
    <w:rsid w:val="001D4443"/>
    <w:rsid w:val="001D5205"/>
    <w:rsid w:val="001D57FF"/>
    <w:rsid w:val="001D712C"/>
    <w:rsid w:val="001D7BB1"/>
    <w:rsid w:val="001E01DC"/>
    <w:rsid w:val="001E06BE"/>
    <w:rsid w:val="001E3C1A"/>
    <w:rsid w:val="001E72B7"/>
    <w:rsid w:val="001F0BC6"/>
    <w:rsid w:val="001F1175"/>
    <w:rsid w:val="001F521B"/>
    <w:rsid w:val="00200DFA"/>
    <w:rsid w:val="00200F3D"/>
    <w:rsid w:val="00201233"/>
    <w:rsid w:val="002043A2"/>
    <w:rsid w:val="0020448C"/>
    <w:rsid w:val="002057FE"/>
    <w:rsid w:val="0020622D"/>
    <w:rsid w:val="00206BE1"/>
    <w:rsid w:val="00207D7D"/>
    <w:rsid w:val="00211EA2"/>
    <w:rsid w:val="002122EA"/>
    <w:rsid w:val="0021292E"/>
    <w:rsid w:val="00212D73"/>
    <w:rsid w:val="00212F82"/>
    <w:rsid w:val="0021587A"/>
    <w:rsid w:val="00217086"/>
    <w:rsid w:val="002200AF"/>
    <w:rsid w:val="0022093A"/>
    <w:rsid w:val="00221B6C"/>
    <w:rsid w:val="00222B70"/>
    <w:rsid w:val="00222F9E"/>
    <w:rsid w:val="002257A5"/>
    <w:rsid w:val="00225D0C"/>
    <w:rsid w:val="00226A84"/>
    <w:rsid w:val="00226BDC"/>
    <w:rsid w:val="00227988"/>
    <w:rsid w:val="00227F72"/>
    <w:rsid w:val="00231C03"/>
    <w:rsid w:val="002324F3"/>
    <w:rsid w:val="00233B8A"/>
    <w:rsid w:val="00234BB3"/>
    <w:rsid w:val="00235E26"/>
    <w:rsid w:val="002365E9"/>
    <w:rsid w:val="00236ABD"/>
    <w:rsid w:val="00237183"/>
    <w:rsid w:val="0024031B"/>
    <w:rsid w:val="0024151F"/>
    <w:rsid w:val="002417CE"/>
    <w:rsid w:val="00242B16"/>
    <w:rsid w:val="00245F4D"/>
    <w:rsid w:val="002467B1"/>
    <w:rsid w:val="00253CC3"/>
    <w:rsid w:val="00255D17"/>
    <w:rsid w:val="00256725"/>
    <w:rsid w:val="00256E3A"/>
    <w:rsid w:val="00257371"/>
    <w:rsid w:val="0026011A"/>
    <w:rsid w:val="00260158"/>
    <w:rsid w:val="00260953"/>
    <w:rsid w:val="002619DA"/>
    <w:rsid w:val="00262A93"/>
    <w:rsid w:val="00263650"/>
    <w:rsid w:val="00264653"/>
    <w:rsid w:val="002706C2"/>
    <w:rsid w:val="00270B06"/>
    <w:rsid w:val="00270DC6"/>
    <w:rsid w:val="002722FF"/>
    <w:rsid w:val="00272B39"/>
    <w:rsid w:val="0027324F"/>
    <w:rsid w:val="002739B6"/>
    <w:rsid w:val="00274656"/>
    <w:rsid w:val="002761B3"/>
    <w:rsid w:val="0027754C"/>
    <w:rsid w:val="0027778D"/>
    <w:rsid w:val="002814F6"/>
    <w:rsid w:val="00283209"/>
    <w:rsid w:val="00284240"/>
    <w:rsid w:val="00284FC6"/>
    <w:rsid w:val="0028637B"/>
    <w:rsid w:val="00286E91"/>
    <w:rsid w:val="002872A4"/>
    <w:rsid w:val="00287526"/>
    <w:rsid w:val="00290693"/>
    <w:rsid w:val="00290CC5"/>
    <w:rsid w:val="00291460"/>
    <w:rsid w:val="00291743"/>
    <w:rsid w:val="00291CAB"/>
    <w:rsid w:val="00292998"/>
    <w:rsid w:val="00293169"/>
    <w:rsid w:val="00293EB5"/>
    <w:rsid w:val="00294E6D"/>
    <w:rsid w:val="00297B22"/>
    <w:rsid w:val="00297F16"/>
    <w:rsid w:val="002A147B"/>
    <w:rsid w:val="002A2475"/>
    <w:rsid w:val="002A3F0E"/>
    <w:rsid w:val="002A4C88"/>
    <w:rsid w:val="002A51D8"/>
    <w:rsid w:val="002A6C30"/>
    <w:rsid w:val="002A7050"/>
    <w:rsid w:val="002B11D6"/>
    <w:rsid w:val="002B1C61"/>
    <w:rsid w:val="002B4689"/>
    <w:rsid w:val="002B4E99"/>
    <w:rsid w:val="002B6270"/>
    <w:rsid w:val="002B694F"/>
    <w:rsid w:val="002B6F5B"/>
    <w:rsid w:val="002C0493"/>
    <w:rsid w:val="002C0B26"/>
    <w:rsid w:val="002C2653"/>
    <w:rsid w:val="002C3DCB"/>
    <w:rsid w:val="002C4F05"/>
    <w:rsid w:val="002C51A0"/>
    <w:rsid w:val="002C6664"/>
    <w:rsid w:val="002D4424"/>
    <w:rsid w:val="002D4A51"/>
    <w:rsid w:val="002D541C"/>
    <w:rsid w:val="002D7E76"/>
    <w:rsid w:val="002E09E2"/>
    <w:rsid w:val="002E1403"/>
    <w:rsid w:val="002E1E7B"/>
    <w:rsid w:val="002E26D4"/>
    <w:rsid w:val="002E3164"/>
    <w:rsid w:val="002E3ACE"/>
    <w:rsid w:val="002E5130"/>
    <w:rsid w:val="002E53C2"/>
    <w:rsid w:val="002E59DE"/>
    <w:rsid w:val="002E66F3"/>
    <w:rsid w:val="002E7442"/>
    <w:rsid w:val="002F00EA"/>
    <w:rsid w:val="002F0B21"/>
    <w:rsid w:val="002F3068"/>
    <w:rsid w:val="002F4575"/>
    <w:rsid w:val="002F4BB2"/>
    <w:rsid w:val="003025E4"/>
    <w:rsid w:val="00302F2B"/>
    <w:rsid w:val="0030375D"/>
    <w:rsid w:val="00305128"/>
    <w:rsid w:val="0030624E"/>
    <w:rsid w:val="00310CBA"/>
    <w:rsid w:val="003123A2"/>
    <w:rsid w:val="00314FCB"/>
    <w:rsid w:val="00316131"/>
    <w:rsid w:val="00316509"/>
    <w:rsid w:val="00317D98"/>
    <w:rsid w:val="00320E31"/>
    <w:rsid w:val="003240D7"/>
    <w:rsid w:val="0032515F"/>
    <w:rsid w:val="00325933"/>
    <w:rsid w:val="0032671C"/>
    <w:rsid w:val="003274B3"/>
    <w:rsid w:val="00327DF6"/>
    <w:rsid w:val="0033038C"/>
    <w:rsid w:val="00330F2D"/>
    <w:rsid w:val="00332237"/>
    <w:rsid w:val="00332E77"/>
    <w:rsid w:val="003340A2"/>
    <w:rsid w:val="00334CCC"/>
    <w:rsid w:val="00337323"/>
    <w:rsid w:val="003379E3"/>
    <w:rsid w:val="00341365"/>
    <w:rsid w:val="00341C70"/>
    <w:rsid w:val="00343C0F"/>
    <w:rsid w:val="0034469B"/>
    <w:rsid w:val="0034698B"/>
    <w:rsid w:val="0034717A"/>
    <w:rsid w:val="0034774C"/>
    <w:rsid w:val="003504A2"/>
    <w:rsid w:val="00350659"/>
    <w:rsid w:val="00351460"/>
    <w:rsid w:val="003523EB"/>
    <w:rsid w:val="003526E3"/>
    <w:rsid w:val="00353519"/>
    <w:rsid w:val="00353D21"/>
    <w:rsid w:val="0035512F"/>
    <w:rsid w:val="003553AA"/>
    <w:rsid w:val="003565BB"/>
    <w:rsid w:val="003605FE"/>
    <w:rsid w:val="00360C5B"/>
    <w:rsid w:val="0036420D"/>
    <w:rsid w:val="003654F7"/>
    <w:rsid w:val="00367620"/>
    <w:rsid w:val="00370A1A"/>
    <w:rsid w:val="00372054"/>
    <w:rsid w:val="00372526"/>
    <w:rsid w:val="00372C60"/>
    <w:rsid w:val="0037348A"/>
    <w:rsid w:val="00374779"/>
    <w:rsid w:val="00375311"/>
    <w:rsid w:val="00375411"/>
    <w:rsid w:val="00375545"/>
    <w:rsid w:val="00376E21"/>
    <w:rsid w:val="0037763C"/>
    <w:rsid w:val="00380558"/>
    <w:rsid w:val="00380B2C"/>
    <w:rsid w:val="00382EAD"/>
    <w:rsid w:val="003840EF"/>
    <w:rsid w:val="00384B4D"/>
    <w:rsid w:val="00386325"/>
    <w:rsid w:val="003902B3"/>
    <w:rsid w:val="003904C9"/>
    <w:rsid w:val="00390E24"/>
    <w:rsid w:val="003932FA"/>
    <w:rsid w:val="00393905"/>
    <w:rsid w:val="003945E7"/>
    <w:rsid w:val="003A0C07"/>
    <w:rsid w:val="003A20B9"/>
    <w:rsid w:val="003A2A04"/>
    <w:rsid w:val="003A4236"/>
    <w:rsid w:val="003A4BD2"/>
    <w:rsid w:val="003A691E"/>
    <w:rsid w:val="003A71A9"/>
    <w:rsid w:val="003A7AA4"/>
    <w:rsid w:val="003B12AE"/>
    <w:rsid w:val="003B1A29"/>
    <w:rsid w:val="003B1FC9"/>
    <w:rsid w:val="003B25ED"/>
    <w:rsid w:val="003B4825"/>
    <w:rsid w:val="003B49EA"/>
    <w:rsid w:val="003B6B3A"/>
    <w:rsid w:val="003B747B"/>
    <w:rsid w:val="003B752D"/>
    <w:rsid w:val="003C0D64"/>
    <w:rsid w:val="003C1BF9"/>
    <w:rsid w:val="003C4E15"/>
    <w:rsid w:val="003C52E4"/>
    <w:rsid w:val="003C6682"/>
    <w:rsid w:val="003C7725"/>
    <w:rsid w:val="003D09A8"/>
    <w:rsid w:val="003D0A97"/>
    <w:rsid w:val="003D2ED6"/>
    <w:rsid w:val="003D328A"/>
    <w:rsid w:val="003D6195"/>
    <w:rsid w:val="003D6404"/>
    <w:rsid w:val="003E0471"/>
    <w:rsid w:val="003E1EB3"/>
    <w:rsid w:val="003E274A"/>
    <w:rsid w:val="003E4614"/>
    <w:rsid w:val="003E73B5"/>
    <w:rsid w:val="003E7C46"/>
    <w:rsid w:val="003F29ED"/>
    <w:rsid w:val="003F3F7A"/>
    <w:rsid w:val="003F4AC4"/>
    <w:rsid w:val="003F72CE"/>
    <w:rsid w:val="003F7FAC"/>
    <w:rsid w:val="004037C8"/>
    <w:rsid w:val="00404367"/>
    <w:rsid w:val="00405011"/>
    <w:rsid w:val="00406E97"/>
    <w:rsid w:val="004104C9"/>
    <w:rsid w:val="00411EEA"/>
    <w:rsid w:val="00413353"/>
    <w:rsid w:val="0041389B"/>
    <w:rsid w:val="004145B3"/>
    <w:rsid w:val="004215C0"/>
    <w:rsid w:val="0042175E"/>
    <w:rsid w:val="0042238F"/>
    <w:rsid w:val="00422C8D"/>
    <w:rsid w:val="00423004"/>
    <w:rsid w:val="004244EF"/>
    <w:rsid w:val="00424D9C"/>
    <w:rsid w:val="00425F0A"/>
    <w:rsid w:val="0042671C"/>
    <w:rsid w:val="004310DE"/>
    <w:rsid w:val="00434D49"/>
    <w:rsid w:val="00435601"/>
    <w:rsid w:val="00435891"/>
    <w:rsid w:val="00437885"/>
    <w:rsid w:val="0044012B"/>
    <w:rsid w:val="0044103A"/>
    <w:rsid w:val="004414FA"/>
    <w:rsid w:val="00447F33"/>
    <w:rsid w:val="00452AED"/>
    <w:rsid w:val="004537A5"/>
    <w:rsid w:val="0045445B"/>
    <w:rsid w:val="00454B7B"/>
    <w:rsid w:val="00454B9B"/>
    <w:rsid w:val="00457222"/>
    <w:rsid w:val="004579D1"/>
    <w:rsid w:val="004600C9"/>
    <w:rsid w:val="004625A0"/>
    <w:rsid w:val="004654E7"/>
    <w:rsid w:val="00470935"/>
    <w:rsid w:val="004719E1"/>
    <w:rsid w:val="004720F1"/>
    <w:rsid w:val="004739F4"/>
    <w:rsid w:val="00474145"/>
    <w:rsid w:val="00475C3F"/>
    <w:rsid w:val="004764B9"/>
    <w:rsid w:val="00477903"/>
    <w:rsid w:val="00477DFA"/>
    <w:rsid w:val="00480C73"/>
    <w:rsid w:val="0048249F"/>
    <w:rsid w:val="00482ACC"/>
    <w:rsid w:val="00485DB2"/>
    <w:rsid w:val="00486646"/>
    <w:rsid w:val="00486657"/>
    <w:rsid w:val="0048675B"/>
    <w:rsid w:val="00486EFA"/>
    <w:rsid w:val="004870E6"/>
    <w:rsid w:val="004878B1"/>
    <w:rsid w:val="00487C8C"/>
    <w:rsid w:val="00490AAD"/>
    <w:rsid w:val="00493D49"/>
    <w:rsid w:val="0049533A"/>
    <w:rsid w:val="004958B7"/>
    <w:rsid w:val="004A0796"/>
    <w:rsid w:val="004A17E8"/>
    <w:rsid w:val="004A1855"/>
    <w:rsid w:val="004A1C77"/>
    <w:rsid w:val="004A579A"/>
    <w:rsid w:val="004A66C0"/>
    <w:rsid w:val="004A79EA"/>
    <w:rsid w:val="004B22FA"/>
    <w:rsid w:val="004B5768"/>
    <w:rsid w:val="004B5939"/>
    <w:rsid w:val="004B625C"/>
    <w:rsid w:val="004C03DD"/>
    <w:rsid w:val="004C0FCC"/>
    <w:rsid w:val="004C2160"/>
    <w:rsid w:val="004C28B8"/>
    <w:rsid w:val="004C3A87"/>
    <w:rsid w:val="004C3D40"/>
    <w:rsid w:val="004C542E"/>
    <w:rsid w:val="004D041D"/>
    <w:rsid w:val="004D0AC3"/>
    <w:rsid w:val="004D219D"/>
    <w:rsid w:val="004D3B97"/>
    <w:rsid w:val="004D4277"/>
    <w:rsid w:val="004E0139"/>
    <w:rsid w:val="004E2942"/>
    <w:rsid w:val="004E3B63"/>
    <w:rsid w:val="004E481D"/>
    <w:rsid w:val="004E52AE"/>
    <w:rsid w:val="004E56B1"/>
    <w:rsid w:val="004E5E83"/>
    <w:rsid w:val="004E62B9"/>
    <w:rsid w:val="004E720D"/>
    <w:rsid w:val="004E746F"/>
    <w:rsid w:val="004E7541"/>
    <w:rsid w:val="004E76E2"/>
    <w:rsid w:val="004F0D91"/>
    <w:rsid w:val="004F1695"/>
    <w:rsid w:val="004F4A3D"/>
    <w:rsid w:val="004F5C29"/>
    <w:rsid w:val="004F6621"/>
    <w:rsid w:val="004F6A3D"/>
    <w:rsid w:val="004F7EAE"/>
    <w:rsid w:val="0050393B"/>
    <w:rsid w:val="00505211"/>
    <w:rsid w:val="00505551"/>
    <w:rsid w:val="00505580"/>
    <w:rsid w:val="005102A3"/>
    <w:rsid w:val="0051066D"/>
    <w:rsid w:val="00510AA3"/>
    <w:rsid w:val="0051358B"/>
    <w:rsid w:val="00516B6C"/>
    <w:rsid w:val="00517672"/>
    <w:rsid w:val="00520406"/>
    <w:rsid w:val="00520E43"/>
    <w:rsid w:val="005216A8"/>
    <w:rsid w:val="00521990"/>
    <w:rsid w:val="00521AA7"/>
    <w:rsid w:val="00522888"/>
    <w:rsid w:val="0052342F"/>
    <w:rsid w:val="00523912"/>
    <w:rsid w:val="00525505"/>
    <w:rsid w:val="00525DB4"/>
    <w:rsid w:val="0052740A"/>
    <w:rsid w:val="005303D3"/>
    <w:rsid w:val="005311CA"/>
    <w:rsid w:val="00531444"/>
    <w:rsid w:val="00534F14"/>
    <w:rsid w:val="00535CE7"/>
    <w:rsid w:val="00537146"/>
    <w:rsid w:val="005408ED"/>
    <w:rsid w:val="0054117B"/>
    <w:rsid w:val="005434D7"/>
    <w:rsid w:val="00543AD0"/>
    <w:rsid w:val="0054515C"/>
    <w:rsid w:val="00545AC6"/>
    <w:rsid w:val="00545FF9"/>
    <w:rsid w:val="00546CCF"/>
    <w:rsid w:val="0055058A"/>
    <w:rsid w:val="00550B0C"/>
    <w:rsid w:val="005537EC"/>
    <w:rsid w:val="00554A46"/>
    <w:rsid w:val="0055544A"/>
    <w:rsid w:val="005577F9"/>
    <w:rsid w:val="00560387"/>
    <w:rsid w:val="00564A2F"/>
    <w:rsid w:val="00567A8F"/>
    <w:rsid w:val="00570508"/>
    <w:rsid w:val="0057167A"/>
    <w:rsid w:val="00571A49"/>
    <w:rsid w:val="00574E0D"/>
    <w:rsid w:val="0057589A"/>
    <w:rsid w:val="00576921"/>
    <w:rsid w:val="00577310"/>
    <w:rsid w:val="0058300B"/>
    <w:rsid w:val="00583428"/>
    <w:rsid w:val="0058350E"/>
    <w:rsid w:val="005849D3"/>
    <w:rsid w:val="00584CCB"/>
    <w:rsid w:val="00586C53"/>
    <w:rsid w:val="00587F38"/>
    <w:rsid w:val="0059016B"/>
    <w:rsid w:val="005917FC"/>
    <w:rsid w:val="00591854"/>
    <w:rsid w:val="00592376"/>
    <w:rsid w:val="00593D68"/>
    <w:rsid w:val="005952E9"/>
    <w:rsid w:val="0059545F"/>
    <w:rsid w:val="00595BD5"/>
    <w:rsid w:val="00597849"/>
    <w:rsid w:val="005A1218"/>
    <w:rsid w:val="005A17E5"/>
    <w:rsid w:val="005A1C5F"/>
    <w:rsid w:val="005A7F6A"/>
    <w:rsid w:val="005B2D63"/>
    <w:rsid w:val="005B34C7"/>
    <w:rsid w:val="005B589E"/>
    <w:rsid w:val="005B5AFC"/>
    <w:rsid w:val="005B6AF2"/>
    <w:rsid w:val="005B7B53"/>
    <w:rsid w:val="005C0492"/>
    <w:rsid w:val="005C0AE2"/>
    <w:rsid w:val="005C1F39"/>
    <w:rsid w:val="005C2DC3"/>
    <w:rsid w:val="005C3233"/>
    <w:rsid w:val="005C3B18"/>
    <w:rsid w:val="005C3F22"/>
    <w:rsid w:val="005C5DE4"/>
    <w:rsid w:val="005C7730"/>
    <w:rsid w:val="005C7771"/>
    <w:rsid w:val="005D15F7"/>
    <w:rsid w:val="005D46BD"/>
    <w:rsid w:val="005D4FC5"/>
    <w:rsid w:val="005D4FD0"/>
    <w:rsid w:val="005D5525"/>
    <w:rsid w:val="005E0010"/>
    <w:rsid w:val="005E0873"/>
    <w:rsid w:val="005E10C0"/>
    <w:rsid w:val="005E2501"/>
    <w:rsid w:val="005E2FC7"/>
    <w:rsid w:val="005E4412"/>
    <w:rsid w:val="005E6A70"/>
    <w:rsid w:val="005F05AE"/>
    <w:rsid w:val="005F20C0"/>
    <w:rsid w:val="005F3849"/>
    <w:rsid w:val="005F43AF"/>
    <w:rsid w:val="005F4C0E"/>
    <w:rsid w:val="005F5020"/>
    <w:rsid w:val="005F66C7"/>
    <w:rsid w:val="005F7B58"/>
    <w:rsid w:val="006005BE"/>
    <w:rsid w:val="00600B6A"/>
    <w:rsid w:val="00603509"/>
    <w:rsid w:val="00603A56"/>
    <w:rsid w:val="00605701"/>
    <w:rsid w:val="00606092"/>
    <w:rsid w:val="00606A46"/>
    <w:rsid w:val="0061148E"/>
    <w:rsid w:val="006119A5"/>
    <w:rsid w:val="00611A0E"/>
    <w:rsid w:val="00612879"/>
    <w:rsid w:val="006131F5"/>
    <w:rsid w:val="006145C9"/>
    <w:rsid w:val="00615528"/>
    <w:rsid w:val="0061794C"/>
    <w:rsid w:val="00620D43"/>
    <w:rsid w:val="00621E18"/>
    <w:rsid w:val="006233C5"/>
    <w:rsid w:val="006241D3"/>
    <w:rsid w:val="00625AAE"/>
    <w:rsid w:val="0063086F"/>
    <w:rsid w:val="00631731"/>
    <w:rsid w:val="00631EEF"/>
    <w:rsid w:val="00632FEA"/>
    <w:rsid w:val="006334C4"/>
    <w:rsid w:val="0063397C"/>
    <w:rsid w:val="00637612"/>
    <w:rsid w:val="00637EEE"/>
    <w:rsid w:val="00637FD2"/>
    <w:rsid w:val="0064102D"/>
    <w:rsid w:val="0064155A"/>
    <w:rsid w:val="006418AA"/>
    <w:rsid w:val="00642064"/>
    <w:rsid w:val="006423AA"/>
    <w:rsid w:val="006439C3"/>
    <w:rsid w:val="0064642E"/>
    <w:rsid w:val="006471BF"/>
    <w:rsid w:val="006471C6"/>
    <w:rsid w:val="00647C09"/>
    <w:rsid w:val="0065196D"/>
    <w:rsid w:val="00651CE6"/>
    <w:rsid w:val="00654604"/>
    <w:rsid w:val="00655038"/>
    <w:rsid w:val="006555F5"/>
    <w:rsid w:val="006603F5"/>
    <w:rsid w:val="0066158A"/>
    <w:rsid w:val="00661C72"/>
    <w:rsid w:val="006636BE"/>
    <w:rsid w:val="00666498"/>
    <w:rsid w:val="0066777E"/>
    <w:rsid w:val="006715B9"/>
    <w:rsid w:val="00671AC0"/>
    <w:rsid w:val="00671B38"/>
    <w:rsid w:val="00672612"/>
    <w:rsid w:val="0067404C"/>
    <w:rsid w:val="0067687B"/>
    <w:rsid w:val="006816FD"/>
    <w:rsid w:val="00682DC8"/>
    <w:rsid w:val="00684C5F"/>
    <w:rsid w:val="00685531"/>
    <w:rsid w:val="00685BB9"/>
    <w:rsid w:val="00691879"/>
    <w:rsid w:val="00694ACC"/>
    <w:rsid w:val="00697FB2"/>
    <w:rsid w:val="006A2B1C"/>
    <w:rsid w:val="006A3B5C"/>
    <w:rsid w:val="006A704E"/>
    <w:rsid w:val="006A71E3"/>
    <w:rsid w:val="006B0863"/>
    <w:rsid w:val="006B19C4"/>
    <w:rsid w:val="006B2030"/>
    <w:rsid w:val="006B228F"/>
    <w:rsid w:val="006B3A55"/>
    <w:rsid w:val="006B475D"/>
    <w:rsid w:val="006B55EF"/>
    <w:rsid w:val="006C0217"/>
    <w:rsid w:val="006C0CBF"/>
    <w:rsid w:val="006C1628"/>
    <w:rsid w:val="006C29BC"/>
    <w:rsid w:val="006C2BD9"/>
    <w:rsid w:val="006C33D5"/>
    <w:rsid w:val="006C3CEE"/>
    <w:rsid w:val="006C62E5"/>
    <w:rsid w:val="006D08E2"/>
    <w:rsid w:val="006D10D8"/>
    <w:rsid w:val="006D11E7"/>
    <w:rsid w:val="006D138F"/>
    <w:rsid w:val="006D14AB"/>
    <w:rsid w:val="006D1D38"/>
    <w:rsid w:val="006D50E3"/>
    <w:rsid w:val="006D7BDF"/>
    <w:rsid w:val="006E0645"/>
    <w:rsid w:val="006E118F"/>
    <w:rsid w:val="006E1413"/>
    <w:rsid w:val="006E2BE9"/>
    <w:rsid w:val="006E3BB6"/>
    <w:rsid w:val="006E44EA"/>
    <w:rsid w:val="006E636A"/>
    <w:rsid w:val="006E68B7"/>
    <w:rsid w:val="006E7D04"/>
    <w:rsid w:val="006F3E8B"/>
    <w:rsid w:val="006F4251"/>
    <w:rsid w:val="006F670D"/>
    <w:rsid w:val="006F75ED"/>
    <w:rsid w:val="0070005B"/>
    <w:rsid w:val="00700BEC"/>
    <w:rsid w:val="0070149C"/>
    <w:rsid w:val="00701956"/>
    <w:rsid w:val="00704150"/>
    <w:rsid w:val="00705B01"/>
    <w:rsid w:val="00706225"/>
    <w:rsid w:val="00706F26"/>
    <w:rsid w:val="0070773B"/>
    <w:rsid w:val="00710B73"/>
    <w:rsid w:val="007148B7"/>
    <w:rsid w:val="007157D7"/>
    <w:rsid w:val="00715D31"/>
    <w:rsid w:val="007170D9"/>
    <w:rsid w:val="007170F1"/>
    <w:rsid w:val="00720ED4"/>
    <w:rsid w:val="007218E7"/>
    <w:rsid w:val="00721A5E"/>
    <w:rsid w:val="00726488"/>
    <w:rsid w:val="0072665B"/>
    <w:rsid w:val="00732389"/>
    <w:rsid w:val="007325B5"/>
    <w:rsid w:val="007329CB"/>
    <w:rsid w:val="007341C6"/>
    <w:rsid w:val="00734362"/>
    <w:rsid w:val="007345A8"/>
    <w:rsid w:val="0073521A"/>
    <w:rsid w:val="0073550F"/>
    <w:rsid w:val="00736531"/>
    <w:rsid w:val="00740195"/>
    <w:rsid w:val="00740771"/>
    <w:rsid w:val="00740B73"/>
    <w:rsid w:val="00742DEE"/>
    <w:rsid w:val="007474CD"/>
    <w:rsid w:val="00750AD3"/>
    <w:rsid w:val="00751440"/>
    <w:rsid w:val="00752288"/>
    <w:rsid w:val="00753713"/>
    <w:rsid w:val="00755855"/>
    <w:rsid w:val="007569E0"/>
    <w:rsid w:val="00756ED8"/>
    <w:rsid w:val="0075718E"/>
    <w:rsid w:val="007577DE"/>
    <w:rsid w:val="00760AC8"/>
    <w:rsid w:val="00761BDB"/>
    <w:rsid w:val="00762423"/>
    <w:rsid w:val="00764BB6"/>
    <w:rsid w:val="00765FF8"/>
    <w:rsid w:val="007666A5"/>
    <w:rsid w:val="00766F13"/>
    <w:rsid w:val="00776B16"/>
    <w:rsid w:val="00777BB0"/>
    <w:rsid w:val="00780375"/>
    <w:rsid w:val="00780BF2"/>
    <w:rsid w:val="00780D08"/>
    <w:rsid w:val="007832D5"/>
    <w:rsid w:val="00783505"/>
    <w:rsid w:val="0078371A"/>
    <w:rsid w:val="007853A3"/>
    <w:rsid w:val="00785ABF"/>
    <w:rsid w:val="00787246"/>
    <w:rsid w:val="00790618"/>
    <w:rsid w:val="00790F11"/>
    <w:rsid w:val="007916D4"/>
    <w:rsid w:val="00793FF4"/>
    <w:rsid w:val="00794E1A"/>
    <w:rsid w:val="0079627B"/>
    <w:rsid w:val="007A0490"/>
    <w:rsid w:val="007A6251"/>
    <w:rsid w:val="007A6997"/>
    <w:rsid w:val="007B08C0"/>
    <w:rsid w:val="007B1B1D"/>
    <w:rsid w:val="007B3AED"/>
    <w:rsid w:val="007B6126"/>
    <w:rsid w:val="007C0275"/>
    <w:rsid w:val="007C08B1"/>
    <w:rsid w:val="007C2040"/>
    <w:rsid w:val="007C27BB"/>
    <w:rsid w:val="007C4228"/>
    <w:rsid w:val="007C54F1"/>
    <w:rsid w:val="007C62A8"/>
    <w:rsid w:val="007C6E1B"/>
    <w:rsid w:val="007C72EA"/>
    <w:rsid w:val="007C743D"/>
    <w:rsid w:val="007D0813"/>
    <w:rsid w:val="007D0E21"/>
    <w:rsid w:val="007D1591"/>
    <w:rsid w:val="007D2579"/>
    <w:rsid w:val="007D2758"/>
    <w:rsid w:val="007D29DB"/>
    <w:rsid w:val="007D3B6E"/>
    <w:rsid w:val="007D403A"/>
    <w:rsid w:val="007D49D0"/>
    <w:rsid w:val="007D59F2"/>
    <w:rsid w:val="007E1009"/>
    <w:rsid w:val="007E2DDF"/>
    <w:rsid w:val="007E4A95"/>
    <w:rsid w:val="007F058E"/>
    <w:rsid w:val="007F09F3"/>
    <w:rsid w:val="007F10A4"/>
    <w:rsid w:val="007F1999"/>
    <w:rsid w:val="007F2F8B"/>
    <w:rsid w:val="007F33B5"/>
    <w:rsid w:val="007F477D"/>
    <w:rsid w:val="007F5FAB"/>
    <w:rsid w:val="007F7379"/>
    <w:rsid w:val="007F7F65"/>
    <w:rsid w:val="0080114C"/>
    <w:rsid w:val="008029A8"/>
    <w:rsid w:val="008037E9"/>
    <w:rsid w:val="00803927"/>
    <w:rsid w:val="00804074"/>
    <w:rsid w:val="008041B9"/>
    <w:rsid w:val="00804795"/>
    <w:rsid w:val="00810B52"/>
    <w:rsid w:val="00810FA0"/>
    <w:rsid w:val="00812280"/>
    <w:rsid w:val="00815782"/>
    <w:rsid w:val="00815DF4"/>
    <w:rsid w:val="00817327"/>
    <w:rsid w:val="0081746D"/>
    <w:rsid w:val="00821128"/>
    <w:rsid w:val="00821A1D"/>
    <w:rsid w:val="008272DA"/>
    <w:rsid w:val="00831110"/>
    <w:rsid w:val="008324FB"/>
    <w:rsid w:val="00832752"/>
    <w:rsid w:val="008335BA"/>
    <w:rsid w:val="00836DD0"/>
    <w:rsid w:val="00837791"/>
    <w:rsid w:val="00843FE6"/>
    <w:rsid w:val="00845D05"/>
    <w:rsid w:val="0084671D"/>
    <w:rsid w:val="00846E40"/>
    <w:rsid w:val="00850ACA"/>
    <w:rsid w:val="00852270"/>
    <w:rsid w:val="00854C73"/>
    <w:rsid w:val="00856490"/>
    <w:rsid w:val="00861028"/>
    <w:rsid w:val="00861CB5"/>
    <w:rsid w:val="00862144"/>
    <w:rsid w:val="008625D9"/>
    <w:rsid w:val="008633C7"/>
    <w:rsid w:val="00864046"/>
    <w:rsid w:val="0086459A"/>
    <w:rsid w:val="00866168"/>
    <w:rsid w:val="00866F5F"/>
    <w:rsid w:val="00870DC9"/>
    <w:rsid w:val="0087345F"/>
    <w:rsid w:val="00877161"/>
    <w:rsid w:val="008802AF"/>
    <w:rsid w:val="00880DBD"/>
    <w:rsid w:val="0088106D"/>
    <w:rsid w:val="00881B20"/>
    <w:rsid w:val="0088291A"/>
    <w:rsid w:val="00887867"/>
    <w:rsid w:val="0089008D"/>
    <w:rsid w:val="00890358"/>
    <w:rsid w:val="0089091E"/>
    <w:rsid w:val="0089194E"/>
    <w:rsid w:val="00891E5D"/>
    <w:rsid w:val="0089322D"/>
    <w:rsid w:val="00893E0D"/>
    <w:rsid w:val="008942BC"/>
    <w:rsid w:val="00894A93"/>
    <w:rsid w:val="00895591"/>
    <w:rsid w:val="008963D9"/>
    <w:rsid w:val="0089777B"/>
    <w:rsid w:val="008A0A9C"/>
    <w:rsid w:val="008A248E"/>
    <w:rsid w:val="008A2E69"/>
    <w:rsid w:val="008A4CCD"/>
    <w:rsid w:val="008A5186"/>
    <w:rsid w:val="008A64AA"/>
    <w:rsid w:val="008A67DD"/>
    <w:rsid w:val="008B42CB"/>
    <w:rsid w:val="008B4CAD"/>
    <w:rsid w:val="008B5657"/>
    <w:rsid w:val="008C0C59"/>
    <w:rsid w:val="008C136E"/>
    <w:rsid w:val="008C2F7E"/>
    <w:rsid w:val="008C47DF"/>
    <w:rsid w:val="008C48EE"/>
    <w:rsid w:val="008C4E6D"/>
    <w:rsid w:val="008C65CB"/>
    <w:rsid w:val="008D044D"/>
    <w:rsid w:val="008D0D57"/>
    <w:rsid w:val="008D1A3A"/>
    <w:rsid w:val="008D273A"/>
    <w:rsid w:val="008D2DA9"/>
    <w:rsid w:val="008D57E9"/>
    <w:rsid w:val="008D65F1"/>
    <w:rsid w:val="008D68ED"/>
    <w:rsid w:val="008D69F8"/>
    <w:rsid w:val="008D6A96"/>
    <w:rsid w:val="008D6FD5"/>
    <w:rsid w:val="008E2B7E"/>
    <w:rsid w:val="008E31AE"/>
    <w:rsid w:val="008E585E"/>
    <w:rsid w:val="008F024C"/>
    <w:rsid w:val="008F11AC"/>
    <w:rsid w:val="008F19ED"/>
    <w:rsid w:val="008F368C"/>
    <w:rsid w:val="008F3B95"/>
    <w:rsid w:val="008F4A21"/>
    <w:rsid w:val="008F6AC3"/>
    <w:rsid w:val="008F7C07"/>
    <w:rsid w:val="00901190"/>
    <w:rsid w:val="00901B09"/>
    <w:rsid w:val="00902157"/>
    <w:rsid w:val="00902A93"/>
    <w:rsid w:val="00903DF0"/>
    <w:rsid w:val="00904F7C"/>
    <w:rsid w:val="00906729"/>
    <w:rsid w:val="0091015B"/>
    <w:rsid w:val="00911B2D"/>
    <w:rsid w:val="009135F1"/>
    <w:rsid w:val="00913BCF"/>
    <w:rsid w:val="00914629"/>
    <w:rsid w:val="00921F40"/>
    <w:rsid w:val="00922ACD"/>
    <w:rsid w:val="00923B4F"/>
    <w:rsid w:val="009240A9"/>
    <w:rsid w:val="00925A3F"/>
    <w:rsid w:val="00925CB8"/>
    <w:rsid w:val="0093098D"/>
    <w:rsid w:val="00930BD4"/>
    <w:rsid w:val="0093333F"/>
    <w:rsid w:val="00933491"/>
    <w:rsid w:val="0093368F"/>
    <w:rsid w:val="00936AB5"/>
    <w:rsid w:val="00936C2E"/>
    <w:rsid w:val="00940967"/>
    <w:rsid w:val="00941A29"/>
    <w:rsid w:val="009425E3"/>
    <w:rsid w:val="00942810"/>
    <w:rsid w:val="00942C13"/>
    <w:rsid w:val="00943154"/>
    <w:rsid w:val="00943E1C"/>
    <w:rsid w:val="00944ED8"/>
    <w:rsid w:val="00945A4B"/>
    <w:rsid w:val="0094663B"/>
    <w:rsid w:val="0095045B"/>
    <w:rsid w:val="00950906"/>
    <w:rsid w:val="00951485"/>
    <w:rsid w:val="00952652"/>
    <w:rsid w:val="00952A16"/>
    <w:rsid w:val="00952A6F"/>
    <w:rsid w:val="009534D8"/>
    <w:rsid w:val="00953A4F"/>
    <w:rsid w:val="0095551E"/>
    <w:rsid w:val="00955F76"/>
    <w:rsid w:val="00960A8B"/>
    <w:rsid w:val="00960F09"/>
    <w:rsid w:val="0096241D"/>
    <w:rsid w:val="00963BD8"/>
    <w:rsid w:val="00964DC1"/>
    <w:rsid w:val="00965D08"/>
    <w:rsid w:val="00966496"/>
    <w:rsid w:val="00971C94"/>
    <w:rsid w:val="00972D8A"/>
    <w:rsid w:val="00975C7D"/>
    <w:rsid w:val="00976C57"/>
    <w:rsid w:val="0097720B"/>
    <w:rsid w:val="00980AF7"/>
    <w:rsid w:val="009830E4"/>
    <w:rsid w:val="009844A7"/>
    <w:rsid w:val="0098537F"/>
    <w:rsid w:val="0098619E"/>
    <w:rsid w:val="00987140"/>
    <w:rsid w:val="00987231"/>
    <w:rsid w:val="009878F8"/>
    <w:rsid w:val="009927E4"/>
    <w:rsid w:val="00994B68"/>
    <w:rsid w:val="00994DF6"/>
    <w:rsid w:val="009950BA"/>
    <w:rsid w:val="009954C1"/>
    <w:rsid w:val="009955EB"/>
    <w:rsid w:val="009959E6"/>
    <w:rsid w:val="009A2549"/>
    <w:rsid w:val="009A2DF2"/>
    <w:rsid w:val="009A4A3B"/>
    <w:rsid w:val="009A75E2"/>
    <w:rsid w:val="009A7601"/>
    <w:rsid w:val="009A77EB"/>
    <w:rsid w:val="009A7B12"/>
    <w:rsid w:val="009A7C57"/>
    <w:rsid w:val="009B01FF"/>
    <w:rsid w:val="009B2F02"/>
    <w:rsid w:val="009B3754"/>
    <w:rsid w:val="009B3799"/>
    <w:rsid w:val="009B5DD3"/>
    <w:rsid w:val="009B60E0"/>
    <w:rsid w:val="009C101F"/>
    <w:rsid w:val="009C412C"/>
    <w:rsid w:val="009C730B"/>
    <w:rsid w:val="009D072B"/>
    <w:rsid w:val="009D1C0F"/>
    <w:rsid w:val="009D1CDB"/>
    <w:rsid w:val="009D3EA8"/>
    <w:rsid w:val="009D47A5"/>
    <w:rsid w:val="009D6113"/>
    <w:rsid w:val="009E267F"/>
    <w:rsid w:val="009E3113"/>
    <w:rsid w:val="009E33CD"/>
    <w:rsid w:val="009E4B1E"/>
    <w:rsid w:val="009E5490"/>
    <w:rsid w:val="009E7AFC"/>
    <w:rsid w:val="009E7DCA"/>
    <w:rsid w:val="009E7DEC"/>
    <w:rsid w:val="009F2210"/>
    <w:rsid w:val="009F2998"/>
    <w:rsid w:val="009F418C"/>
    <w:rsid w:val="009F4A8F"/>
    <w:rsid w:val="009F4E95"/>
    <w:rsid w:val="009F5BA2"/>
    <w:rsid w:val="00A01FD8"/>
    <w:rsid w:val="00A026D5"/>
    <w:rsid w:val="00A02A4B"/>
    <w:rsid w:val="00A02FBC"/>
    <w:rsid w:val="00A06490"/>
    <w:rsid w:val="00A06DF6"/>
    <w:rsid w:val="00A07195"/>
    <w:rsid w:val="00A1306C"/>
    <w:rsid w:val="00A15120"/>
    <w:rsid w:val="00A176B2"/>
    <w:rsid w:val="00A17E88"/>
    <w:rsid w:val="00A17EC1"/>
    <w:rsid w:val="00A20786"/>
    <w:rsid w:val="00A2103D"/>
    <w:rsid w:val="00A22E7D"/>
    <w:rsid w:val="00A26253"/>
    <w:rsid w:val="00A266C5"/>
    <w:rsid w:val="00A267BF"/>
    <w:rsid w:val="00A274E8"/>
    <w:rsid w:val="00A31B3F"/>
    <w:rsid w:val="00A31E26"/>
    <w:rsid w:val="00A34300"/>
    <w:rsid w:val="00A3552C"/>
    <w:rsid w:val="00A360A9"/>
    <w:rsid w:val="00A363ED"/>
    <w:rsid w:val="00A40560"/>
    <w:rsid w:val="00A422DC"/>
    <w:rsid w:val="00A42CF0"/>
    <w:rsid w:val="00A43C0B"/>
    <w:rsid w:val="00A50800"/>
    <w:rsid w:val="00A52A72"/>
    <w:rsid w:val="00A5382F"/>
    <w:rsid w:val="00A53C3A"/>
    <w:rsid w:val="00A55619"/>
    <w:rsid w:val="00A55ED5"/>
    <w:rsid w:val="00A56725"/>
    <w:rsid w:val="00A6128F"/>
    <w:rsid w:val="00A615A8"/>
    <w:rsid w:val="00A622E5"/>
    <w:rsid w:val="00A62581"/>
    <w:rsid w:val="00A639A7"/>
    <w:rsid w:val="00A67637"/>
    <w:rsid w:val="00A67E1C"/>
    <w:rsid w:val="00A70731"/>
    <w:rsid w:val="00A7115B"/>
    <w:rsid w:val="00A728F6"/>
    <w:rsid w:val="00A75FC3"/>
    <w:rsid w:val="00A763CB"/>
    <w:rsid w:val="00A76ADD"/>
    <w:rsid w:val="00A770EA"/>
    <w:rsid w:val="00A8183F"/>
    <w:rsid w:val="00A82395"/>
    <w:rsid w:val="00A8429F"/>
    <w:rsid w:val="00A877CB"/>
    <w:rsid w:val="00A87D61"/>
    <w:rsid w:val="00A9147C"/>
    <w:rsid w:val="00A914C9"/>
    <w:rsid w:val="00A91550"/>
    <w:rsid w:val="00A97816"/>
    <w:rsid w:val="00A97FC2"/>
    <w:rsid w:val="00AA3A9B"/>
    <w:rsid w:val="00AA4C5B"/>
    <w:rsid w:val="00AA5333"/>
    <w:rsid w:val="00AA62B2"/>
    <w:rsid w:val="00AA6B00"/>
    <w:rsid w:val="00AA76BB"/>
    <w:rsid w:val="00AB13BB"/>
    <w:rsid w:val="00AB18E0"/>
    <w:rsid w:val="00AB2B16"/>
    <w:rsid w:val="00AB502F"/>
    <w:rsid w:val="00AC0239"/>
    <w:rsid w:val="00AC0638"/>
    <w:rsid w:val="00AC0683"/>
    <w:rsid w:val="00AC1965"/>
    <w:rsid w:val="00AC19B2"/>
    <w:rsid w:val="00AC1C96"/>
    <w:rsid w:val="00AC1D7F"/>
    <w:rsid w:val="00AC30F3"/>
    <w:rsid w:val="00AC4E1E"/>
    <w:rsid w:val="00AC64F1"/>
    <w:rsid w:val="00AC7961"/>
    <w:rsid w:val="00AC7FF7"/>
    <w:rsid w:val="00AD037D"/>
    <w:rsid w:val="00AD0491"/>
    <w:rsid w:val="00AD151D"/>
    <w:rsid w:val="00AD1953"/>
    <w:rsid w:val="00AD1B36"/>
    <w:rsid w:val="00AD1D8E"/>
    <w:rsid w:val="00AD3C6F"/>
    <w:rsid w:val="00AD6E54"/>
    <w:rsid w:val="00AD7D52"/>
    <w:rsid w:val="00AD7E8F"/>
    <w:rsid w:val="00AE0013"/>
    <w:rsid w:val="00AE14F1"/>
    <w:rsid w:val="00AE23FE"/>
    <w:rsid w:val="00AE29B1"/>
    <w:rsid w:val="00AE3718"/>
    <w:rsid w:val="00AE42A2"/>
    <w:rsid w:val="00AE4445"/>
    <w:rsid w:val="00AE51B7"/>
    <w:rsid w:val="00AE5D35"/>
    <w:rsid w:val="00AE7EF0"/>
    <w:rsid w:val="00AF0114"/>
    <w:rsid w:val="00AF0B65"/>
    <w:rsid w:val="00AF1287"/>
    <w:rsid w:val="00AF28E9"/>
    <w:rsid w:val="00AF4351"/>
    <w:rsid w:val="00AF4D6C"/>
    <w:rsid w:val="00AF5415"/>
    <w:rsid w:val="00AF6574"/>
    <w:rsid w:val="00AF6A03"/>
    <w:rsid w:val="00AF6F25"/>
    <w:rsid w:val="00B0013F"/>
    <w:rsid w:val="00B01694"/>
    <w:rsid w:val="00B04B9E"/>
    <w:rsid w:val="00B0531B"/>
    <w:rsid w:val="00B055FF"/>
    <w:rsid w:val="00B05645"/>
    <w:rsid w:val="00B06359"/>
    <w:rsid w:val="00B0680D"/>
    <w:rsid w:val="00B117FC"/>
    <w:rsid w:val="00B121B9"/>
    <w:rsid w:val="00B12D6B"/>
    <w:rsid w:val="00B133D4"/>
    <w:rsid w:val="00B1341C"/>
    <w:rsid w:val="00B15B1E"/>
    <w:rsid w:val="00B17C1D"/>
    <w:rsid w:val="00B211F2"/>
    <w:rsid w:val="00B2131A"/>
    <w:rsid w:val="00B21432"/>
    <w:rsid w:val="00B214D5"/>
    <w:rsid w:val="00B215D3"/>
    <w:rsid w:val="00B23425"/>
    <w:rsid w:val="00B239CD"/>
    <w:rsid w:val="00B24827"/>
    <w:rsid w:val="00B260C5"/>
    <w:rsid w:val="00B26755"/>
    <w:rsid w:val="00B26989"/>
    <w:rsid w:val="00B30BD9"/>
    <w:rsid w:val="00B30FC6"/>
    <w:rsid w:val="00B35E06"/>
    <w:rsid w:val="00B363DE"/>
    <w:rsid w:val="00B3719B"/>
    <w:rsid w:val="00B40851"/>
    <w:rsid w:val="00B42341"/>
    <w:rsid w:val="00B45FDC"/>
    <w:rsid w:val="00B46E0D"/>
    <w:rsid w:val="00B46ED1"/>
    <w:rsid w:val="00B50D0E"/>
    <w:rsid w:val="00B513EE"/>
    <w:rsid w:val="00B51C42"/>
    <w:rsid w:val="00B52EDE"/>
    <w:rsid w:val="00B535B7"/>
    <w:rsid w:val="00B55B8E"/>
    <w:rsid w:val="00B55FEA"/>
    <w:rsid w:val="00B56904"/>
    <w:rsid w:val="00B60651"/>
    <w:rsid w:val="00B60CF8"/>
    <w:rsid w:val="00B60E06"/>
    <w:rsid w:val="00B60FEB"/>
    <w:rsid w:val="00B639A9"/>
    <w:rsid w:val="00B64D7F"/>
    <w:rsid w:val="00B65298"/>
    <w:rsid w:val="00B65746"/>
    <w:rsid w:val="00B66E83"/>
    <w:rsid w:val="00B7021D"/>
    <w:rsid w:val="00B71CFF"/>
    <w:rsid w:val="00B71DFA"/>
    <w:rsid w:val="00B72FDD"/>
    <w:rsid w:val="00B732B6"/>
    <w:rsid w:val="00B73547"/>
    <w:rsid w:val="00B7519B"/>
    <w:rsid w:val="00B776B1"/>
    <w:rsid w:val="00B81032"/>
    <w:rsid w:val="00B81488"/>
    <w:rsid w:val="00B8156E"/>
    <w:rsid w:val="00B82096"/>
    <w:rsid w:val="00B82458"/>
    <w:rsid w:val="00B83509"/>
    <w:rsid w:val="00B8363C"/>
    <w:rsid w:val="00B83924"/>
    <w:rsid w:val="00B854CC"/>
    <w:rsid w:val="00B85763"/>
    <w:rsid w:val="00B8578A"/>
    <w:rsid w:val="00B857A5"/>
    <w:rsid w:val="00B86B4E"/>
    <w:rsid w:val="00B874F5"/>
    <w:rsid w:val="00B917C2"/>
    <w:rsid w:val="00B920A9"/>
    <w:rsid w:val="00B94F9B"/>
    <w:rsid w:val="00B959E3"/>
    <w:rsid w:val="00BA3505"/>
    <w:rsid w:val="00BA3878"/>
    <w:rsid w:val="00BA447D"/>
    <w:rsid w:val="00BA46C8"/>
    <w:rsid w:val="00BA5996"/>
    <w:rsid w:val="00BB3100"/>
    <w:rsid w:val="00BB33A1"/>
    <w:rsid w:val="00BB7D17"/>
    <w:rsid w:val="00BC13E5"/>
    <w:rsid w:val="00BC2A5D"/>
    <w:rsid w:val="00BC3D5F"/>
    <w:rsid w:val="00BC3D95"/>
    <w:rsid w:val="00BC5470"/>
    <w:rsid w:val="00BC5E23"/>
    <w:rsid w:val="00BC68B0"/>
    <w:rsid w:val="00BC6E06"/>
    <w:rsid w:val="00BD0131"/>
    <w:rsid w:val="00BD1237"/>
    <w:rsid w:val="00BD159E"/>
    <w:rsid w:val="00BD309C"/>
    <w:rsid w:val="00BD30B5"/>
    <w:rsid w:val="00BD3250"/>
    <w:rsid w:val="00BD4CDC"/>
    <w:rsid w:val="00BD71BC"/>
    <w:rsid w:val="00BD7EC2"/>
    <w:rsid w:val="00BE0764"/>
    <w:rsid w:val="00BE1FDE"/>
    <w:rsid w:val="00BE2428"/>
    <w:rsid w:val="00BE27E4"/>
    <w:rsid w:val="00BE3148"/>
    <w:rsid w:val="00BE3E43"/>
    <w:rsid w:val="00BE5BFF"/>
    <w:rsid w:val="00BE68A1"/>
    <w:rsid w:val="00BE75F1"/>
    <w:rsid w:val="00BE79E5"/>
    <w:rsid w:val="00BF0565"/>
    <w:rsid w:val="00BF0868"/>
    <w:rsid w:val="00BF0E59"/>
    <w:rsid w:val="00BF111E"/>
    <w:rsid w:val="00BF12F6"/>
    <w:rsid w:val="00BF2A21"/>
    <w:rsid w:val="00BF3C8D"/>
    <w:rsid w:val="00BF3E63"/>
    <w:rsid w:val="00BF460E"/>
    <w:rsid w:val="00C023E7"/>
    <w:rsid w:val="00C03405"/>
    <w:rsid w:val="00C03847"/>
    <w:rsid w:val="00C04BBE"/>
    <w:rsid w:val="00C108A2"/>
    <w:rsid w:val="00C10BCE"/>
    <w:rsid w:val="00C15827"/>
    <w:rsid w:val="00C20BB6"/>
    <w:rsid w:val="00C225EB"/>
    <w:rsid w:val="00C23272"/>
    <w:rsid w:val="00C24FB4"/>
    <w:rsid w:val="00C25D90"/>
    <w:rsid w:val="00C26529"/>
    <w:rsid w:val="00C3075F"/>
    <w:rsid w:val="00C328C6"/>
    <w:rsid w:val="00C34FEF"/>
    <w:rsid w:val="00C350B0"/>
    <w:rsid w:val="00C40BE8"/>
    <w:rsid w:val="00C40D78"/>
    <w:rsid w:val="00C41A07"/>
    <w:rsid w:val="00C41D80"/>
    <w:rsid w:val="00C41EA4"/>
    <w:rsid w:val="00C422F6"/>
    <w:rsid w:val="00C4360F"/>
    <w:rsid w:val="00C45CB7"/>
    <w:rsid w:val="00C50BBB"/>
    <w:rsid w:val="00C51ADD"/>
    <w:rsid w:val="00C5213D"/>
    <w:rsid w:val="00C52647"/>
    <w:rsid w:val="00C5297D"/>
    <w:rsid w:val="00C5546D"/>
    <w:rsid w:val="00C559C2"/>
    <w:rsid w:val="00C559E6"/>
    <w:rsid w:val="00C60696"/>
    <w:rsid w:val="00C607AF"/>
    <w:rsid w:val="00C61956"/>
    <w:rsid w:val="00C62440"/>
    <w:rsid w:val="00C6290D"/>
    <w:rsid w:val="00C63D74"/>
    <w:rsid w:val="00C640F9"/>
    <w:rsid w:val="00C64DB2"/>
    <w:rsid w:val="00C66B77"/>
    <w:rsid w:val="00C705E7"/>
    <w:rsid w:val="00C72064"/>
    <w:rsid w:val="00C76805"/>
    <w:rsid w:val="00C80BED"/>
    <w:rsid w:val="00C837D5"/>
    <w:rsid w:val="00C83F68"/>
    <w:rsid w:val="00C8661C"/>
    <w:rsid w:val="00C914F7"/>
    <w:rsid w:val="00C92C39"/>
    <w:rsid w:val="00C9531C"/>
    <w:rsid w:val="00C959B7"/>
    <w:rsid w:val="00C95F16"/>
    <w:rsid w:val="00C960DA"/>
    <w:rsid w:val="00C97A78"/>
    <w:rsid w:val="00C97ED0"/>
    <w:rsid w:val="00CA1A8D"/>
    <w:rsid w:val="00CA22D1"/>
    <w:rsid w:val="00CA49D6"/>
    <w:rsid w:val="00CA5DEE"/>
    <w:rsid w:val="00CA6BDA"/>
    <w:rsid w:val="00CA6E08"/>
    <w:rsid w:val="00CB175F"/>
    <w:rsid w:val="00CB1B49"/>
    <w:rsid w:val="00CB1BA9"/>
    <w:rsid w:val="00CB388B"/>
    <w:rsid w:val="00CB4F37"/>
    <w:rsid w:val="00CB6891"/>
    <w:rsid w:val="00CB7CE8"/>
    <w:rsid w:val="00CC00A3"/>
    <w:rsid w:val="00CC0781"/>
    <w:rsid w:val="00CC11E5"/>
    <w:rsid w:val="00CC1D25"/>
    <w:rsid w:val="00CC3518"/>
    <w:rsid w:val="00CC47FD"/>
    <w:rsid w:val="00CC6CA6"/>
    <w:rsid w:val="00CD05EA"/>
    <w:rsid w:val="00CD07E8"/>
    <w:rsid w:val="00CD2515"/>
    <w:rsid w:val="00CD46E3"/>
    <w:rsid w:val="00CD4818"/>
    <w:rsid w:val="00CD51B8"/>
    <w:rsid w:val="00CD5F96"/>
    <w:rsid w:val="00CD71FE"/>
    <w:rsid w:val="00CD7212"/>
    <w:rsid w:val="00CE2A36"/>
    <w:rsid w:val="00CE39CC"/>
    <w:rsid w:val="00CE4199"/>
    <w:rsid w:val="00CE443B"/>
    <w:rsid w:val="00CE4862"/>
    <w:rsid w:val="00CE6355"/>
    <w:rsid w:val="00CF17EC"/>
    <w:rsid w:val="00CF1AB8"/>
    <w:rsid w:val="00CF3334"/>
    <w:rsid w:val="00CF4754"/>
    <w:rsid w:val="00CF5C81"/>
    <w:rsid w:val="00D012B6"/>
    <w:rsid w:val="00D02069"/>
    <w:rsid w:val="00D03BEB"/>
    <w:rsid w:val="00D03CA0"/>
    <w:rsid w:val="00D04983"/>
    <w:rsid w:val="00D06079"/>
    <w:rsid w:val="00D07B39"/>
    <w:rsid w:val="00D11389"/>
    <w:rsid w:val="00D12B23"/>
    <w:rsid w:val="00D12DE0"/>
    <w:rsid w:val="00D138E0"/>
    <w:rsid w:val="00D142B7"/>
    <w:rsid w:val="00D16621"/>
    <w:rsid w:val="00D16B3A"/>
    <w:rsid w:val="00D20B44"/>
    <w:rsid w:val="00D20D75"/>
    <w:rsid w:val="00D239CB"/>
    <w:rsid w:val="00D24658"/>
    <w:rsid w:val="00D25DC1"/>
    <w:rsid w:val="00D26A01"/>
    <w:rsid w:val="00D2718C"/>
    <w:rsid w:val="00D311ED"/>
    <w:rsid w:val="00D3154B"/>
    <w:rsid w:val="00D31B2D"/>
    <w:rsid w:val="00D3286B"/>
    <w:rsid w:val="00D32F3F"/>
    <w:rsid w:val="00D35A85"/>
    <w:rsid w:val="00D36ECB"/>
    <w:rsid w:val="00D400D0"/>
    <w:rsid w:val="00D44064"/>
    <w:rsid w:val="00D44677"/>
    <w:rsid w:val="00D471E9"/>
    <w:rsid w:val="00D50BB7"/>
    <w:rsid w:val="00D5133F"/>
    <w:rsid w:val="00D51F59"/>
    <w:rsid w:val="00D528A8"/>
    <w:rsid w:val="00D555FE"/>
    <w:rsid w:val="00D56045"/>
    <w:rsid w:val="00D577C9"/>
    <w:rsid w:val="00D57C08"/>
    <w:rsid w:val="00D60653"/>
    <w:rsid w:val="00D65116"/>
    <w:rsid w:val="00D6552E"/>
    <w:rsid w:val="00D6734F"/>
    <w:rsid w:val="00D72408"/>
    <w:rsid w:val="00D7280E"/>
    <w:rsid w:val="00D72CAC"/>
    <w:rsid w:val="00D73888"/>
    <w:rsid w:val="00D74F59"/>
    <w:rsid w:val="00D75263"/>
    <w:rsid w:val="00D8220B"/>
    <w:rsid w:val="00D82BE7"/>
    <w:rsid w:val="00D839AD"/>
    <w:rsid w:val="00D84B93"/>
    <w:rsid w:val="00D9028B"/>
    <w:rsid w:val="00D9171B"/>
    <w:rsid w:val="00D91AE8"/>
    <w:rsid w:val="00DA0FF2"/>
    <w:rsid w:val="00DA2157"/>
    <w:rsid w:val="00DA4FEE"/>
    <w:rsid w:val="00DA558A"/>
    <w:rsid w:val="00DA7A8F"/>
    <w:rsid w:val="00DB12DC"/>
    <w:rsid w:val="00DB1768"/>
    <w:rsid w:val="00DB18C0"/>
    <w:rsid w:val="00DB3273"/>
    <w:rsid w:val="00DB3331"/>
    <w:rsid w:val="00DB4D39"/>
    <w:rsid w:val="00DB6D8C"/>
    <w:rsid w:val="00DB6FFC"/>
    <w:rsid w:val="00DB70A8"/>
    <w:rsid w:val="00DB76DA"/>
    <w:rsid w:val="00DC130A"/>
    <w:rsid w:val="00DC146B"/>
    <w:rsid w:val="00DC2B0F"/>
    <w:rsid w:val="00DC3DFB"/>
    <w:rsid w:val="00DC4844"/>
    <w:rsid w:val="00DC5CD2"/>
    <w:rsid w:val="00DC5D49"/>
    <w:rsid w:val="00DC6919"/>
    <w:rsid w:val="00DC6977"/>
    <w:rsid w:val="00DC798D"/>
    <w:rsid w:val="00DC7F88"/>
    <w:rsid w:val="00DC7FAD"/>
    <w:rsid w:val="00DD1E1F"/>
    <w:rsid w:val="00DD24DA"/>
    <w:rsid w:val="00DD2A78"/>
    <w:rsid w:val="00DD2C1A"/>
    <w:rsid w:val="00DD2EA8"/>
    <w:rsid w:val="00DD3A0B"/>
    <w:rsid w:val="00DD3E87"/>
    <w:rsid w:val="00DD6089"/>
    <w:rsid w:val="00DD60BC"/>
    <w:rsid w:val="00DE1305"/>
    <w:rsid w:val="00DE1E98"/>
    <w:rsid w:val="00DE2381"/>
    <w:rsid w:val="00DE2B59"/>
    <w:rsid w:val="00DE4CD0"/>
    <w:rsid w:val="00DE4F39"/>
    <w:rsid w:val="00DE5531"/>
    <w:rsid w:val="00DF0310"/>
    <w:rsid w:val="00DF28D3"/>
    <w:rsid w:val="00DF3038"/>
    <w:rsid w:val="00DF3E6E"/>
    <w:rsid w:val="00DF3EC4"/>
    <w:rsid w:val="00DF60D9"/>
    <w:rsid w:val="00DF618A"/>
    <w:rsid w:val="00DF6362"/>
    <w:rsid w:val="00DF6AB1"/>
    <w:rsid w:val="00DF6EE1"/>
    <w:rsid w:val="00DF744B"/>
    <w:rsid w:val="00E00713"/>
    <w:rsid w:val="00E00C7C"/>
    <w:rsid w:val="00E048AD"/>
    <w:rsid w:val="00E054DC"/>
    <w:rsid w:val="00E0600D"/>
    <w:rsid w:val="00E064E6"/>
    <w:rsid w:val="00E0724E"/>
    <w:rsid w:val="00E07EE2"/>
    <w:rsid w:val="00E102DB"/>
    <w:rsid w:val="00E11A78"/>
    <w:rsid w:val="00E12A85"/>
    <w:rsid w:val="00E135AA"/>
    <w:rsid w:val="00E13AF7"/>
    <w:rsid w:val="00E144F2"/>
    <w:rsid w:val="00E14BDC"/>
    <w:rsid w:val="00E167B6"/>
    <w:rsid w:val="00E16EEA"/>
    <w:rsid w:val="00E16FFA"/>
    <w:rsid w:val="00E17394"/>
    <w:rsid w:val="00E1739F"/>
    <w:rsid w:val="00E178C9"/>
    <w:rsid w:val="00E20926"/>
    <w:rsid w:val="00E21826"/>
    <w:rsid w:val="00E22DCC"/>
    <w:rsid w:val="00E25557"/>
    <w:rsid w:val="00E25C10"/>
    <w:rsid w:val="00E3015F"/>
    <w:rsid w:val="00E30C0E"/>
    <w:rsid w:val="00E30E91"/>
    <w:rsid w:val="00E30EE9"/>
    <w:rsid w:val="00E33F7F"/>
    <w:rsid w:val="00E35AFB"/>
    <w:rsid w:val="00E42EF6"/>
    <w:rsid w:val="00E43041"/>
    <w:rsid w:val="00E447C0"/>
    <w:rsid w:val="00E45161"/>
    <w:rsid w:val="00E4685A"/>
    <w:rsid w:val="00E468BD"/>
    <w:rsid w:val="00E46B39"/>
    <w:rsid w:val="00E475C3"/>
    <w:rsid w:val="00E47CA6"/>
    <w:rsid w:val="00E50714"/>
    <w:rsid w:val="00E508C2"/>
    <w:rsid w:val="00E539F5"/>
    <w:rsid w:val="00E5437E"/>
    <w:rsid w:val="00E558BD"/>
    <w:rsid w:val="00E5754E"/>
    <w:rsid w:val="00E577B7"/>
    <w:rsid w:val="00E57BAD"/>
    <w:rsid w:val="00E6065D"/>
    <w:rsid w:val="00E6087A"/>
    <w:rsid w:val="00E60DE4"/>
    <w:rsid w:val="00E6252B"/>
    <w:rsid w:val="00E62C96"/>
    <w:rsid w:val="00E63250"/>
    <w:rsid w:val="00E6517E"/>
    <w:rsid w:val="00E65A8D"/>
    <w:rsid w:val="00E65E1D"/>
    <w:rsid w:val="00E66159"/>
    <w:rsid w:val="00E66870"/>
    <w:rsid w:val="00E66DEB"/>
    <w:rsid w:val="00E670AA"/>
    <w:rsid w:val="00E67FF3"/>
    <w:rsid w:val="00E7151B"/>
    <w:rsid w:val="00E719EC"/>
    <w:rsid w:val="00E71F94"/>
    <w:rsid w:val="00E72DF6"/>
    <w:rsid w:val="00E73341"/>
    <w:rsid w:val="00E74209"/>
    <w:rsid w:val="00E76E36"/>
    <w:rsid w:val="00E770CF"/>
    <w:rsid w:val="00E77F75"/>
    <w:rsid w:val="00E812BE"/>
    <w:rsid w:val="00E8211C"/>
    <w:rsid w:val="00E84E0B"/>
    <w:rsid w:val="00E85780"/>
    <w:rsid w:val="00E86B71"/>
    <w:rsid w:val="00E87392"/>
    <w:rsid w:val="00E97BB6"/>
    <w:rsid w:val="00EA1633"/>
    <w:rsid w:val="00EA16CC"/>
    <w:rsid w:val="00EA16E4"/>
    <w:rsid w:val="00EA440D"/>
    <w:rsid w:val="00EA44E3"/>
    <w:rsid w:val="00EA4F55"/>
    <w:rsid w:val="00EA574B"/>
    <w:rsid w:val="00EA7AE0"/>
    <w:rsid w:val="00EB0C2D"/>
    <w:rsid w:val="00EB0F4B"/>
    <w:rsid w:val="00EB1161"/>
    <w:rsid w:val="00EB25A4"/>
    <w:rsid w:val="00EB601D"/>
    <w:rsid w:val="00EB6DA8"/>
    <w:rsid w:val="00EC03C0"/>
    <w:rsid w:val="00EC1003"/>
    <w:rsid w:val="00EC14E2"/>
    <w:rsid w:val="00EC1727"/>
    <w:rsid w:val="00EC2475"/>
    <w:rsid w:val="00EC2CAA"/>
    <w:rsid w:val="00EC4175"/>
    <w:rsid w:val="00ED15C7"/>
    <w:rsid w:val="00ED24A4"/>
    <w:rsid w:val="00ED3085"/>
    <w:rsid w:val="00ED3099"/>
    <w:rsid w:val="00ED31CE"/>
    <w:rsid w:val="00ED343A"/>
    <w:rsid w:val="00ED4867"/>
    <w:rsid w:val="00ED6186"/>
    <w:rsid w:val="00ED7AE8"/>
    <w:rsid w:val="00EE01C3"/>
    <w:rsid w:val="00EE16F1"/>
    <w:rsid w:val="00EE18EC"/>
    <w:rsid w:val="00EE31FD"/>
    <w:rsid w:val="00EE3CD6"/>
    <w:rsid w:val="00EE49FB"/>
    <w:rsid w:val="00EE4D91"/>
    <w:rsid w:val="00EE58B9"/>
    <w:rsid w:val="00EE72FA"/>
    <w:rsid w:val="00EE7874"/>
    <w:rsid w:val="00EF00DA"/>
    <w:rsid w:val="00EF2ED4"/>
    <w:rsid w:val="00EF7C14"/>
    <w:rsid w:val="00EF7D7E"/>
    <w:rsid w:val="00F00C63"/>
    <w:rsid w:val="00F00E9F"/>
    <w:rsid w:val="00F01807"/>
    <w:rsid w:val="00F033E7"/>
    <w:rsid w:val="00F0365E"/>
    <w:rsid w:val="00F059CA"/>
    <w:rsid w:val="00F11A14"/>
    <w:rsid w:val="00F16ABB"/>
    <w:rsid w:val="00F21579"/>
    <w:rsid w:val="00F233C7"/>
    <w:rsid w:val="00F23CC4"/>
    <w:rsid w:val="00F24351"/>
    <w:rsid w:val="00F25336"/>
    <w:rsid w:val="00F25B12"/>
    <w:rsid w:val="00F26279"/>
    <w:rsid w:val="00F2680C"/>
    <w:rsid w:val="00F27BBA"/>
    <w:rsid w:val="00F31186"/>
    <w:rsid w:val="00F31533"/>
    <w:rsid w:val="00F31AFF"/>
    <w:rsid w:val="00F34267"/>
    <w:rsid w:val="00F343C1"/>
    <w:rsid w:val="00F365AD"/>
    <w:rsid w:val="00F3715B"/>
    <w:rsid w:val="00F37357"/>
    <w:rsid w:val="00F424C1"/>
    <w:rsid w:val="00F43446"/>
    <w:rsid w:val="00F4361A"/>
    <w:rsid w:val="00F43C78"/>
    <w:rsid w:val="00F44D47"/>
    <w:rsid w:val="00F45A18"/>
    <w:rsid w:val="00F46296"/>
    <w:rsid w:val="00F46A88"/>
    <w:rsid w:val="00F50FCB"/>
    <w:rsid w:val="00F51EAD"/>
    <w:rsid w:val="00F53B5F"/>
    <w:rsid w:val="00F53CE5"/>
    <w:rsid w:val="00F5488C"/>
    <w:rsid w:val="00F54B2C"/>
    <w:rsid w:val="00F54FBD"/>
    <w:rsid w:val="00F55233"/>
    <w:rsid w:val="00F55C79"/>
    <w:rsid w:val="00F5709B"/>
    <w:rsid w:val="00F577A8"/>
    <w:rsid w:val="00F57E6E"/>
    <w:rsid w:val="00F61485"/>
    <w:rsid w:val="00F631F6"/>
    <w:rsid w:val="00F63625"/>
    <w:rsid w:val="00F652B5"/>
    <w:rsid w:val="00F65D89"/>
    <w:rsid w:val="00F67897"/>
    <w:rsid w:val="00F67BDC"/>
    <w:rsid w:val="00F70FE0"/>
    <w:rsid w:val="00F712EF"/>
    <w:rsid w:val="00F716F5"/>
    <w:rsid w:val="00F7234C"/>
    <w:rsid w:val="00F734CA"/>
    <w:rsid w:val="00F73D52"/>
    <w:rsid w:val="00F744BD"/>
    <w:rsid w:val="00F74DE6"/>
    <w:rsid w:val="00F77093"/>
    <w:rsid w:val="00F77FAA"/>
    <w:rsid w:val="00F814E8"/>
    <w:rsid w:val="00F81A11"/>
    <w:rsid w:val="00F82C99"/>
    <w:rsid w:val="00F848DC"/>
    <w:rsid w:val="00F849C6"/>
    <w:rsid w:val="00F85967"/>
    <w:rsid w:val="00F85B60"/>
    <w:rsid w:val="00F8616B"/>
    <w:rsid w:val="00F86437"/>
    <w:rsid w:val="00F877E1"/>
    <w:rsid w:val="00F903EA"/>
    <w:rsid w:val="00F90593"/>
    <w:rsid w:val="00F92F1C"/>
    <w:rsid w:val="00F9314F"/>
    <w:rsid w:val="00F967C1"/>
    <w:rsid w:val="00F97441"/>
    <w:rsid w:val="00F9784A"/>
    <w:rsid w:val="00F97B68"/>
    <w:rsid w:val="00FA10EC"/>
    <w:rsid w:val="00FA13D8"/>
    <w:rsid w:val="00FA2085"/>
    <w:rsid w:val="00FA4C7B"/>
    <w:rsid w:val="00FA5C93"/>
    <w:rsid w:val="00FA629D"/>
    <w:rsid w:val="00FA6D31"/>
    <w:rsid w:val="00FB03BB"/>
    <w:rsid w:val="00FB2E60"/>
    <w:rsid w:val="00FB4388"/>
    <w:rsid w:val="00FB5BD5"/>
    <w:rsid w:val="00FC0D73"/>
    <w:rsid w:val="00FC1022"/>
    <w:rsid w:val="00FC22B8"/>
    <w:rsid w:val="00FC5292"/>
    <w:rsid w:val="00FC5F6D"/>
    <w:rsid w:val="00FD056A"/>
    <w:rsid w:val="00FD0A9C"/>
    <w:rsid w:val="00FD36F1"/>
    <w:rsid w:val="00FD588C"/>
    <w:rsid w:val="00FD6B11"/>
    <w:rsid w:val="00FD714A"/>
    <w:rsid w:val="00FD7BBD"/>
    <w:rsid w:val="00FE1572"/>
    <w:rsid w:val="00FE231A"/>
    <w:rsid w:val="00FE2427"/>
    <w:rsid w:val="00FE2931"/>
    <w:rsid w:val="00FE353B"/>
    <w:rsid w:val="00FE5933"/>
    <w:rsid w:val="00FE5986"/>
    <w:rsid w:val="00FE6C21"/>
    <w:rsid w:val="00FE7D6B"/>
    <w:rsid w:val="00FF1C74"/>
    <w:rsid w:val="00FF2E34"/>
    <w:rsid w:val="00FF3F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1095576"/>
  <w15:docId w15:val="{2B6A1F43-DE79-4090-8FF5-309E8A1D1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B6891"/>
  </w:style>
  <w:style w:type="paragraph" w:styleId="Nadpis1">
    <w:name w:val="heading 1"/>
    <w:basedOn w:val="Normlny"/>
    <w:next w:val="Normlny"/>
    <w:link w:val="Nadpis1Char"/>
    <w:uiPriority w:val="9"/>
    <w:qFormat/>
    <w:rsid w:val="00E6252B"/>
    <w:pPr>
      <w:keepNext/>
      <w:keepLines/>
      <w:numPr>
        <w:numId w:val="14"/>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A42CF0"/>
    <w:pPr>
      <w:keepNext/>
      <w:keepLines/>
      <w:numPr>
        <w:ilvl w:val="1"/>
        <w:numId w:val="26"/>
      </w:numPr>
      <w:spacing w:before="200" w:after="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unhideWhenUsed/>
    <w:qFormat/>
    <w:rsid w:val="003C1BF9"/>
    <w:pPr>
      <w:keepNext/>
      <w:keepLines/>
      <w:numPr>
        <w:ilvl w:val="2"/>
        <w:numId w:val="26"/>
      </w:numPr>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unhideWhenUsed/>
    <w:qFormat/>
    <w:rsid w:val="00740771"/>
    <w:pPr>
      <w:keepNext/>
      <w:keepLines/>
      <w:numPr>
        <w:ilvl w:val="3"/>
        <w:numId w:val="26"/>
      </w:numPr>
      <w:spacing w:before="200" w:after="0"/>
      <w:outlineLvl w:val="3"/>
    </w:pPr>
    <w:rPr>
      <w:rFonts w:asciiTheme="majorHAnsi" w:eastAsiaTheme="majorEastAsia" w:hAnsiTheme="majorHAnsi" w:cstheme="majorBidi"/>
      <w:b/>
      <w:bCs/>
      <w:i/>
      <w:iCs/>
      <w:color w:val="5B9BD5" w:themeColor="accent1"/>
    </w:rPr>
  </w:style>
  <w:style w:type="paragraph" w:styleId="Nadpis5">
    <w:name w:val="heading 5"/>
    <w:basedOn w:val="Normlny"/>
    <w:next w:val="Normlny"/>
    <w:link w:val="Nadpis5Char"/>
    <w:uiPriority w:val="9"/>
    <w:unhideWhenUsed/>
    <w:qFormat/>
    <w:rsid w:val="00A42CF0"/>
    <w:pPr>
      <w:keepNext/>
      <w:keepLines/>
      <w:numPr>
        <w:ilvl w:val="4"/>
        <w:numId w:val="26"/>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y"/>
    <w:next w:val="Normlny"/>
    <w:link w:val="Nadpis6Char"/>
    <w:uiPriority w:val="9"/>
    <w:unhideWhenUsed/>
    <w:qFormat/>
    <w:rsid w:val="00A42CF0"/>
    <w:pPr>
      <w:keepNext/>
      <w:keepLines/>
      <w:numPr>
        <w:ilvl w:val="5"/>
        <w:numId w:val="26"/>
      </w:numPr>
      <w:spacing w:before="200" w:after="0"/>
      <w:outlineLvl w:val="5"/>
    </w:pPr>
    <w:rPr>
      <w:rFonts w:asciiTheme="majorHAnsi" w:eastAsiaTheme="majorEastAsia" w:hAnsiTheme="majorHAnsi" w:cstheme="majorBidi"/>
      <w:i/>
      <w:iCs/>
      <w:color w:val="1F4D78" w:themeColor="accent1" w:themeShade="7F"/>
    </w:rPr>
  </w:style>
  <w:style w:type="paragraph" w:styleId="Nadpis7">
    <w:name w:val="heading 7"/>
    <w:basedOn w:val="Normlny"/>
    <w:next w:val="Normlny"/>
    <w:link w:val="Nadpis7Char"/>
    <w:uiPriority w:val="9"/>
    <w:semiHidden/>
    <w:unhideWhenUsed/>
    <w:qFormat/>
    <w:rsid w:val="00A42CF0"/>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A42CF0"/>
    <w:pPr>
      <w:keepNext/>
      <w:keepLines/>
      <w:numPr>
        <w:ilvl w:val="7"/>
        <w:numId w:val="26"/>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iPriority w:val="9"/>
    <w:semiHidden/>
    <w:unhideWhenUsed/>
    <w:qFormat/>
    <w:rsid w:val="00A42CF0"/>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1D5205"/>
    <w:pPr>
      <w:ind w:left="720"/>
      <w:contextualSpacing/>
    </w:pPr>
  </w:style>
  <w:style w:type="character" w:customStyle="1" w:styleId="Nadpis1Char">
    <w:name w:val="Nadpis 1 Char"/>
    <w:basedOn w:val="Predvolenpsmoodseku"/>
    <w:link w:val="Nadpis1"/>
    <w:uiPriority w:val="9"/>
    <w:rsid w:val="005D46BD"/>
    <w:rPr>
      <w:rFonts w:asciiTheme="majorHAnsi" w:eastAsiaTheme="majorEastAsia" w:hAnsiTheme="majorHAnsi" w:cstheme="majorBidi"/>
      <w:color w:val="2E74B5" w:themeColor="accent1" w:themeShade="BF"/>
      <w:sz w:val="32"/>
      <w:szCs w:val="32"/>
    </w:rPr>
  </w:style>
  <w:style w:type="paragraph" w:styleId="Hlavikaobsahu">
    <w:name w:val="TOC Heading"/>
    <w:basedOn w:val="Nadpis1"/>
    <w:next w:val="Normlny"/>
    <w:uiPriority w:val="39"/>
    <w:unhideWhenUsed/>
    <w:qFormat/>
    <w:rsid w:val="005D46BD"/>
    <w:pPr>
      <w:outlineLvl w:val="9"/>
    </w:pPr>
    <w:rPr>
      <w:lang w:eastAsia="sk-SK"/>
    </w:rPr>
  </w:style>
  <w:style w:type="paragraph" w:styleId="Textbubliny">
    <w:name w:val="Balloon Text"/>
    <w:basedOn w:val="Normlny"/>
    <w:link w:val="TextbublinyChar"/>
    <w:uiPriority w:val="99"/>
    <w:semiHidden/>
    <w:unhideWhenUsed/>
    <w:rsid w:val="00341C7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41C70"/>
    <w:rPr>
      <w:rFonts w:ascii="Segoe UI" w:hAnsi="Segoe UI" w:cs="Segoe UI"/>
      <w:sz w:val="18"/>
      <w:szCs w:val="18"/>
    </w:rPr>
  </w:style>
  <w:style w:type="character" w:customStyle="1" w:styleId="Nadpis2Char">
    <w:name w:val="Nadpis 2 Char"/>
    <w:basedOn w:val="Predvolenpsmoodseku"/>
    <w:link w:val="Nadpis2"/>
    <w:uiPriority w:val="9"/>
    <w:rsid w:val="00A42CF0"/>
    <w:rPr>
      <w:rFonts w:asciiTheme="majorHAnsi" w:eastAsiaTheme="majorEastAsia" w:hAnsiTheme="majorHAnsi" w:cstheme="majorBidi"/>
      <w:b/>
      <w:bCs/>
      <w:color w:val="5B9BD5" w:themeColor="accent1"/>
      <w:sz w:val="26"/>
      <w:szCs w:val="26"/>
    </w:rPr>
  </w:style>
  <w:style w:type="character" w:customStyle="1" w:styleId="Nadpis3Char">
    <w:name w:val="Nadpis 3 Char"/>
    <w:basedOn w:val="Predvolenpsmoodseku"/>
    <w:link w:val="Nadpis3"/>
    <w:uiPriority w:val="9"/>
    <w:rsid w:val="003C1BF9"/>
    <w:rPr>
      <w:rFonts w:asciiTheme="majorHAnsi" w:eastAsiaTheme="majorEastAsia" w:hAnsiTheme="majorHAnsi" w:cstheme="majorBidi"/>
      <w:b/>
      <w:bCs/>
      <w:color w:val="5B9BD5" w:themeColor="accent1"/>
    </w:rPr>
  </w:style>
  <w:style w:type="character" w:customStyle="1" w:styleId="Nadpis4Char">
    <w:name w:val="Nadpis 4 Char"/>
    <w:basedOn w:val="Predvolenpsmoodseku"/>
    <w:link w:val="Nadpis4"/>
    <w:uiPriority w:val="9"/>
    <w:rsid w:val="00740771"/>
    <w:rPr>
      <w:rFonts w:asciiTheme="majorHAnsi" w:eastAsiaTheme="majorEastAsia" w:hAnsiTheme="majorHAnsi" w:cstheme="majorBidi"/>
      <w:b/>
      <w:bCs/>
      <w:i/>
      <w:iCs/>
      <w:color w:val="5B9BD5" w:themeColor="accent1"/>
    </w:rPr>
  </w:style>
  <w:style w:type="character" w:customStyle="1" w:styleId="Nadpis5Char">
    <w:name w:val="Nadpis 5 Char"/>
    <w:basedOn w:val="Predvolenpsmoodseku"/>
    <w:link w:val="Nadpis5"/>
    <w:uiPriority w:val="9"/>
    <w:rsid w:val="00A42CF0"/>
    <w:rPr>
      <w:rFonts w:asciiTheme="majorHAnsi" w:eastAsiaTheme="majorEastAsia" w:hAnsiTheme="majorHAnsi" w:cstheme="majorBidi"/>
      <w:color w:val="1F4D78" w:themeColor="accent1" w:themeShade="7F"/>
    </w:rPr>
  </w:style>
  <w:style w:type="character" w:customStyle="1" w:styleId="Nadpis6Char">
    <w:name w:val="Nadpis 6 Char"/>
    <w:basedOn w:val="Predvolenpsmoodseku"/>
    <w:link w:val="Nadpis6"/>
    <w:uiPriority w:val="9"/>
    <w:rsid w:val="00A42CF0"/>
    <w:rPr>
      <w:rFonts w:asciiTheme="majorHAnsi" w:eastAsiaTheme="majorEastAsia" w:hAnsiTheme="majorHAnsi" w:cstheme="majorBidi"/>
      <w:i/>
      <w:iCs/>
      <w:color w:val="1F4D78" w:themeColor="accent1" w:themeShade="7F"/>
    </w:rPr>
  </w:style>
  <w:style w:type="character" w:customStyle="1" w:styleId="Nadpis7Char">
    <w:name w:val="Nadpis 7 Char"/>
    <w:basedOn w:val="Predvolenpsmoodseku"/>
    <w:link w:val="Nadpis7"/>
    <w:uiPriority w:val="9"/>
    <w:semiHidden/>
    <w:rsid w:val="00A42CF0"/>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semiHidden/>
    <w:rsid w:val="00A42CF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Predvolenpsmoodseku"/>
    <w:link w:val="Nadpis9"/>
    <w:uiPriority w:val="9"/>
    <w:semiHidden/>
    <w:rsid w:val="00A42CF0"/>
    <w:rPr>
      <w:rFonts w:asciiTheme="majorHAnsi" w:eastAsiaTheme="majorEastAsia" w:hAnsiTheme="majorHAnsi" w:cstheme="majorBidi"/>
      <w:i/>
      <w:iCs/>
      <w:color w:val="404040" w:themeColor="text1" w:themeTint="BF"/>
      <w:sz w:val="20"/>
      <w:szCs w:val="20"/>
    </w:rPr>
  </w:style>
  <w:style w:type="paragraph" w:styleId="Nzov">
    <w:name w:val="Title"/>
    <w:basedOn w:val="Normlny"/>
    <w:next w:val="Normlny"/>
    <w:link w:val="NzovChar"/>
    <w:uiPriority w:val="10"/>
    <w:qFormat/>
    <w:rsid w:val="00A42CF0"/>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ovChar">
    <w:name w:val="Názov Char"/>
    <w:basedOn w:val="Predvolenpsmoodseku"/>
    <w:link w:val="Nzov"/>
    <w:uiPriority w:val="10"/>
    <w:rsid w:val="00A42CF0"/>
    <w:rPr>
      <w:rFonts w:asciiTheme="majorHAnsi" w:eastAsiaTheme="majorEastAsia" w:hAnsiTheme="majorHAnsi" w:cstheme="majorBidi"/>
      <w:color w:val="323E4F" w:themeColor="text2" w:themeShade="BF"/>
      <w:spacing w:val="5"/>
      <w:kern w:val="28"/>
      <w:sz w:val="52"/>
      <w:szCs w:val="52"/>
    </w:rPr>
  </w:style>
  <w:style w:type="character" w:styleId="Hypertextovprepojenie">
    <w:name w:val="Hyperlink"/>
    <w:basedOn w:val="Predvolenpsmoodseku"/>
    <w:uiPriority w:val="99"/>
    <w:unhideWhenUsed/>
    <w:rsid w:val="000B4A2F"/>
    <w:rPr>
      <w:color w:val="0000FF"/>
      <w:u w:val="single"/>
    </w:rPr>
  </w:style>
  <w:style w:type="paragraph" w:styleId="Textpoznmkypodiarou">
    <w:name w:val="footnote text"/>
    <w:aliases w:val="Footnote Text Char,Znak,Text poznámky pod čiarou 007,Text pozn. pod čarou Char,Schriftart: 8 pt,Text pozn. pod čarou Char1,Text pozn. pod čarou Char2 Char,Text pozn. pod čarou Char Char1 Char,Text pozn. pod čarou Char1 Char Char"/>
    <w:basedOn w:val="Normlny"/>
    <w:link w:val="TextpoznmkypodiarouChar"/>
    <w:unhideWhenUsed/>
    <w:rsid w:val="000B4A2F"/>
    <w:pPr>
      <w:spacing w:after="0" w:line="240" w:lineRule="auto"/>
    </w:pPr>
    <w:rPr>
      <w:sz w:val="20"/>
      <w:szCs w:val="20"/>
    </w:rPr>
  </w:style>
  <w:style w:type="character" w:customStyle="1" w:styleId="TextpoznmkypodiarouChar">
    <w:name w:val="Text poznámky pod čiarou Char"/>
    <w:aliases w:val="Footnote Text Char Char,Znak Char,Text poznámky pod čiarou 007 Char,Text pozn. pod čarou Char Char,Schriftart: 8 pt Char,Text pozn. pod čarou Char1 Char,Text pozn. pod čarou Char2 Char Char"/>
    <w:basedOn w:val="Predvolenpsmoodseku"/>
    <w:link w:val="Textpoznmkypodiarou"/>
    <w:rsid w:val="000B4A2F"/>
    <w:rPr>
      <w:sz w:val="20"/>
      <w:szCs w:val="20"/>
    </w:rPr>
  </w:style>
  <w:style w:type="character" w:styleId="Odkaznapoznmkupodiarou">
    <w:name w:val="footnote reference"/>
    <w:aliases w:val="BVI fnr,(Footnote Reference),Footnote symbol,Footnotes refss,Footnote Reference Superscript,SUPERS,Footnote,Footnote reference number,note TESI,EN Footnote Reference,Voetnootverwijzing,Times 10 Point,Exposant 3 Point,number"/>
    <w:basedOn w:val="Predvolenpsmoodseku"/>
    <w:unhideWhenUsed/>
    <w:rsid w:val="000B4A2F"/>
    <w:rPr>
      <w:vertAlign w:val="superscript"/>
    </w:rPr>
  </w:style>
  <w:style w:type="paragraph" w:styleId="Pta">
    <w:name w:val="footer"/>
    <w:basedOn w:val="Normlny"/>
    <w:link w:val="PtaChar"/>
    <w:uiPriority w:val="99"/>
    <w:unhideWhenUsed/>
    <w:rsid w:val="002D541C"/>
    <w:pPr>
      <w:tabs>
        <w:tab w:val="center" w:pos="4536"/>
        <w:tab w:val="right" w:pos="9072"/>
      </w:tabs>
      <w:spacing w:after="0" w:line="240" w:lineRule="auto"/>
    </w:pPr>
  </w:style>
  <w:style w:type="character" w:customStyle="1" w:styleId="PtaChar">
    <w:name w:val="Päta Char"/>
    <w:basedOn w:val="Predvolenpsmoodseku"/>
    <w:link w:val="Pta"/>
    <w:uiPriority w:val="99"/>
    <w:rsid w:val="002D541C"/>
  </w:style>
  <w:style w:type="character" w:styleId="Odkaznakomentr">
    <w:name w:val="annotation reference"/>
    <w:basedOn w:val="Predvolenpsmoodseku"/>
    <w:uiPriority w:val="99"/>
    <w:semiHidden/>
    <w:unhideWhenUsed/>
    <w:rsid w:val="007329CB"/>
    <w:rPr>
      <w:sz w:val="16"/>
      <w:szCs w:val="16"/>
    </w:rPr>
  </w:style>
  <w:style w:type="paragraph" w:styleId="Textkomentra">
    <w:name w:val="annotation text"/>
    <w:basedOn w:val="Normlny"/>
    <w:link w:val="TextkomentraChar"/>
    <w:uiPriority w:val="99"/>
    <w:unhideWhenUsed/>
    <w:rsid w:val="007329CB"/>
    <w:pPr>
      <w:spacing w:after="200" w:line="240" w:lineRule="auto"/>
    </w:pPr>
    <w:rPr>
      <w:sz w:val="20"/>
      <w:szCs w:val="20"/>
    </w:rPr>
  </w:style>
  <w:style w:type="character" w:customStyle="1" w:styleId="TextkomentraChar">
    <w:name w:val="Text komentára Char"/>
    <w:basedOn w:val="Predvolenpsmoodseku"/>
    <w:link w:val="Textkomentra"/>
    <w:uiPriority w:val="99"/>
    <w:rsid w:val="007329CB"/>
    <w:rPr>
      <w:sz w:val="20"/>
      <w:szCs w:val="20"/>
    </w:rPr>
  </w:style>
  <w:style w:type="paragraph" w:styleId="Predmetkomentra">
    <w:name w:val="annotation subject"/>
    <w:basedOn w:val="Textkomentra"/>
    <w:next w:val="Textkomentra"/>
    <w:link w:val="PredmetkomentraChar"/>
    <w:uiPriority w:val="99"/>
    <w:semiHidden/>
    <w:unhideWhenUsed/>
    <w:rsid w:val="007329CB"/>
    <w:rPr>
      <w:b/>
      <w:bCs/>
    </w:rPr>
  </w:style>
  <w:style w:type="character" w:customStyle="1" w:styleId="PredmetkomentraChar">
    <w:name w:val="Predmet komentára Char"/>
    <w:basedOn w:val="TextkomentraChar"/>
    <w:link w:val="Predmetkomentra"/>
    <w:uiPriority w:val="99"/>
    <w:semiHidden/>
    <w:rsid w:val="007329CB"/>
    <w:rPr>
      <w:b/>
      <w:bCs/>
      <w:sz w:val="20"/>
      <w:szCs w:val="20"/>
    </w:rPr>
  </w:style>
  <w:style w:type="character" w:styleId="PouitHypertextovPrepojenie">
    <w:name w:val="FollowedHyperlink"/>
    <w:basedOn w:val="Predvolenpsmoodseku"/>
    <w:uiPriority w:val="99"/>
    <w:semiHidden/>
    <w:unhideWhenUsed/>
    <w:rsid w:val="007329CB"/>
    <w:rPr>
      <w:color w:val="954F72" w:themeColor="followedHyperlink"/>
      <w:u w:val="single"/>
    </w:rPr>
  </w:style>
  <w:style w:type="paragraph" w:styleId="Revzia">
    <w:name w:val="Revision"/>
    <w:hidden/>
    <w:uiPriority w:val="99"/>
    <w:semiHidden/>
    <w:rsid w:val="007329CB"/>
    <w:pPr>
      <w:spacing w:after="0" w:line="240" w:lineRule="auto"/>
    </w:pPr>
  </w:style>
  <w:style w:type="table" w:styleId="Mriekatabuky">
    <w:name w:val="Table Grid"/>
    <w:basedOn w:val="Normlnatabuka"/>
    <w:uiPriority w:val="59"/>
    <w:rsid w:val="00732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lny"/>
    <w:next w:val="Normlny"/>
    <w:uiPriority w:val="99"/>
    <w:rsid w:val="007329CB"/>
    <w:pPr>
      <w:autoSpaceDE w:val="0"/>
      <w:autoSpaceDN w:val="0"/>
      <w:adjustRightInd w:val="0"/>
      <w:spacing w:after="0" w:line="240" w:lineRule="auto"/>
    </w:pPr>
    <w:rPr>
      <w:rFonts w:ascii="EUAlbertina" w:hAnsi="EUAlbertina"/>
      <w:sz w:val="24"/>
      <w:szCs w:val="24"/>
    </w:rPr>
  </w:style>
  <w:style w:type="paragraph" w:styleId="Hlavika">
    <w:name w:val="header"/>
    <w:basedOn w:val="Normlny"/>
    <w:link w:val="HlavikaChar"/>
    <w:uiPriority w:val="99"/>
    <w:unhideWhenUsed/>
    <w:rsid w:val="007329C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329CB"/>
  </w:style>
  <w:style w:type="paragraph" w:styleId="Obsah1">
    <w:name w:val="toc 1"/>
    <w:basedOn w:val="Normlny"/>
    <w:next w:val="Normlny"/>
    <w:autoRedefine/>
    <w:uiPriority w:val="39"/>
    <w:unhideWhenUsed/>
    <w:rsid w:val="00297B22"/>
    <w:pPr>
      <w:tabs>
        <w:tab w:val="left" w:pos="440"/>
        <w:tab w:val="right" w:leader="dot" w:pos="9062"/>
      </w:tabs>
      <w:spacing w:after="100" w:line="276" w:lineRule="auto"/>
    </w:pPr>
  </w:style>
  <w:style w:type="paragraph" w:styleId="Obsah2">
    <w:name w:val="toc 2"/>
    <w:basedOn w:val="Normlny"/>
    <w:next w:val="Normlny"/>
    <w:autoRedefine/>
    <w:uiPriority w:val="39"/>
    <w:unhideWhenUsed/>
    <w:rsid w:val="00CC0781"/>
    <w:pPr>
      <w:tabs>
        <w:tab w:val="left" w:pos="880"/>
        <w:tab w:val="right" w:leader="dot" w:pos="9062"/>
      </w:tabs>
      <w:spacing w:after="100" w:line="276" w:lineRule="auto"/>
      <w:ind w:left="220"/>
    </w:pPr>
  </w:style>
  <w:style w:type="paragraph" w:styleId="Obsah3">
    <w:name w:val="toc 3"/>
    <w:basedOn w:val="Normlny"/>
    <w:next w:val="Normlny"/>
    <w:autoRedefine/>
    <w:uiPriority w:val="39"/>
    <w:unhideWhenUsed/>
    <w:rsid w:val="00505551"/>
    <w:pPr>
      <w:tabs>
        <w:tab w:val="left" w:pos="1320"/>
        <w:tab w:val="right" w:leader="dot" w:pos="9062"/>
      </w:tabs>
      <w:spacing w:after="100" w:line="276" w:lineRule="auto"/>
      <w:ind w:left="440"/>
    </w:pPr>
  </w:style>
  <w:style w:type="paragraph" w:styleId="Bezriadkovania">
    <w:name w:val="No Spacing"/>
    <w:uiPriority w:val="1"/>
    <w:qFormat/>
    <w:rsid w:val="007329CB"/>
    <w:pPr>
      <w:spacing w:after="0" w:line="240" w:lineRule="auto"/>
    </w:pPr>
  </w:style>
  <w:style w:type="character" w:customStyle="1" w:styleId="italic1">
    <w:name w:val="italic1"/>
    <w:basedOn w:val="Predvolenpsmoodseku"/>
    <w:rsid w:val="00A70731"/>
    <w:rPr>
      <w:i/>
      <w:iCs/>
    </w:rPr>
  </w:style>
  <w:style w:type="character" w:styleId="Siln">
    <w:name w:val="Strong"/>
    <w:basedOn w:val="Predvolenpsmoodseku"/>
    <w:uiPriority w:val="22"/>
    <w:qFormat/>
    <w:rsid w:val="008C0C59"/>
    <w:rPr>
      <w:b/>
      <w:bCs/>
    </w:rPr>
  </w:style>
  <w:style w:type="paragraph" w:styleId="Popis">
    <w:name w:val="caption"/>
    <w:aliases w:val="Tabulka"/>
    <w:basedOn w:val="Normlny"/>
    <w:next w:val="Normlny"/>
    <w:unhideWhenUsed/>
    <w:qFormat/>
    <w:rsid w:val="00752288"/>
    <w:pPr>
      <w:spacing w:after="200" w:line="276" w:lineRule="auto"/>
    </w:pPr>
    <w:rPr>
      <w:rFonts w:eastAsiaTheme="majorEastAsia" w:cstheme="majorBidi"/>
      <w:caps/>
      <w:spacing w:val="10"/>
      <w:sz w:val="18"/>
      <w:szCs w:val="18"/>
    </w:rPr>
  </w:style>
  <w:style w:type="paragraph" w:styleId="Zkladntext3">
    <w:name w:val="Body Text 3"/>
    <w:basedOn w:val="Normlny"/>
    <w:link w:val="Zkladntext3Char"/>
    <w:uiPriority w:val="99"/>
    <w:semiHidden/>
    <w:unhideWhenUsed/>
    <w:rsid w:val="00752288"/>
    <w:pPr>
      <w:spacing w:after="120" w:line="276" w:lineRule="auto"/>
    </w:pPr>
    <w:rPr>
      <w:rFonts w:eastAsiaTheme="majorEastAsia" w:cstheme="majorBidi"/>
      <w:sz w:val="16"/>
      <w:szCs w:val="16"/>
    </w:rPr>
  </w:style>
  <w:style w:type="character" w:customStyle="1" w:styleId="Zkladntext3Char">
    <w:name w:val="Základný text 3 Char"/>
    <w:basedOn w:val="Predvolenpsmoodseku"/>
    <w:link w:val="Zkladntext3"/>
    <w:uiPriority w:val="99"/>
    <w:semiHidden/>
    <w:rsid w:val="00752288"/>
    <w:rPr>
      <w:rFonts w:eastAsiaTheme="majorEastAsia" w:cstheme="majorBidi"/>
      <w:sz w:val="16"/>
      <w:szCs w:val="16"/>
    </w:rPr>
  </w:style>
  <w:style w:type="paragraph" w:styleId="Textvysvetlivky">
    <w:name w:val="endnote text"/>
    <w:basedOn w:val="Normlny"/>
    <w:link w:val="TextvysvetlivkyChar"/>
    <w:uiPriority w:val="99"/>
    <w:semiHidden/>
    <w:unhideWhenUsed/>
    <w:rsid w:val="00EE58B9"/>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EE58B9"/>
    <w:rPr>
      <w:sz w:val="20"/>
      <w:szCs w:val="20"/>
    </w:rPr>
  </w:style>
  <w:style w:type="character" w:styleId="Odkaznavysvetlivku">
    <w:name w:val="endnote reference"/>
    <w:basedOn w:val="Predvolenpsmoodseku"/>
    <w:uiPriority w:val="99"/>
    <w:semiHidden/>
    <w:unhideWhenUsed/>
    <w:rsid w:val="00EE58B9"/>
    <w:rPr>
      <w:vertAlign w:val="superscript"/>
    </w:rPr>
  </w:style>
  <w:style w:type="paragraph" w:styleId="Zkladntext">
    <w:name w:val="Body Text"/>
    <w:basedOn w:val="Normlny"/>
    <w:link w:val="ZkladntextChar"/>
    <w:uiPriority w:val="99"/>
    <w:unhideWhenUsed/>
    <w:rsid w:val="00E43041"/>
    <w:pPr>
      <w:spacing w:after="120"/>
    </w:pPr>
  </w:style>
  <w:style w:type="character" w:customStyle="1" w:styleId="ZkladntextChar">
    <w:name w:val="Základný text Char"/>
    <w:basedOn w:val="Predvolenpsmoodseku"/>
    <w:link w:val="Zkladntext"/>
    <w:uiPriority w:val="99"/>
    <w:rsid w:val="00E43041"/>
  </w:style>
  <w:style w:type="character" w:customStyle="1" w:styleId="spanr">
    <w:name w:val="span_r"/>
    <w:basedOn w:val="Predvolenpsmoodseku"/>
    <w:rsid w:val="009135F1"/>
  </w:style>
  <w:style w:type="paragraph" w:styleId="Obsah4">
    <w:name w:val="toc 4"/>
    <w:basedOn w:val="Normlny"/>
    <w:next w:val="Normlny"/>
    <w:autoRedefine/>
    <w:uiPriority w:val="39"/>
    <w:unhideWhenUsed/>
    <w:rsid w:val="00CC0781"/>
    <w:pPr>
      <w:tabs>
        <w:tab w:val="left" w:pos="1760"/>
        <w:tab w:val="right" w:leader="dot" w:pos="9062"/>
      </w:tabs>
      <w:spacing w:after="100"/>
      <w:ind w:left="660"/>
    </w:pPr>
  </w:style>
  <w:style w:type="paragraph" w:customStyle="1" w:styleId="odsek">
    <w:name w:val="odsek"/>
    <w:basedOn w:val="Normlny"/>
    <w:rsid w:val="000223AB"/>
    <w:pPr>
      <w:keepNext/>
      <w:spacing w:before="60" w:after="60" w:line="240" w:lineRule="auto"/>
      <w:ind w:firstLine="709"/>
      <w:jc w:val="both"/>
    </w:pPr>
    <w:rPr>
      <w:rFonts w:ascii="Times New Roman" w:eastAsia="Times New Roman" w:hAnsi="Times New Roman" w:cs="Times New Roman"/>
      <w:sz w:val="24"/>
      <w:szCs w:val="24"/>
      <w:lang w:eastAsia="sk-SK"/>
    </w:rPr>
  </w:style>
  <w:style w:type="paragraph" w:customStyle="1" w:styleId="Default">
    <w:name w:val="Default"/>
    <w:rsid w:val="00F059C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7929">
      <w:bodyDiv w:val="1"/>
      <w:marLeft w:val="0"/>
      <w:marRight w:val="0"/>
      <w:marTop w:val="0"/>
      <w:marBottom w:val="0"/>
      <w:divBdr>
        <w:top w:val="none" w:sz="0" w:space="0" w:color="auto"/>
        <w:left w:val="none" w:sz="0" w:space="0" w:color="auto"/>
        <w:bottom w:val="none" w:sz="0" w:space="0" w:color="auto"/>
        <w:right w:val="none" w:sz="0" w:space="0" w:color="auto"/>
      </w:divBdr>
    </w:div>
    <w:div w:id="27264445">
      <w:bodyDiv w:val="1"/>
      <w:marLeft w:val="0"/>
      <w:marRight w:val="0"/>
      <w:marTop w:val="0"/>
      <w:marBottom w:val="0"/>
      <w:divBdr>
        <w:top w:val="none" w:sz="0" w:space="0" w:color="auto"/>
        <w:left w:val="none" w:sz="0" w:space="0" w:color="auto"/>
        <w:bottom w:val="none" w:sz="0" w:space="0" w:color="auto"/>
        <w:right w:val="none" w:sz="0" w:space="0" w:color="auto"/>
      </w:divBdr>
    </w:div>
    <w:div w:id="45954964">
      <w:bodyDiv w:val="1"/>
      <w:marLeft w:val="0"/>
      <w:marRight w:val="0"/>
      <w:marTop w:val="0"/>
      <w:marBottom w:val="0"/>
      <w:divBdr>
        <w:top w:val="none" w:sz="0" w:space="0" w:color="auto"/>
        <w:left w:val="none" w:sz="0" w:space="0" w:color="auto"/>
        <w:bottom w:val="none" w:sz="0" w:space="0" w:color="auto"/>
        <w:right w:val="none" w:sz="0" w:space="0" w:color="auto"/>
      </w:divBdr>
    </w:div>
    <w:div w:id="53746942">
      <w:bodyDiv w:val="1"/>
      <w:marLeft w:val="0"/>
      <w:marRight w:val="0"/>
      <w:marTop w:val="0"/>
      <w:marBottom w:val="0"/>
      <w:divBdr>
        <w:top w:val="none" w:sz="0" w:space="0" w:color="auto"/>
        <w:left w:val="none" w:sz="0" w:space="0" w:color="auto"/>
        <w:bottom w:val="none" w:sz="0" w:space="0" w:color="auto"/>
        <w:right w:val="none" w:sz="0" w:space="0" w:color="auto"/>
      </w:divBdr>
    </w:div>
    <w:div w:id="57097358">
      <w:bodyDiv w:val="1"/>
      <w:marLeft w:val="0"/>
      <w:marRight w:val="0"/>
      <w:marTop w:val="0"/>
      <w:marBottom w:val="0"/>
      <w:divBdr>
        <w:top w:val="none" w:sz="0" w:space="0" w:color="auto"/>
        <w:left w:val="none" w:sz="0" w:space="0" w:color="auto"/>
        <w:bottom w:val="none" w:sz="0" w:space="0" w:color="auto"/>
        <w:right w:val="none" w:sz="0" w:space="0" w:color="auto"/>
      </w:divBdr>
    </w:div>
    <w:div w:id="80571517">
      <w:bodyDiv w:val="1"/>
      <w:marLeft w:val="0"/>
      <w:marRight w:val="0"/>
      <w:marTop w:val="0"/>
      <w:marBottom w:val="0"/>
      <w:divBdr>
        <w:top w:val="none" w:sz="0" w:space="0" w:color="auto"/>
        <w:left w:val="none" w:sz="0" w:space="0" w:color="auto"/>
        <w:bottom w:val="none" w:sz="0" w:space="0" w:color="auto"/>
        <w:right w:val="none" w:sz="0" w:space="0" w:color="auto"/>
      </w:divBdr>
    </w:div>
    <w:div w:id="95641387">
      <w:bodyDiv w:val="1"/>
      <w:marLeft w:val="0"/>
      <w:marRight w:val="0"/>
      <w:marTop w:val="0"/>
      <w:marBottom w:val="0"/>
      <w:divBdr>
        <w:top w:val="none" w:sz="0" w:space="0" w:color="auto"/>
        <w:left w:val="none" w:sz="0" w:space="0" w:color="auto"/>
        <w:bottom w:val="none" w:sz="0" w:space="0" w:color="auto"/>
        <w:right w:val="none" w:sz="0" w:space="0" w:color="auto"/>
      </w:divBdr>
    </w:div>
    <w:div w:id="101272012">
      <w:bodyDiv w:val="1"/>
      <w:marLeft w:val="0"/>
      <w:marRight w:val="0"/>
      <w:marTop w:val="0"/>
      <w:marBottom w:val="0"/>
      <w:divBdr>
        <w:top w:val="none" w:sz="0" w:space="0" w:color="auto"/>
        <w:left w:val="none" w:sz="0" w:space="0" w:color="auto"/>
        <w:bottom w:val="none" w:sz="0" w:space="0" w:color="auto"/>
        <w:right w:val="none" w:sz="0" w:space="0" w:color="auto"/>
      </w:divBdr>
    </w:div>
    <w:div w:id="137579332">
      <w:bodyDiv w:val="1"/>
      <w:marLeft w:val="0"/>
      <w:marRight w:val="0"/>
      <w:marTop w:val="0"/>
      <w:marBottom w:val="0"/>
      <w:divBdr>
        <w:top w:val="none" w:sz="0" w:space="0" w:color="auto"/>
        <w:left w:val="none" w:sz="0" w:space="0" w:color="auto"/>
        <w:bottom w:val="none" w:sz="0" w:space="0" w:color="auto"/>
        <w:right w:val="none" w:sz="0" w:space="0" w:color="auto"/>
      </w:divBdr>
    </w:div>
    <w:div w:id="165946046">
      <w:bodyDiv w:val="1"/>
      <w:marLeft w:val="0"/>
      <w:marRight w:val="0"/>
      <w:marTop w:val="0"/>
      <w:marBottom w:val="0"/>
      <w:divBdr>
        <w:top w:val="none" w:sz="0" w:space="0" w:color="auto"/>
        <w:left w:val="none" w:sz="0" w:space="0" w:color="auto"/>
        <w:bottom w:val="none" w:sz="0" w:space="0" w:color="auto"/>
        <w:right w:val="none" w:sz="0" w:space="0" w:color="auto"/>
      </w:divBdr>
    </w:div>
    <w:div w:id="173038105">
      <w:bodyDiv w:val="1"/>
      <w:marLeft w:val="0"/>
      <w:marRight w:val="0"/>
      <w:marTop w:val="0"/>
      <w:marBottom w:val="0"/>
      <w:divBdr>
        <w:top w:val="none" w:sz="0" w:space="0" w:color="auto"/>
        <w:left w:val="none" w:sz="0" w:space="0" w:color="auto"/>
        <w:bottom w:val="none" w:sz="0" w:space="0" w:color="auto"/>
        <w:right w:val="none" w:sz="0" w:space="0" w:color="auto"/>
      </w:divBdr>
    </w:div>
    <w:div w:id="179004971">
      <w:bodyDiv w:val="1"/>
      <w:marLeft w:val="0"/>
      <w:marRight w:val="0"/>
      <w:marTop w:val="0"/>
      <w:marBottom w:val="0"/>
      <w:divBdr>
        <w:top w:val="none" w:sz="0" w:space="0" w:color="auto"/>
        <w:left w:val="none" w:sz="0" w:space="0" w:color="auto"/>
        <w:bottom w:val="none" w:sz="0" w:space="0" w:color="auto"/>
        <w:right w:val="none" w:sz="0" w:space="0" w:color="auto"/>
      </w:divBdr>
    </w:div>
    <w:div w:id="181093449">
      <w:bodyDiv w:val="1"/>
      <w:marLeft w:val="0"/>
      <w:marRight w:val="0"/>
      <w:marTop w:val="0"/>
      <w:marBottom w:val="0"/>
      <w:divBdr>
        <w:top w:val="none" w:sz="0" w:space="0" w:color="auto"/>
        <w:left w:val="none" w:sz="0" w:space="0" w:color="auto"/>
        <w:bottom w:val="none" w:sz="0" w:space="0" w:color="auto"/>
        <w:right w:val="none" w:sz="0" w:space="0" w:color="auto"/>
      </w:divBdr>
    </w:div>
    <w:div w:id="189804530">
      <w:bodyDiv w:val="1"/>
      <w:marLeft w:val="0"/>
      <w:marRight w:val="0"/>
      <w:marTop w:val="0"/>
      <w:marBottom w:val="0"/>
      <w:divBdr>
        <w:top w:val="none" w:sz="0" w:space="0" w:color="auto"/>
        <w:left w:val="none" w:sz="0" w:space="0" w:color="auto"/>
        <w:bottom w:val="none" w:sz="0" w:space="0" w:color="auto"/>
        <w:right w:val="none" w:sz="0" w:space="0" w:color="auto"/>
      </w:divBdr>
    </w:div>
    <w:div w:id="213857545">
      <w:bodyDiv w:val="1"/>
      <w:marLeft w:val="0"/>
      <w:marRight w:val="0"/>
      <w:marTop w:val="0"/>
      <w:marBottom w:val="0"/>
      <w:divBdr>
        <w:top w:val="none" w:sz="0" w:space="0" w:color="auto"/>
        <w:left w:val="none" w:sz="0" w:space="0" w:color="auto"/>
        <w:bottom w:val="none" w:sz="0" w:space="0" w:color="auto"/>
        <w:right w:val="none" w:sz="0" w:space="0" w:color="auto"/>
      </w:divBdr>
    </w:div>
    <w:div w:id="226958932">
      <w:bodyDiv w:val="1"/>
      <w:marLeft w:val="0"/>
      <w:marRight w:val="0"/>
      <w:marTop w:val="0"/>
      <w:marBottom w:val="0"/>
      <w:divBdr>
        <w:top w:val="none" w:sz="0" w:space="0" w:color="auto"/>
        <w:left w:val="none" w:sz="0" w:space="0" w:color="auto"/>
        <w:bottom w:val="none" w:sz="0" w:space="0" w:color="auto"/>
        <w:right w:val="none" w:sz="0" w:space="0" w:color="auto"/>
      </w:divBdr>
    </w:div>
    <w:div w:id="237520056">
      <w:bodyDiv w:val="1"/>
      <w:marLeft w:val="0"/>
      <w:marRight w:val="0"/>
      <w:marTop w:val="0"/>
      <w:marBottom w:val="0"/>
      <w:divBdr>
        <w:top w:val="none" w:sz="0" w:space="0" w:color="auto"/>
        <w:left w:val="none" w:sz="0" w:space="0" w:color="auto"/>
        <w:bottom w:val="none" w:sz="0" w:space="0" w:color="auto"/>
        <w:right w:val="none" w:sz="0" w:space="0" w:color="auto"/>
      </w:divBdr>
    </w:div>
    <w:div w:id="251088553">
      <w:bodyDiv w:val="1"/>
      <w:marLeft w:val="0"/>
      <w:marRight w:val="0"/>
      <w:marTop w:val="0"/>
      <w:marBottom w:val="0"/>
      <w:divBdr>
        <w:top w:val="none" w:sz="0" w:space="0" w:color="auto"/>
        <w:left w:val="none" w:sz="0" w:space="0" w:color="auto"/>
        <w:bottom w:val="none" w:sz="0" w:space="0" w:color="auto"/>
        <w:right w:val="none" w:sz="0" w:space="0" w:color="auto"/>
      </w:divBdr>
    </w:div>
    <w:div w:id="290600715">
      <w:bodyDiv w:val="1"/>
      <w:marLeft w:val="0"/>
      <w:marRight w:val="0"/>
      <w:marTop w:val="0"/>
      <w:marBottom w:val="0"/>
      <w:divBdr>
        <w:top w:val="none" w:sz="0" w:space="0" w:color="auto"/>
        <w:left w:val="none" w:sz="0" w:space="0" w:color="auto"/>
        <w:bottom w:val="none" w:sz="0" w:space="0" w:color="auto"/>
        <w:right w:val="none" w:sz="0" w:space="0" w:color="auto"/>
      </w:divBdr>
      <w:divsChild>
        <w:div w:id="1636331865">
          <w:marLeft w:val="0"/>
          <w:marRight w:val="0"/>
          <w:marTop w:val="0"/>
          <w:marBottom w:val="0"/>
          <w:divBdr>
            <w:top w:val="none" w:sz="0" w:space="0" w:color="auto"/>
            <w:left w:val="none" w:sz="0" w:space="0" w:color="auto"/>
            <w:bottom w:val="none" w:sz="0" w:space="0" w:color="auto"/>
            <w:right w:val="none" w:sz="0" w:space="0" w:color="auto"/>
          </w:divBdr>
          <w:divsChild>
            <w:div w:id="630090478">
              <w:marLeft w:val="0"/>
              <w:marRight w:val="0"/>
              <w:marTop w:val="0"/>
              <w:marBottom w:val="0"/>
              <w:divBdr>
                <w:top w:val="none" w:sz="0" w:space="0" w:color="auto"/>
                <w:left w:val="none" w:sz="0" w:space="0" w:color="auto"/>
                <w:bottom w:val="none" w:sz="0" w:space="0" w:color="auto"/>
                <w:right w:val="none" w:sz="0" w:space="0" w:color="auto"/>
              </w:divBdr>
              <w:divsChild>
                <w:div w:id="2022782470">
                  <w:marLeft w:val="0"/>
                  <w:marRight w:val="0"/>
                  <w:marTop w:val="0"/>
                  <w:marBottom w:val="0"/>
                  <w:divBdr>
                    <w:top w:val="none" w:sz="0" w:space="0" w:color="auto"/>
                    <w:left w:val="none" w:sz="0" w:space="0" w:color="auto"/>
                    <w:bottom w:val="none" w:sz="0" w:space="0" w:color="auto"/>
                    <w:right w:val="none" w:sz="0" w:space="0" w:color="auto"/>
                  </w:divBdr>
                  <w:divsChild>
                    <w:div w:id="28067221">
                      <w:marLeft w:val="0"/>
                      <w:marRight w:val="0"/>
                      <w:marTop w:val="0"/>
                      <w:marBottom w:val="0"/>
                      <w:divBdr>
                        <w:top w:val="none" w:sz="0" w:space="0" w:color="auto"/>
                        <w:left w:val="none" w:sz="0" w:space="0" w:color="auto"/>
                        <w:bottom w:val="none" w:sz="0" w:space="0" w:color="auto"/>
                        <w:right w:val="none" w:sz="0" w:space="0" w:color="auto"/>
                      </w:divBdr>
                      <w:divsChild>
                        <w:div w:id="192245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141475">
      <w:bodyDiv w:val="1"/>
      <w:marLeft w:val="0"/>
      <w:marRight w:val="0"/>
      <w:marTop w:val="0"/>
      <w:marBottom w:val="0"/>
      <w:divBdr>
        <w:top w:val="none" w:sz="0" w:space="0" w:color="auto"/>
        <w:left w:val="none" w:sz="0" w:space="0" w:color="auto"/>
        <w:bottom w:val="none" w:sz="0" w:space="0" w:color="auto"/>
        <w:right w:val="none" w:sz="0" w:space="0" w:color="auto"/>
      </w:divBdr>
    </w:div>
    <w:div w:id="328100843">
      <w:bodyDiv w:val="1"/>
      <w:marLeft w:val="0"/>
      <w:marRight w:val="0"/>
      <w:marTop w:val="0"/>
      <w:marBottom w:val="0"/>
      <w:divBdr>
        <w:top w:val="none" w:sz="0" w:space="0" w:color="auto"/>
        <w:left w:val="none" w:sz="0" w:space="0" w:color="auto"/>
        <w:bottom w:val="none" w:sz="0" w:space="0" w:color="auto"/>
        <w:right w:val="none" w:sz="0" w:space="0" w:color="auto"/>
      </w:divBdr>
    </w:div>
    <w:div w:id="335695636">
      <w:bodyDiv w:val="1"/>
      <w:marLeft w:val="0"/>
      <w:marRight w:val="0"/>
      <w:marTop w:val="0"/>
      <w:marBottom w:val="0"/>
      <w:divBdr>
        <w:top w:val="none" w:sz="0" w:space="0" w:color="auto"/>
        <w:left w:val="none" w:sz="0" w:space="0" w:color="auto"/>
        <w:bottom w:val="none" w:sz="0" w:space="0" w:color="auto"/>
        <w:right w:val="none" w:sz="0" w:space="0" w:color="auto"/>
      </w:divBdr>
    </w:div>
    <w:div w:id="335881960">
      <w:bodyDiv w:val="1"/>
      <w:marLeft w:val="0"/>
      <w:marRight w:val="0"/>
      <w:marTop w:val="0"/>
      <w:marBottom w:val="0"/>
      <w:divBdr>
        <w:top w:val="none" w:sz="0" w:space="0" w:color="auto"/>
        <w:left w:val="none" w:sz="0" w:space="0" w:color="auto"/>
        <w:bottom w:val="none" w:sz="0" w:space="0" w:color="auto"/>
        <w:right w:val="none" w:sz="0" w:space="0" w:color="auto"/>
      </w:divBdr>
    </w:div>
    <w:div w:id="366107318">
      <w:bodyDiv w:val="1"/>
      <w:marLeft w:val="0"/>
      <w:marRight w:val="0"/>
      <w:marTop w:val="0"/>
      <w:marBottom w:val="0"/>
      <w:divBdr>
        <w:top w:val="none" w:sz="0" w:space="0" w:color="auto"/>
        <w:left w:val="none" w:sz="0" w:space="0" w:color="auto"/>
        <w:bottom w:val="none" w:sz="0" w:space="0" w:color="auto"/>
        <w:right w:val="none" w:sz="0" w:space="0" w:color="auto"/>
      </w:divBdr>
    </w:div>
    <w:div w:id="424696288">
      <w:bodyDiv w:val="1"/>
      <w:marLeft w:val="0"/>
      <w:marRight w:val="0"/>
      <w:marTop w:val="0"/>
      <w:marBottom w:val="0"/>
      <w:divBdr>
        <w:top w:val="none" w:sz="0" w:space="0" w:color="auto"/>
        <w:left w:val="none" w:sz="0" w:space="0" w:color="auto"/>
        <w:bottom w:val="none" w:sz="0" w:space="0" w:color="auto"/>
        <w:right w:val="none" w:sz="0" w:space="0" w:color="auto"/>
      </w:divBdr>
    </w:div>
    <w:div w:id="426269014">
      <w:bodyDiv w:val="1"/>
      <w:marLeft w:val="0"/>
      <w:marRight w:val="0"/>
      <w:marTop w:val="0"/>
      <w:marBottom w:val="0"/>
      <w:divBdr>
        <w:top w:val="none" w:sz="0" w:space="0" w:color="auto"/>
        <w:left w:val="none" w:sz="0" w:space="0" w:color="auto"/>
        <w:bottom w:val="none" w:sz="0" w:space="0" w:color="auto"/>
        <w:right w:val="none" w:sz="0" w:space="0" w:color="auto"/>
      </w:divBdr>
    </w:div>
    <w:div w:id="499542674">
      <w:bodyDiv w:val="1"/>
      <w:marLeft w:val="0"/>
      <w:marRight w:val="0"/>
      <w:marTop w:val="0"/>
      <w:marBottom w:val="0"/>
      <w:divBdr>
        <w:top w:val="none" w:sz="0" w:space="0" w:color="auto"/>
        <w:left w:val="none" w:sz="0" w:space="0" w:color="auto"/>
        <w:bottom w:val="none" w:sz="0" w:space="0" w:color="auto"/>
        <w:right w:val="none" w:sz="0" w:space="0" w:color="auto"/>
      </w:divBdr>
    </w:div>
    <w:div w:id="515116110">
      <w:bodyDiv w:val="1"/>
      <w:marLeft w:val="0"/>
      <w:marRight w:val="0"/>
      <w:marTop w:val="0"/>
      <w:marBottom w:val="0"/>
      <w:divBdr>
        <w:top w:val="none" w:sz="0" w:space="0" w:color="auto"/>
        <w:left w:val="none" w:sz="0" w:space="0" w:color="auto"/>
        <w:bottom w:val="none" w:sz="0" w:space="0" w:color="auto"/>
        <w:right w:val="none" w:sz="0" w:space="0" w:color="auto"/>
      </w:divBdr>
    </w:div>
    <w:div w:id="523133027">
      <w:bodyDiv w:val="1"/>
      <w:marLeft w:val="0"/>
      <w:marRight w:val="0"/>
      <w:marTop w:val="0"/>
      <w:marBottom w:val="0"/>
      <w:divBdr>
        <w:top w:val="none" w:sz="0" w:space="0" w:color="auto"/>
        <w:left w:val="none" w:sz="0" w:space="0" w:color="auto"/>
        <w:bottom w:val="none" w:sz="0" w:space="0" w:color="auto"/>
        <w:right w:val="none" w:sz="0" w:space="0" w:color="auto"/>
      </w:divBdr>
      <w:divsChild>
        <w:div w:id="898519747">
          <w:marLeft w:val="0"/>
          <w:marRight w:val="0"/>
          <w:marTop w:val="0"/>
          <w:marBottom w:val="0"/>
          <w:divBdr>
            <w:top w:val="none" w:sz="0" w:space="0" w:color="auto"/>
            <w:left w:val="none" w:sz="0" w:space="0" w:color="auto"/>
            <w:bottom w:val="none" w:sz="0" w:space="0" w:color="auto"/>
            <w:right w:val="none" w:sz="0" w:space="0" w:color="auto"/>
          </w:divBdr>
          <w:divsChild>
            <w:div w:id="1981112098">
              <w:marLeft w:val="0"/>
              <w:marRight w:val="0"/>
              <w:marTop w:val="0"/>
              <w:marBottom w:val="0"/>
              <w:divBdr>
                <w:top w:val="none" w:sz="0" w:space="0" w:color="auto"/>
                <w:left w:val="none" w:sz="0" w:space="0" w:color="auto"/>
                <w:bottom w:val="none" w:sz="0" w:space="0" w:color="auto"/>
                <w:right w:val="none" w:sz="0" w:space="0" w:color="auto"/>
              </w:divBdr>
              <w:divsChild>
                <w:div w:id="1786655881">
                  <w:marLeft w:val="0"/>
                  <w:marRight w:val="0"/>
                  <w:marTop w:val="0"/>
                  <w:marBottom w:val="0"/>
                  <w:divBdr>
                    <w:top w:val="none" w:sz="0" w:space="0" w:color="auto"/>
                    <w:left w:val="none" w:sz="0" w:space="0" w:color="auto"/>
                    <w:bottom w:val="none" w:sz="0" w:space="0" w:color="auto"/>
                    <w:right w:val="none" w:sz="0" w:space="0" w:color="auto"/>
                  </w:divBdr>
                  <w:divsChild>
                    <w:div w:id="714623547">
                      <w:marLeft w:val="0"/>
                      <w:marRight w:val="0"/>
                      <w:marTop w:val="0"/>
                      <w:marBottom w:val="0"/>
                      <w:divBdr>
                        <w:top w:val="none" w:sz="0" w:space="0" w:color="auto"/>
                        <w:left w:val="none" w:sz="0" w:space="0" w:color="auto"/>
                        <w:bottom w:val="none" w:sz="0" w:space="0" w:color="auto"/>
                        <w:right w:val="none" w:sz="0" w:space="0" w:color="auto"/>
                      </w:divBdr>
                      <w:divsChild>
                        <w:div w:id="79233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8494189">
      <w:bodyDiv w:val="1"/>
      <w:marLeft w:val="0"/>
      <w:marRight w:val="0"/>
      <w:marTop w:val="0"/>
      <w:marBottom w:val="0"/>
      <w:divBdr>
        <w:top w:val="none" w:sz="0" w:space="0" w:color="auto"/>
        <w:left w:val="none" w:sz="0" w:space="0" w:color="auto"/>
        <w:bottom w:val="none" w:sz="0" w:space="0" w:color="auto"/>
        <w:right w:val="none" w:sz="0" w:space="0" w:color="auto"/>
      </w:divBdr>
    </w:div>
    <w:div w:id="562326245">
      <w:bodyDiv w:val="1"/>
      <w:marLeft w:val="0"/>
      <w:marRight w:val="0"/>
      <w:marTop w:val="0"/>
      <w:marBottom w:val="0"/>
      <w:divBdr>
        <w:top w:val="none" w:sz="0" w:space="0" w:color="auto"/>
        <w:left w:val="none" w:sz="0" w:space="0" w:color="auto"/>
        <w:bottom w:val="none" w:sz="0" w:space="0" w:color="auto"/>
        <w:right w:val="none" w:sz="0" w:space="0" w:color="auto"/>
      </w:divBdr>
    </w:div>
    <w:div w:id="563417744">
      <w:bodyDiv w:val="1"/>
      <w:marLeft w:val="0"/>
      <w:marRight w:val="0"/>
      <w:marTop w:val="0"/>
      <w:marBottom w:val="0"/>
      <w:divBdr>
        <w:top w:val="none" w:sz="0" w:space="0" w:color="auto"/>
        <w:left w:val="none" w:sz="0" w:space="0" w:color="auto"/>
        <w:bottom w:val="none" w:sz="0" w:space="0" w:color="auto"/>
        <w:right w:val="none" w:sz="0" w:space="0" w:color="auto"/>
      </w:divBdr>
    </w:div>
    <w:div w:id="564265187">
      <w:bodyDiv w:val="1"/>
      <w:marLeft w:val="0"/>
      <w:marRight w:val="0"/>
      <w:marTop w:val="0"/>
      <w:marBottom w:val="0"/>
      <w:divBdr>
        <w:top w:val="none" w:sz="0" w:space="0" w:color="auto"/>
        <w:left w:val="none" w:sz="0" w:space="0" w:color="auto"/>
        <w:bottom w:val="none" w:sz="0" w:space="0" w:color="auto"/>
        <w:right w:val="none" w:sz="0" w:space="0" w:color="auto"/>
      </w:divBdr>
    </w:div>
    <w:div w:id="578947126">
      <w:bodyDiv w:val="1"/>
      <w:marLeft w:val="0"/>
      <w:marRight w:val="0"/>
      <w:marTop w:val="0"/>
      <w:marBottom w:val="0"/>
      <w:divBdr>
        <w:top w:val="none" w:sz="0" w:space="0" w:color="auto"/>
        <w:left w:val="none" w:sz="0" w:space="0" w:color="auto"/>
        <w:bottom w:val="none" w:sz="0" w:space="0" w:color="auto"/>
        <w:right w:val="none" w:sz="0" w:space="0" w:color="auto"/>
      </w:divBdr>
    </w:div>
    <w:div w:id="610667526">
      <w:bodyDiv w:val="1"/>
      <w:marLeft w:val="0"/>
      <w:marRight w:val="0"/>
      <w:marTop w:val="0"/>
      <w:marBottom w:val="0"/>
      <w:divBdr>
        <w:top w:val="none" w:sz="0" w:space="0" w:color="auto"/>
        <w:left w:val="none" w:sz="0" w:space="0" w:color="auto"/>
        <w:bottom w:val="none" w:sz="0" w:space="0" w:color="auto"/>
        <w:right w:val="none" w:sz="0" w:space="0" w:color="auto"/>
      </w:divBdr>
    </w:div>
    <w:div w:id="621495618">
      <w:bodyDiv w:val="1"/>
      <w:marLeft w:val="0"/>
      <w:marRight w:val="0"/>
      <w:marTop w:val="0"/>
      <w:marBottom w:val="0"/>
      <w:divBdr>
        <w:top w:val="none" w:sz="0" w:space="0" w:color="auto"/>
        <w:left w:val="none" w:sz="0" w:space="0" w:color="auto"/>
        <w:bottom w:val="none" w:sz="0" w:space="0" w:color="auto"/>
        <w:right w:val="none" w:sz="0" w:space="0" w:color="auto"/>
      </w:divBdr>
    </w:div>
    <w:div w:id="623851207">
      <w:bodyDiv w:val="1"/>
      <w:marLeft w:val="0"/>
      <w:marRight w:val="0"/>
      <w:marTop w:val="0"/>
      <w:marBottom w:val="0"/>
      <w:divBdr>
        <w:top w:val="none" w:sz="0" w:space="0" w:color="auto"/>
        <w:left w:val="none" w:sz="0" w:space="0" w:color="auto"/>
        <w:bottom w:val="none" w:sz="0" w:space="0" w:color="auto"/>
        <w:right w:val="none" w:sz="0" w:space="0" w:color="auto"/>
      </w:divBdr>
    </w:div>
    <w:div w:id="629822473">
      <w:bodyDiv w:val="1"/>
      <w:marLeft w:val="0"/>
      <w:marRight w:val="0"/>
      <w:marTop w:val="0"/>
      <w:marBottom w:val="0"/>
      <w:divBdr>
        <w:top w:val="none" w:sz="0" w:space="0" w:color="auto"/>
        <w:left w:val="none" w:sz="0" w:space="0" w:color="auto"/>
        <w:bottom w:val="none" w:sz="0" w:space="0" w:color="auto"/>
        <w:right w:val="none" w:sz="0" w:space="0" w:color="auto"/>
      </w:divBdr>
    </w:div>
    <w:div w:id="647323371">
      <w:bodyDiv w:val="1"/>
      <w:marLeft w:val="0"/>
      <w:marRight w:val="0"/>
      <w:marTop w:val="0"/>
      <w:marBottom w:val="0"/>
      <w:divBdr>
        <w:top w:val="none" w:sz="0" w:space="0" w:color="auto"/>
        <w:left w:val="none" w:sz="0" w:space="0" w:color="auto"/>
        <w:bottom w:val="none" w:sz="0" w:space="0" w:color="auto"/>
        <w:right w:val="none" w:sz="0" w:space="0" w:color="auto"/>
      </w:divBdr>
    </w:div>
    <w:div w:id="681011008">
      <w:bodyDiv w:val="1"/>
      <w:marLeft w:val="0"/>
      <w:marRight w:val="0"/>
      <w:marTop w:val="0"/>
      <w:marBottom w:val="0"/>
      <w:divBdr>
        <w:top w:val="none" w:sz="0" w:space="0" w:color="auto"/>
        <w:left w:val="none" w:sz="0" w:space="0" w:color="auto"/>
        <w:bottom w:val="none" w:sz="0" w:space="0" w:color="auto"/>
        <w:right w:val="none" w:sz="0" w:space="0" w:color="auto"/>
      </w:divBdr>
    </w:div>
    <w:div w:id="682130219">
      <w:bodyDiv w:val="1"/>
      <w:marLeft w:val="0"/>
      <w:marRight w:val="0"/>
      <w:marTop w:val="0"/>
      <w:marBottom w:val="0"/>
      <w:divBdr>
        <w:top w:val="none" w:sz="0" w:space="0" w:color="auto"/>
        <w:left w:val="none" w:sz="0" w:space="0" w:color="auto"/>
        <w:bottom w:val="none" w:sz="0" w:space="0" w:color="auto"/>
        <w:right w:val="none" w:sz="0" w:space="0" w:color="auto"/>
      </w:divBdr>
    </w:div>
    <w:div w:id="690692389">
      <w:bodyDiv w:val="1"/>
      <w:marLeft w:val="0"/>
      <w:marRight w:val="0"/>
      <w:marTop w:val="0"/>
      <w:marBottom w:val="0"/>
      <w:divBdr>
        <w:top w:val="none" w:sz="0" w:space="0" w:color="auto"/>
        <w:left w:val="none" w:sz="0" w:space="0" w:color="auto"/>
        <w:bottom w:val="none" w:sz="0" w:space="0" w:color="auto"/>
        <w:right w:val="none" w:sz="0" w:space="0" w:color="auto"/>
      </w:divBdr>
    </w:div>
    <w:div w:id="697777834">
      <w:bodyDiv w:val="1"/>
      <w:marLeft w:val="0"/>
      <w:marRight w:val="0"/>
      <w:marTop w:val="0"/>
      <w:marBottom w:val="0"/>
      <w:divBdr>
        <w:top w:val="none" w:sz="0" w:space="0" w:color="auto"/>
        <w:left w:val="none" w:sz="0" w:space="0" w:color="auto"/>
        <w:bottom w:val="none" w:sz="0" w:space="0" w:color="auto"/>
        <w:right w:val="none" w:sz="0" w:space="0" w:color="auto"/>
      </w:divBdr>
    </w:div>
    <w:div w:id="700319408">
      <w:bodyDiv w:val="1"/>
      <w:marLeft w:val="0"/>
      <w:marRight w:val="0"/>
      <w:marTop w:val="0"/>
      <w:marBottom w:val="0"/>
      <w:divBdr>
        <w:top w:val="none" w:sz="0" w:space="0" w:color="auto"/>
        <w:left w:val="none" w:sz="0" w:space="0" w:color="auto"/>
        <w:bottom w:val="none" w:sz="0" w:space="0" w:color="auto"/>
        <w:right w:val="none" w:sz="0" w:space="0" w:color="auto"/>
      </w:divBdr>
    </w:div>
    <w:div w:id="707414094">
      <w:bodyDiv w:val="1"/>
      <w:marLeft w:val="0"/>
      <w:marRight w:val="0"/>
      <w:marTop w:val="0"/>
      <w:marBottom w:val="0"/>
      <w:divBdr>
        <w:top w:val="none" w:sz="0" w:space="0" w:color="auto"/>
        <w:left w:val="none" w:sz="0" w:space="0" w:color="auto"/>
        <w:bottom w:val="none" w:sz="0" w:space="0" w:color="auto"/>
        <w:right w:val="none" w:sz="0" w:space="0" w:color="auto"/>
      </w:divBdr>
    </w:div>
    <w:div w:id="743334412">
      <w:bodyDiv w:val="1"/>
      <w:marLeft w:val="0"/>
      <w:marRight w:val="0"/>
      <w:marTop w:val="0"/>
      <w:marBottom w:val="0"/>
      <w:divBdr>
        <w:top w:val="none" w:sz="0" w:space="0" w:color="auto"/>
        <w:left w:val="none" w:sz="0" w:space="0" w:color="auto"/>
        <w:bottom w:val="none" w:sz="0" w:space="0" w:color="auto"/>
        <w:right w:val="none" w:sz="0" w:space="0" w:color="auto"/>
      </w:divBdr>
    </w:div>
    <w:div w:id="773404387">
      <w:bodyDiv w:val="1"/>
      <w:marLeft w:val="0"/>
      <w:marRight w:val="0"/>
      <w:marTop w:val="0"/>
      <w:marBottom w:val="0"/>
      <w:divBdr>
        <w:top w:val="none" w:sz="0" w:space="0" w:color="auto"/>
        <w:left w:val="none" w:sz="0" w:space="0" w:color="auto"/>
        <w:bottom w:val="none" w:sz="0" w:space="0" w:color="auto"/>
        <w:right w:val="none" w:sz="0" w:space="0" w:color="auto"/>
      </w:divBdr>
    </w:div>
    <w:div w:id="796797877">
      <w:bodyDiv w:val="1"/>
      <w:marLeft w:val="0"/>
      <w:marRight w:val="0"/>
      <w:marTop w:val="0"/>
      <w:marBottom w:val="0"/>
      <w:divBdr>
        <w:top w:val="none" w:sz="0" w:space="0" w:color="auto"/>
        <w:left w:val="none" w:sz="0" w:space="0" w:color="auto"/>
        <w:bottom w:val="none" w:sz="0" w:space="0" w:color="auto"/>
        <w:right w:val="none" w:sz="0" w:space="0" w:color="auto"/>
      </w:divBdr>
    </w:div>
    <w:div w:id="806315240">
      <w:bodyDiv w:val="1"/>
      <w:marLeft w:val="0"/>
      <w:marRight w:val="0"/>
      <w:marTop w:val="0"/>
      <w:marBottom w:val="0"/>
      <w:divBdr>
        <w:top w:val="none" w:sz="0" w:space="0" w:color="auto"/>
        <w:left w:val="none" w:sz="0" w:space="0" w:color="auto"/>
        <w:bottom w:val="none" w:sz="0" w:space="0" w:color="auto"/>
        <w:right w:val="none" w:sz="0" w:space="0" w:color="auto"/>
      </w:divBdr>
    </w:div>
    <w:div w:id="816916429">
      <w:bodyDiv w:val="1"/>
      <w:marLeft w:val="0"/>
      <w:marRight w:val="0"/>
      <w:marTop w:val="0"/>
      <w:marBottom w:val="0"/>
      <w:divBdr>
        <w:top w:val="none" w:sz="0" w:space="0" w:color="auto"/>
        <w:left w:val="none" w:sz="0" w:space="0" w:color="auto"/>
        <w:bottom w:val="none" w:sz="0" w:space="0" w:color="auto"/>
        <w:right w:val="none" w:sz="0" w:space="0" w:color="auto"/>
      </w:divBdr>
    </w:div>
    <w:div w:id="842017173">
      <w:bodyDiv w:val="1"/>
      <w:marLeft w:val="0"/>
      <w:marRight w:val="0"/>
      <w:marTop w:val="0"/>
      <w:marBottom w:val="0"/>
      <w:divBdr>
        <w:top w:val="none" w:sz="0" w:space="0" w:color="auto"/>
        <w:left w:val="none" w:sz="0" w:space="0" w:color="auto"/>
        <w:bottom w:val="none" w:sz="0" w:space="0" w:color="auto"/>
        <w:right w:val="none" w:sz="0" w:space="0" w:color="auto"/>
      </w:divBdr>
    </w:div>
    <w:div w:id="852500189">
      <w:bodyDiv w:val="1"/>
      <w:marLeft w:val="0"/>
      <w:marRight w:val="0"/>
      <w:marTop w:val="0"/>
      <w:marBottom w:val="0"/>
      <w:divBdr>
        <w:top w:val="none" w:sz="0" w:space="0" w:color="auto"/>
        <w:left w:val="none" w:sz="0" w:space="0" w:color="auto"/>
        <w:bottom w:val="none" w:sz="0" w:space="0" w:color="auto"/>
        <w:right w:val="none" w:sz="0" w:space="0" w:color="auto"/>
      </w:divBdr>
    </w:div>
    <w:div w:id="852766723">
      <w:bodyDiv w:val="1"/>
      <w:marLeft w:val="0"/>
      <w:marRight w:val="0"/>
      <w:marTop w:val="0"/>
      <w:marBottom w:val="0"/>
      <w:divBdr>
        <w:top w:val="none" w:sz="0" w:space="0" w:color="auto"/>
        <w:left w:val="none" w:sz="0" w:space="0" w:color="auto"/>
        <w:bottom w:val="none" w:sz="0" w:space="0" w:color="auto"/>
        <w:right w:val="none" w:sz="0" w:space="0" w:color="auto"/>
      </w:divBdr>
    </w:div>
    <w:div w:id="902250264">
      <w:bodyDiv w:val="1"/>
      <w:marLeft w:val="0"/>
      <w:marRight w:val="0"/>
      <w:marTop w:val="0"/>
      <w:marBottom w:val="0"/>
      <w:divBdr>
        <w:top w:val="none" w:sz="0" w:space="0" w:color="auto"/>
        <w:left w:val="none" w:sz="0" w:space="0" w:color="auto"/>
        <w:bottom w:val="none" w:sz="0" w:space="0" w:color="auto"/>
        <w:right w:val="none" w:sz="0" w:space="0" w:color="auto"/>
      </w:divBdr>
    </w:div>
    <w:div w:id="904684554">
      <w:bodyDiv w:val="1"/>
      <w:marLeft w:val="0"/>
      <w:marRight w:val="0"/>
      <w:marTop w:val="0"/>
      <w:marBottom w:val="0"/>
      <w:divBdr>
        <w:top w:val="none" w:sz="0" w:space="0" w:color="auto"/>
        <w:left w:val="none" w:sz="0" w:space="0" w:color="auto"/>
        <w:bottom w:val="none" w:sz="0" w:space="0" w:color="auto"/>
        <w:right w:val="none" w:sz="0" w:space="0" w:color="auto"/>
      </w:divBdr>
    </w:div>
    <w:div w:id="923687352">
      <w:bodyDiv w:val="1"/>
      <w:marLeft w:val="0"/>
      <w:marRight w:val="0"/>
      <w:marTop w:val="0"/>
      <w:marBottom w:val="0"/>
      <w:divBdr>
        <w:top w:val="none" w:sz="0" w:space="0" w:color="auto"/>
        <w:left w:val="none" w:sz="0" w:space="0" w:color="auto"/>
        <w:bottom w:val="none" w:sz="0" w:space="0" w:color="auto"/>
        <w:right w:val="none" w:sz="0" w:space="0" w:color="auto"/>
      </w:divBdr>
    </w:div>
    <w:div w:id="927007156">
      <w:bodyDiv w:val="1"/>
      <w:marLeft w:val="0"/>
      <w:marRight w:val="0"/>
      <w:marTop w:val="0"/>
      <w:marBottom w:val="0"/>
      <w:divBdr>
        <w:top w:val="none" w:sz="0" w:space="0" w:color="auto"/>
        <w:left w:val="none" w:sz="0" w:space="0" w:color="auto"/>
        <w:bottom w:val="none" w:sz="0" w:space="0" w:color="auto"/>
        <w:right w:val="none" w:sz="0" w:space="0" w:color="auto"/>
      </w:divBdr>
    </w:div>
    <w:div w:id="937982684">
      <w:bodyDiv w:val="1"/>
      <w:marLeft w:val="0"/>
      <w:marRight w:val="0"/>
      <w:marTop w:val="0"/>
      <w:marBottom w:val="0"/>
      <w:divBdr>
        <w:top w:val="none" w:sz="0" w:space="0" w:color="auto"/>
        <w:left w:val="none" w:sz="0" w:space="0" w:color="auto"/>
        <w:bottom w:val="none" w:sz="0" w:space="0" w:color="auto"/>
        <w:right w:val="none" w:sz="0" w:space="0" w:color="auto"/>
      </w:divBdr>
    </w:div>
    <w:div w:id="939071450">
      <w:bodyDiv w:val="1"/>
      <w:marLeft w:val="0"/>
      <w:marRight w:val="0"/>
      <w:marTop w:val="0"/>
      <w:marBottom w:val="0"/>
      <w:divBdr>
        <w:top w:val="none" w:sz="0" w:space="0" w:color="auto"/>
        <w:left w:val="none" w:sz="0" w:space="0" w:color="auto"/>
        <w:bottom w:val="none" w:sz="0" w:space="0" w:color="auto"/>
        <w:right w:val="none" w:sz="0" w:space="0" w:color="auto"/>
      </w:divBdr>
    </w:div>
    <w:div w:id="946501801">
      <w:bodyDiv w:val="1"/>
      <w:marLeft w:val="0"/>
      <w:marRight w:val="0"/>
      <w:marTop w:val="0"/>
      <w:marBottom w:val="0"/>
      <w:divBdr>
        <w:top w:val="none" w:sz="0" w:space="0" w:color="auto"/>
        <w:left w:val="none" w:sz="0" w:space="0" w:color="auto"/>
        <w:bottom w:val="none" w:sz="0" w:space="0" w:color="auto"/>
        <w:right w:val="none" w:sz="0" w:space="0" w:color="auto"/>
      </w:divBdr>
    </w:div>
    <w:div w:id="955719026">
      <w:bodyDiv w:val="1"/>
      <w:marLeft w:val="0"/>
      <w:marRight w:val="0"/>
      <w:marTop w:val="0"/>
      <w:marBottom w:val="0"/>
      <w:divBdr>
        <w:top w:val="none" w:sz="0" w:space="0" w:color="auto"/>
        <w:left w:val="none" w:sz="0" w:space="0" w:color="auto"/>
        <w:bottom w:val="none" w:sz="0" w:space="0" w:color="auto"/>
        <w:right w:val="none" w:sz="0" w:space="0" w:color="auto"/>
      </w:divBdr>
    </w:div>
    <w:div w:id="969090051">
      <w:bodyDiv w:val="1"/>
      <w:marLeft w:val="0"/>
      <w:marRight w:val="0"/>
      <w:marTop w:val="0"/>
      <w:marBottom w:val="0"/>
      <w:divBdr>
        <w:top w:val="none" w:sz="0" w:space="0" w:color="auto"/>
        <w:left w:val="none" w:sz="0" w:space="0" w:color="auto"/>
        <w:bottom w:val="none" w:sz="0" w:space="0" w:color="auto"/>
        <w:right w:val="none" w:sz="0" w:space="0" w:color="auto"/>
      </w:divBdr>
    </w:div>
    <w:div w:id="974221551">
      <w:bodyDiv w:val="1"/>
      <w:marLeft w:val="0"/>
      <w:marRight w:val="0"/>
      <w:marTop w:val="0"/>
      <w:marBottom w:val="0"/>
      <w:divBdr>
        <w:top w:val="none" w:sz="0" w:space="0" w:color="auto"/>
        <w:left w:val="none" w:sz="0" w:space="0" w:color="auto"/>
        <w:bottom w:val="none" w:sz="0" w:space="0" w:color="auto"/>
        <w:right w:val="none" w:sz="0" w:space="0" w:color="auto"/>
      </w:divBdr>
    </w:div>
    <w:div w:id="974799765">
      <w:bodyDiv w:val="1"/>
      <w:marLeft w:val="0"/>
      <w:marRight w:val="0"/>
      <w:marTop w:val="0"/>
      <w:marBottom w:val="0"/>
      <w:divBdr>
        <w:top w:val="none" w:sz="0" w:space="0" w:color="auto"/>
        <w:left w:val="none" w:sz="0" w:space="0" w:color="auto"/>
        <w:bottom w:val="none" w:sz="0" w:space="0" w:color="auto"/>
        <w:right w:val="none" w:sz="0" w:space="0" w:color="auto"/>
      </w:divBdr>
    </w:div>
    <w:div w:id="974985226">
      <w:bodyDiv w:val="1"/>
      <w:marLeft w:val="0"/>
      <w:marRight w:val="0"/>
      <w:marTop w:val="0"/>
      <w:marBottom w:val="0"/>
      <w:divBdr>
        <w:top w:val="none" w:sz="0" w:space="0" w:color="auto"/>
        <w:left w:val="none" w:sz="0" w:space="0" w:color="auto"/>
        <w:bottom w:val="none" w:sz="0" w:space="0" w:color="auto"/>
        <w:right w:val="none" w:sz="0" w:space="0" w:color="auto"/>
      </w:divBdr>
    </w:div>
    <w:div w:id="992099727">
      <w:bodyDiv w:val="1"/>
      <w:marLeft w:val="0"/>
      <w:marRight w:val="0"/>
      <w:marTop w:val="0"/>
      <w:marBottom w:val="0"/>
      <w:divBdr>
        <w:top w:val="none" w:sz="0" w:space="0" w:color="auto"/>
        <w:left w:val="none" w:sz="0" w:space="0" w:color="auto"/>
        <w:bottom w:val="none" w:sz="0" w:space="0" w:color="auto"/>
        <w:right w:val="none" w:sz="0" w:space="0" w:color="auto"/>
      </w:divBdr>
    </w:div>
    <w:div w:id="1004936982">
      <w:bodyDiv w:val="1"/>
      <w:marLeft w:val="0"/>
      <w:marRight w:val="0"/>
      <w:marTop w:val="0"/>
      <w:marBottom w:val="0"/>
      <w:divBdr>
        <w:top w:val="none" w:sz="0" w:space="0" w:color="auto"/>
        <w:left w:val="none" w:sz="0" w:space="0" w:color="auto"/>
        <w:bottom w:val="none" w:sz="0" w:space="0" w:color="auto"/>
        <w:right w:val="none" w:sz="0" w:space="0" w:color="auto"/>
      </w:divBdr>
    </w:div>
    <w:div w:id="1007170663">
      <w:bodyDiv w:val="1"/>
      <w:marLeft w:val="0"/>
      <w:marRight w:val="0"/>
      <w:marTop w:val="0"/>
      <w:marBottom w:val="0"/>
      <w:divBdr>
        <w:top w:val="none" w:sz="0" w:space="0" w:color="auto"/>
        <w:left w:val="none" w:sz="0" w:space="0" w:color="auto"/>
        <w:bottom w:val="none" w:sz="0" w:space="0" w:color="auto"/>
        <w:right w:val="none" w:sz="0" w:space="0" w:color="auto"/>
      </w:divBdr>
    </w:div>
    <w:div w:id="1025058910">
      <w:bodyDiv w:val="1"/>
      <w:marLeft w:val="0"/>
      <w:marRight w:val="0"/>
      <w:marTop w:val="0"/>
      <w:marBottom w:val="0"/>
      <w:divBdr>
        <w:top w:val="none" w:sz="0" w:space="0" w:color="auto"/>
        <w:left w:val="none" w:sz="0" w:space="0" w:color="auto"/>
        <w:bottom w:val="none" w:sz="0" w:space="0" w:color="auto"/>
        <w:right w:val="none" w:sz="0" w:space="0" w:color="auto"/>
      </w:divBdr>
    </w:div>
    <w:div w:id="1040204685">
      <w:bodyDiv w:val="1"/>
      <w:marLeft w:val="0"/>
      <w:marRight w:val="0"/>
      <w:marTop w:val="0"/>
      <w:marBottom w:val="0"/>
      <w:divBdr>
        <w:top w:val="none" w:sz="0" w:space="0" w:color="auto"/>
        <w:left w:val="none" w:sz="0" w:space="0" w:color="auto"/>
        <w:bottom w:val="none" w:sz="0" w:space="0" w:color="auto"/>
        <w:right w:val="none" w:sz="0" w:space="0" w:color="auto"/>
      </w:divBdr>
    </w:div>
    <w:div w:id="1081953708">
      <w:bodyDiv w:val="1"/>
      <w:marLeft w:val="0"/>
      <w:marRight w:val="0"/>
      <w:marTop w:val="0"/>
      <w:marBottom w:val="0"/>
      <w:divBdr>
        <w:top w:val="none" w:sz="0" w:space="0" w:color="auto"/>
        <w:left w:val="none" w:sz="0" w:space="0" w:color="auto"/>
        <w:bottom w:val="none" w:sz="0" w:space="0" w:color="auto"/>
        <w:right w:val="none" w:sz="0" w:space="0" w:color="auto"/>
      </w:divBdr>
    </w:div>
    <w:div w:id="1086609979">
      <w:bodyDiv w:val="1"/>
      <w:marLeft w:val="0"/>
      <w:marRight w:val="0"/>
      <w:marTop w:val="0"/>
      <w:marBottom w:val="0"/>
      <w:divBdr>
        <w:top w:val="none" w:sz="0" w:space="0" w:color="auto"/>
        <w:left w:val="none" w:sz="0" w:space="0" w:color="auto"/>
        <w:bottom w:val="none" w:sz="0" w:space="0" w:color="auto"/>
        <w:right w:val="none" w:sz="0" w:space="0" w:color="auto"/>
      </w:divBdr>
    </w:div>
    <w:div w:id="1100181054">
      <w:bodyDiv w:val="1"/>
      <w:marLeft w:val="0"/>
      <w:marRight w:val="0"/>
      <w:marTop w:val="0"/>
      <w:marBottom w:val="0"/>
      <w:divBdr>
        <w:top w:val="none" w:sz="0" w:space="0" w:color="auto"/>
        <w:left w:val="none" w:sz="0" w:space="0" w:color="auto"/>
        <w:bottom w:val="none" w:sz="0" w:space="0" w:color="auto"/>
        <w:right w:val="none" w:sz="0" w:space="0" w:color="auto"/>
      </w:divBdr>
    </w:div>
    <w:div w:id="1105270073">
      <w:bodyDiv w:val="1"/>
      <w:marLeft w:val="0"/>
      <w:marRight w:val="0"/>
      <w:marTop w:val="0"/>
      <w:marBottom w:val="0"/>
      <w:divBdr>
        <w:top w:val="none" w:sz="0" w:space="0" w:color="auto"/>
        <w:left w:val="none" w:sz="0" w:space="0" w:color="auto"/>
        <w:bottom w:val="none" w:sz="0" w:space="0" w:color="auto"/>
        <w:right w:val="none" w:sz="0" w:space="0" w:color="auto"/>
      </w:divBdr>
    </w:div>
    <w:div w:id="1112171722">
      <w:bodyDiv w:val="1"/>
      <w:marLeft w:val="0"/>
      <w:marRight w:val="0"/>
      <w:marTop w:val="0"/>
      <w:marBottom w:val="0"/>
      <w:divBdr>
        <w:top w:val="none" w:sz="0" w:space="0" w:color="auto"/>
        <w:left w:val="none" w:sz="0" w:space="0" w:color="auto"/>
        <w:bottom w:val="none" w:sz="0" w:space="0" w:color="auto"/>
        <w:right w:val="none" w:sz="0" w:space="0" w:color="auto"/>
      </w:divBdr>
    </w:div>
    <w:div w:id="1146627161">
      <w:bodyDiv w:val="1"/>
      <w:marLeft w:val="0"/>
      <w:marRight w:val="0"/>
      <w:marTop w:val="0"/>
      <w:marBottom w:val="0"/>
      <w:divBdr>
        <w:top w:val="none" w:sz="0" w:space="0" w:color="auto"/>
        <w:left w:val="none" w:sz="0" w:space="0" w:color="auto"/>
        <w:bottom w:val="none" w:sz="0" w:space="0" w:color="auto"/>
        <w:right w:val="none" w:sz="0" w:space="0" w:color="auto"/>
      </w:divBdr>
    </w:div>
    <w:div w:id="1150367676">
      <w:bodyDiv w:val="1"/>
      <w:marLeft w:val="0"/>
      <w:marRight w:val="0"/>
      <w:marTop w:val="0"/>
      <w:marBottom w:val="0"/>
      <w:divBdr>
        <w:top w:val="none" w:sz="0" w:space="0" w:color="auto"/>
        <w:left w:val="none" w:sz="0" w:space="0" w:color="auto"/>
        <w:bottom w:val="none" w:sz="0" w:space="0" w:color="auto"/>
        <w:right w:val="none" w:sz="0" w:space="0" w:color="auto"/>
      </w:divBdr>
    </w:div>
    <w:div w:id="1164779723">
      <w:bodyDiv w:val="1"/>
      <w:marLeft w:val="0"/>
      <w:marRight w:val="0"/>
      <w:marTop w:val="0"/>
      <w:marBottom w:val="0"/>
      <w:divBdr>
        <w:top w:val="none" w:sz="0" w:space="0" w:color="auto"/>
        <w:left w:val="none" w:sz="0" w:space="0" w:color="auto"/>
        <w:bottom w:val="none" w:sz="0" w:space="0" w:color="auto"/>
        <w:right w:val="none" w:sz="0" w:space="0" w:color="auto"/>
      </w:divBdr>
    </w:div>
    <w:div w:id="1168986016">
      <w:bodyDiv w:val="1"/>
      <w:marLeft w:val="0"/>
      <w:marRight w:val="0"/>
      <w:marTop w:val="0"/>
      <w:marBottom w:val="0"/>
      <w:divBdr>
        <w:top w:val="none" w:sz="0" w:space="0" w:color="auto"/>
        <w:left w:val="none" w:sz="0" w:space="0" w:color="auto"/>
        <w:bottom w:val="none" w:sz="0" w:space="0" w:color="auto"/>
        <w:right w:val="none" w:sz="0" w:space="0" w:color="auto"/>
      </w:divBdr>
    </w:div>
    <w:div w:id="1222132879">
      <w:bodyDiv w:val="1"/>
      <w:marLeft w:val="0"/>
      <w:marRight w:val="0"/>
      <w:marTop w:val="0"/>
      <w:marBottom w:val="0"/>
      <w:divBdr>
        <w:top w:val="none" w:sz="0" w:space="0" w:color="auto"/>
        <w:left w:val="none" w:sz="0" w:space="0" w:color="auto"/>
        <w:bottom w:val="none" w:sz="0" w:space="0" w:color="auto"/>
        <w:right w:val="none" w:sz="0" w:space="0" w:color="auto"/>
      </w:divBdr>
    </w:div>
    <w:div w:id="1227493756">
      <w:bodyDiv w:val="1"/>
      <w:marLeft w:val="0"/>
      <w:marRight w:val="0"/>
      <w:marTop w:val="0"/>
      <w:marBottom w:val="0"/>
      <w:divBdr>
        <w:top w:val="none" w:sz="0" w:space="0" w:color="auto"/>
        <w:left w:val="none" w:sz="0" w:space="0" w:color="auto"/>
        <w:bottom w:val="none" w:sz="0" w:space="0" w:color="auto"/>
        <w:right w:val="none" w:sz="0" w:space="0" w:color="auto"/>
      </w:divBdr>
    </w:div>
    <w:div w:id="1232621884">
      <w:bodyDiv w:val="1"/>
      <w:marLeft w:val="0"/>
      <w:marRight w:val="0"/>
      <w:marTop w:val="0"/>
      <w:marBottom w:val="0"/>
      <w:divBdr>
        <w:top w:val="none" w:sz="0" w:space="0" w:color="auto"/>
        <w:left w:val="none" w:sz="0" w:space="0" w:color="auto"/>
        <w:bottom w:val="none" w:sz="0" w:space="0" w:color="auto"/>
        <w:right w:val="none" w:sz="0" w:space="0" w:color="auto"/>
      </w:divBdr>
    </w:div>
    <w:div w:id="1250043629">
      <w:bodyDiv w:val="1"/>
      <w:marLeft w:val="0"/>
      <w:marRight w:val="0"/>
      <w:marTop w:val="0"/>
      <w:marBottom w:val="0"/>
      <w:divBdr>
        <w:top w:val="none" w:sz="0" w:space="0" w:color="auto"/>
        <w:left w:val="none" w:sz="0" w:space="0" w:color="auto"/>
        <w:bottom w:val="none" w:sz="0" w:space="0" w:color="auto"/>
        <w:right w:val="none" w:sz="0" w:space="0" w:color="auto"/>
      </w:divBdr>
    </w:div>
    <w:div w:id="1258709833">
      <w:bodyDiv w:val="1"/>
      <w:marLeft w:val="0"/>
      <w:marRight w:val="0"/>
      <w:marTop w:val="0"/>
      <w:marBottom w:val="0"/>
      <w:divBdr>
        <w:top w:val="none" w:sz="0" w:space="0" w:color="auto"/>
        <w:left w:val="none" w:sz="0" w:space="0" w:color="auto"/>
        <w:bottom w:val="none" w:sz="0" w:space="0" w:color="auto"/>
        <w:right w:val="none" w:sz="0" w:space="0" w:color="auto"/>
      </w:divBdr>
    </w:div>
    <w:div w:id="1261989669">
      <w:bodyDiv w:val="1"/>
      <w:marLeft w:val="0"/>
      <w:marRight w:val="0"/>
      <w:marTop w:val="0"/>
      <w:marBottom w:val="0"/>
      <w:divBdr>
        <w:top w:val="none" w:sz="0" w:space="0" w:color="auto"/>
        <w:left w:val="none" w:sz="0" w:space="0" w:color="auto"/>
        <w:bottom w:val="none" w:sz="0" w:space="0" w:color="auto"/>
        <w:right w:val="none" w:sz="0" w:space="0" w:color="auto"/>
      </w:divBdr>
    </w:div>
    <w:div w:id="1263954704">
      <w:bodyDiv w:val="1"/>
      <w:marLeft w:val="0"/>
      <w:marRight w:val="0"/>
      <w:marTop w:val="0"/>
      <w:marBottom w:val="0"/>
      <w:divBdr>
        <w:top w:val="none" w:sz="0" w:space="0" w:color="auto"/>
        <w:left w:val="none" w:sz="0" w:space="0" w:color="auto"/>
        <w:bottom w:val="none" w:sz="0" w:space="0" w:color="auto"/>
        <w:right w:val="none" w:sz="0" w:space="0" w:color="auto"/>
      </w:divBdr>
    </w:div>
    <w:div w:id="1285620815">
      <w:bodyDiv w:val="1"/>
      <w:marLeft w:val="0"/>
      <w:marRight w:val="0"/>
      <w:marTop w:val="0"/>
      <w:marBottom w:val="0"/>
      <w:divBdr>
        <w:top w:val="none" w:sz="0" w:space="0" w:color="auto"/>
        <w:left w:val="none" w:sz="0" w:space="0" w:color="auto"/>
        <w:bottom w:val="none" w:sz="0" w:space="0" w:color="auto"/>
        <w:right w:val="none" w:sz="0" w:space="0" w:color="auto"/>
      </w:divBdr>
    </w:div>
    <w:div w:id="1291939018">
      <w:bodyDiv w:val="1"/>
      <w:marLeft w:val="0"/>
      <w:marRight w:val="0"/>
      <w:marTop w:val="0"/>
      <w:marBottom w:val="0"/>
      <w:divBdr>
        <w:top w:val="none" w:sz="0" w:space="0" w:color="auto"/>
        <w:left w:val="none" w:sz="0" w:space="0" w:color="auto"/>
        <w:bottom w:val="none" w:sz="0" w:space="0" w:color="auto"/>
        <w:right w:val="none" w:sz="0" w:space="0" w:color="auto"/>
      </w:divBdr>
    </w:div>
    <w:div w:id="1330133882">
      <w:bodyDiv w:val="1"/>
      <w:marLeft w:val="0"/>
      <w:marRight w:val="0"/>
      <w:marTop w:val="0"/>
      <w:marBottom w:val="0"/>
      <w:divBdr>
        <w:top w:val="none" w:sz="0" w:space="0" w:color="auto"/>
        <w:left w:val="none" w:sz="0" w:space="0" w:color="auto"/>
        <w:bottom w:val="none" w:sz="0" w:space="0" w:color="auto"/>
        <w:right w:val="none" w:sz="0" w:space="0" w:color="auto"/>
      </w:divBdr>
    </w:div>
    <w:div w:id="1344362038">
      <w:bodyDiv w:val="1"/>
      <w:marLeft w:val="0"/>
      <w:marRight w:val="0"/>
      <w:marTop w:val="0"/>
      <w:marBottom w:val="0"/>
      <w:divBdr>
        <w:top w:val="none" w:sz="0" w:space="0" w:color="auto"/>
        <w:left w:val="none" w:sz="0" w:space="0" w:color="auto"/>
        <w:bottom w:val="none" w:sz="0" w:space="0" w:color="auto"/>
        <w:right w:val="none" w:sz="0" w:space="0" w:color="auto"/>
      </w:divBdr>
    </w:div>
    <w:div w:id="1400905268">
      <w:bodyDiv w:val="1"/>
      <w:marLeft w:val="0"/>
      <w:marRight w:val="0"/>
      <w:marTop w:val="0"/>
      <w:marBottom w:val="0"/>
      <w:divBdr>
        <w:top w:val="none" w:sz="0" w:space="0" w:color="auto"/>
        <w:left w:val="none" w:sz="0" w:space="0" w:color="auto"/>
        <w:bottom w:val="none" w:sz="0" w:space="0" w:color="auto"/>
        <w:right w:val="none" w:sz="0" w:space="0" w:color="auto"/>
      </w:divBdr>
      <w:divsChild>
        <w:div w:id="66458000">
          <w:marLeft w:val="0"/>
          <w:marRight w:val="0"/>
          <w:marTop w:val="0"/>
          <w:marBottom w:val="0"/>
          <w:divBdr>
            <w:top w:val="none" w:sz="0" w:space="0" w:color="auto"/>
            <w:left w:val="none" w:sz="0" w:space="0" w:color="auto"/>
            <w:bottom w:val="none" w:sz="0" w:space="0" w:color="auto"/>
            <w:right w:val="none" w:sz="0" w:space="0" w:color="auto"/>
          </w:divBdr>
        </w:div>
      </w:divsChild>
    </w:div>
    <w:div w:id="1426001537">
      <w:bodyDiv w:val="1"/>
      <w:marLeft w:val="0"/>
      <w:marRight w:val="0"/>
      <w:marTop w:val="0"/>
      <w:marBottom w:val="0"/>
      <w:divBdr>
        <w:top w:val="none" w:sz="0" w:space="0" w:color="auto"/>
        <w:left w:val="none" w:sz="0" w:space="0" w:color="auto"/>
        <w:bottom w:val="none" w:sz="0" w:space="0" w:color="auto"/>
        <w:right w:val="none" w:sz="0" w:space="0" w:color="auto"/>
      </w:divBdr>
    </w:div>
    <w:div w:id="1440444239">
      <w:bodyDiv w:val="1"/>
      <w:marLeft w:val="0"/>
      <w:marRight w:val="0"/>
      <w:marTop w:val="0"/>
      <w:marBottom w:val="0"/>
      <w:divBdr>
        <w:top w:val="none" w:sz="0" w:space="0" w:color="auto"/>
        <w:left w:val="none" w:sz="0" w:space="0" w:color="auto"/>
        <w:bottom w:val="none" w:sz="0" w:space="0" w:color="auto"/>
        <w:right w:val="none" w:sz="0" w:space="0" w:color="auto"/>
      </w:divBdr>
    </w:div>
    <w:div w:id="1459105782">
      <w:bodyDiv w:val="1"/>
      <w:marLeft w:val="0"/>
      <w:marRight w:val="0"/>
      <w:marTop w:val="0"/>
      <w:marBottom w:val="0"/>
      <w:divBdr>
        <w:top w:val="none" w:sz="0" w:space="0" w:color="auto"/>
        <w:left w:val="none" w:sz="0" w:space="0" w:color="auto"/>
        <w:bottom w:val="none" w:sz="0" w:space="0" w:color="auto"/>
        <w:right w:val="none" w:sz="0" w:space="0" w:color="auto"/>
      </w:divBdr>
    </w:div>
    <w:div w:id="1488012228">
      <w:bodyDiv w:val="1"/>
      <w:marLeft w:val="0"/>
      <w:marRight w:val="0"/>
      <w:marTop w:val="0"/>
      <w:marBottom w:val="0"/>
      <w:divBdr>
        <w:top w:val="none" w:sz="0" w:space="0" w:color="auto"/>
        <w:left w:val="none" w:sz="0" w:space="0" w:color="auto"/>
        <w:bottom w:val="none" w:sz="0" w:space="0" w:color="auto"/>
        <w:right w:val="none" w:sz="0" w:space="0" w:color="auto"/>
      </w:divBdr>
    </w:div>
    <w:div w:id="1512136887">
      <w:bodyDiv w:val="1"/>
      <w:marLeft w:val="0"/>
      <w:marRight w:val="0"/>
      <w:marTop w:val="0"/>
      <w:marBottom w:val="0"/>
      <w:divBdr>
        <w:top w:val="none" w:sz="0" w:space="0" w:color="auto"/>
        <w:left w:val="none" w:sz="0" w:space="0" w:color="auto"/>
        <w:bottom w:val="none" w:sz="0" w:space="0" w:color="auto"/>
        <w:right w:val="none" w:sz="0" w:space="0" w:color="auto"/>
      </w:divBdr>
    </w:div>
    <w:div w:id="1515341785">
      <w:bodyDiv w:val="1"/>
      <w:marLeft w:val="0"/>
      <w:marRight w:val="0"/>
      <w:marTop w:val="0"/>
      <w:marBottom w:val="0"/>
      <w:divBdr>
        <w:top w:val="none" w:sz="0" w:space="0" w:color="auto"/>
        <w:left w:val="none" w:sz="0" w:space="0" w:color="auto"/>
        <w:bottom w:val="none" w:sz="0" w:space="0" w:color="auto"/>
        <w:right w:val="none" w:sz="0" w:space="0" w:color="auto"/>
      </w:divBdr>
    </w:div>
    <w:div w:id="1533032948">
      <w:bodyDiv w:val="1"/>
      <w:marLeft w:val="0"/>
      <w:marRight w:val="0"/>
      <w:marTop w:val="0"/>
      <w:marBottom w:val="0"/>
      <w:divBdr>
        <w:top w:val="none" w:sz="0" w:space="0" w:color="auto"/>
        <w:left w:val="none" w:sz="0" w:space="0" w:color="auto"/>
        <w:bottom w:val="none" w:sz="0" w:space="0" w:color="auto"/>
        <w:right w:val="none" w:sz="0" w:space="0" w:color="auto"/>
      </w:divBdr>
    </w:div>
    <w:div w:id="1536313557">
      <w:bodyDiv w:val="1"/>
      <w:marLeft w:val="0"/>
      <w:marRight w:val="0"/>
      <w:marTop w:val="0"/>
      <w:marBottom w:val="0"/>
      <w:divBdr>
        <w:top w:val="none" w:sz="0" w:space="0" w:color="auto"/>
        <w:left w:val="none" w:sz="0" w:space="0" w:color="auto"/>
        <w:bottom w:val="none" w:sz="0" w:space="0" w:color="auto"/>
        <w:right w:val="none" w:sz="0" w:space="0" w:color="auto"/>
      </w:divBdr>
    </w:div>
    <w:div w:id="1547717370">
      <w:bodyDiv w:val="1"/>
      <w:marLeft w:val="0"/>
      <w:marRight w:val="0"/>
      <w:marTop w:val="0"/>
      <w:marBottom w:val="0"/>
      <w:divBdr>
        <w:top w:val="none" w:sz="0" w:space="0" w:color="auto"/>
        <w:left w:val="none" w:sz="0" w:space="0" w:color="auto"/>
        <w:bottom w:val="none" w:sz="0" w:space="0" w:color="auto"/>
        <w:right w:val="none" w:sz="0" w:space="0" w:color="auto"/>
      </w:divBdr>
    </w:div>
    <w:div w:id="1569993370">
      <w:bodyDiv w:val="1"/>
      <w:marLeft w:val="0"/>
      <w:marRight w:val="0"/>
      <w:marTop w:val="0"/>
      <w:marBottom w:val="0"/>
      <w:divBdr>
        <w:top w:val="none" w:sz="0" w:space="0" w:color="auto"/>
        <w:left w:val="none" w:sz="0" w:space="0" w:color="auto"/>
        <w:bottom w:val="none" w:sz="0" w:space="0" w:color="auto"/>
        <w:right w:val="none" w:sz="0" w:space="0" w:color="auto"/>
      </w:divBdr>
    </w:div>
    <w:div w:id="1573925392">
      <w:bodyDiv w:val="1"/>
      <w:marLeft w:val="0"/>
      <w:marRight w:val="0"/>
      <w:marTop w:val="0"/>
      <w:marBottom w:val="0"/>
      <w:divBdr>
        <w:top w:val="none" w:sz="0" w:space="0" w:color="auto"/>
        <w:left w:val="none" w:sz="0" w:space="0" w:color="auto"/>
        <w:bottom w:val="none" w:sz="0" w:space="0" w:color="auto"/>
        <w:right w:val="none" w:sz="0" w:space="0" w:color="auto"/>
      </w:divBdr>
    </w:div>
    <w:div w:id="1585993401">
      <w:bodyDiv w:val="1"/>
      <w:marLeft w:val="0"/>
      <w:marRight w:val="0"/>
      <w:marTop w:val="0"/>
      <w:marBottom w:val="0"/>
      <w:divBdr>
        <w:top w:val="none" w:sz="0" w:space="0" w:color="auto"/>
        <w:left w:val="none" w:sz="0" w:space="0" w:color="auto"/>
        <w:bottom w:val="none" w:sz="0" w:space="0" w:color="auto"/>
        <w:right w:val="none" w:sz="0" w:space="0" w:color="auto"/>
      </w:divBdr>
    </w:div>
    <w:div w:id="1589383170">
      <w:bodyDiv w:val="1"/>
      <w:marLeft w:val="0"/>
      <w:marRight w:val="0"/>
      <w:marTop w:val="0"/>
      <w:marBottom w:val="0"/>
      <w:divBdr>
        <w:top w:val="none" w:sz="0" w:space="0" w:color="auto"/>
        <w:left w:val="none" w:sz="0" w:space="0" w:color="auto"/>
        <w:bottom w:val="none" w:sz="0" w:space="0" w:color="auto"/>
        <w:right w:val="none" w:sz="0" w:space="0" w:color="auto"/>
      </w:divBdr>
    </w:div>
    <w:div w:id="1594630768">
      <w:bodyDiv w:val="1"/>
      <w:marLeft w:val="0"/>
      <w:marRight w:val="0"/>
      <w:marTop w:val="0"/>
      <w:marBottom w:val="0"/>
      <w:divBdr>
        <w:top w:val="none" w:sz="0" w:space="0" w:color="auto"/>
        <w:left w:val="none" w:sz="0" w:space="0" w:color="auto"/>
        <w:bottom w:val="none" w:sz="0" w:space="0" w:color="auto"/>
        <w:right w:val="none" w:sz="0" w:space="0" w:color="auto"/>
      </w:divBdr>
    </w:div>
    <w:div w:id="1632444812">
      <w:bodyDiv w:val="1"/>
      <w:marLeft w:val="0"/>
      <w:marRight w:val="0"/>
      <w:marTop w:val="0"/>
      <w:marBottom w:val="0"/>
      <w:divBdr>
        <w:top w:val="none" w:sz="0" w:space="0" w:color="auto"/>
        <w:left w:val="none" w:sz="0" w:space="0" w:color="auto"/>
        <w:bottom w:val="none" w:sz="0" w:space="0" w:color="auto"/>
        <w:right w:val="none" w:sz="0" w:space="0" w:color="auto"/>
      </w:divBdr>
    </w:div>
    <w:div w:id="1640039214">
      <w:bodyDiv w:val="1"/>
      <w:marLeft w:val="0"/>
      <w:marRight w:val="0"/>
      <w:marTop w:val="0"/>
      <w:marBottom w:val="0"/>
      <w:divBdr>
        <w:top w:val="none" w:sz="0" w:space="0" w:color="auto"/>
        <w:left w:val="none" w:sz="0" w:space="0" w:color="auto"/>
        <w:bottom w:val="none" w:sz="0" w:space="0" w:color="auto"/>
        <w:right w:val="none" w:sz="0" w:space="0" w:color="auto"/>
      </w:divBdr>
    </w:div>
    <w:div w:id="1646467499">
      <w:bodyDiv w:val="1"/>
      <w:marLeft w:val="0"/>
      <w:marRight w:val="0"/>
      <w:marTop w:val="0"/>
      <w:marBottom w:val="0"/>
      <w:divBdr>
        <w:top w:val="none" w:sz="0" w:space="0" w:color="auto"/>
        <w:left w:val="none" w:sz="0" w:space="0" w:color="auto"/>
        <w:bottom w:val="none" w:sz="0" w:space="0" w:color="auto"/>
        <w:right w:val="none" w:sz="0" w:space="0" w:color="auto"/>
      </w:divBdr>
    </w:div>
    <w:div w:id="1669553025">
      <w:bodyDiv w:val="1"/>
      <w:marLeft w:val="0"/>
      <w:marRight w:val="0"/>
      <w:marTop w:val="0"/>
      <w:marBottom w:val="0"/>
      <w:divBdr>
        <w:top w:val="none" w:sz="0" w:space="0" w:color="auto"/>
        <w:left w:val="none" w:sz="0" w:space="0" w:color="auto"/>
        <w:bottom w:val="none" w:sz="0" w:space="0" w:color="auto"/>
        <w:right w:val="none" w:sz="0" w:space="0" w:color="auto"/>
      </w:divBdr>
    </w:div>
    <w:div w:id="1715471586">
      <w:bodyDiv w:val="1"/>
      <w:marLeft w:val="0"/>
      <w:marRight w:val="0"/>
      <w:marTop w:val="0"/>
      <w:marBottom w:val="0"/>
      <w:divBdr>
        <w:top w:val="none" w:sz="0" w:space="0" w:color="auto"/>
        <w:left w:val="none" w:sz="0" w:space="0" w:color="auto"/>
        <w:bottom w:val="none" w:sz="0" w:space="0" w:color="auto"/>
        <w:right w:val="none" w:sz="0" w:space="0" w:color="auto"/>
      </w:divBdr>
    </w:div>
    <w:div w:id="1720976863">
      <w:bodyDiv w:val="1"/>
      <w:marLeft w:val="0"/>
      <w:marRight w:val="0"/>
      <w:marTop w:val="0"/>
      <w:marBottom w:val="0"/>
      <w:divBdr>
        <w:top w:val="none" w:sz="0" w:space="0" w:color="auto"/>
        <w:left w:val="none" w:sz="0" w:space="0" w:color="auto"/>
        <w:bottom w:val="none" w:sz="0" w:space="0" w:color="auto"/>
        <w:right w:val="none" w:sz="0" w:space="0" w:color="auto"/>
      </w:divBdr>
    </w:div>
    <w:div w:id="1758213833">
      <w:bodyDiv w:val="1"/>
      <w:marLeft w:val="0"/>
      <w:marRight w:val="0"/>
      <w:marTop w:val="0"/>
      <w:marBottom w:val="0"/>
      <w:divBdr>
        <w:top w:val="none" w:sz="0" w:space="0" w:color="auto"/>
        <w:left w:val="none" w:sz="0" w:space="0" w:color="auto"/>
        <w:bottom w:val="none" w:sz="0" w:space="0" w:color="auto"/>
        <w:right w:val="none" w:sz="0" w:space="0" w:color="auto"/>
      </w:divBdr>
    </w:div>
    <w:div w:id="1774740768">
      <w:bodyDiv w:val="1"/>
      <w:marLeft w:val="0"/>
      <w:marRight w:val="0"/>
      <w:marTop w:val="0"/>
      <w:marBottom w:val="0"/>
      <w:divBdr>
        <w:top w:val="none" w:sz="0" w:space="0" w:color="auto"/>
        <w:left w:val="none" w:sz="0" w:space="0" w:color="auto"/>
        <w:bottom w:val="none" w:sz="0" w:space="0" w:color="auto"/>
        <w:right w:val="none" w:sz="0" w:space="0" w:color="auto"/>
      </w:divBdr>
    </w:div>
    <w:div w:id="1804543218">
      <w:bodyDiv w:val="1"/>
      <w:marLeft w:val="0"/>
      <w:marRight w:val="0"/>
      <w:marTop w:val="0"/>
      <w:marBottom w:val="0"/>
      <w:divBdr>
        <w:top w:val="none" w:sz="0" w:space="0" w:color="auto"/>
        <w:left w:val="none" w:sz="0" w:space="0" w:color="auto"/>
        <w:bottom w:val="none" w:sz="0" w:space="0" w:color="auto"/>
        <w:right w:val="none" w:sz="0" w:space="0" w:color="auto"/>
      </w:divBdr>
    </w:div>
    <w:div w:id="1806728437">
      <w:bodyDiv w:val="1"/>
      <w:marLeft w:val="0"/>
      <w:marRight w:val="0"/>
      <w:marTop w:val="0"/>
      <w:marBottom w:val="0"/>
      <w:divBdr>
        <w:top w:val="none" w:sz="0" w:space="0" w:color="auto"/>
        <w:left w:val="none" w:sz="0" w:space="0" w:color="auto"/>
        <w:bottom w:val="none" w:sz="0" w:space="0" w:color="auto"/>
        <w:right w:val="none" w:sz="0" w:space="0" w:color="auto"/>
      </w:divBdr>
    </w:div>
    <w:div w:id="1812403217">
      <w:bodyDiv w:val="1"/>
      <w:marLeft w:val="0"/>
      <w:marRight w:val="0"/>
      <w:marTop w:val="0"/>
      <w:marBottom w:val="0"/>
      <w:divBdr>
        <w:top w:val="none" w:sz="0" w:space="0" w:color="auto"/>
        <w:left w:val="none" w:sz="0" w:space="0" w:color="auto"/>
        <w:bottom w:val="none" w:sz="0" w:space="0" w:color="auto"/>
        <w:right w:val="none" w:sz="0" w:space="0" w:color="auto"/>
      </w:divBdr>
    </w:div>
    <w:div w:id="1820996480">
      <w:bodyDiv w:val="1"/>
      <w:marLeft w:val="0"/>
      <w:marRight w:val="0"/>
      <w:marTop w:val="0"/>
      <w:marBottom w:val="0"/>
      <w:divBdr>
        <w:top w:val="none" w:sz="0" w:space="0" w:color="auto"/>
        <w:left w:val="none" w:sz="0" w:space="0" w:color="auto"/>
        <w:bottom w:val="none" w:sz="0" w:space="0" w:color="auto"/>
        <w:right w:val="none" w:sz="0" w:space="0" w:color="auto"/>
      </w:divBdr>
    </w:div>
    <w:div w:id="1828284913">
      <w:bodyDiv w:val="1"/>
      <w:marLeft w:val="0"/>
      <w:marRight w:val="0"/>
      <w:marTop w:val="0"/>
      <w:marBottom w:val="0"/>
      <w:divBdr>
        <w:top w:val="none" w:sz="0" w:space="0" w:color="auto"/>
        <w:left w:val="none" w:sz="0" w:space="0" w:color="auto"/>
        <w:bottom w:val="none" w:sz="0" w:space="0" w:color="auto"/>
        <w:right w:val="none" w:sz="0" w:space="0" w:color="auto"/>
      </w:divBdr>
    </w:div>
    <w:div w:id="1831024046">
      <w:bodyDiv w:val="1"/>
      <w:marLeft w:val="0"/>
      <w:marRight w:val="0"/>
      <w:marTop w:val="0"/>
      <w:marBottom w:val="0"/>
      <w:divBdr>
        <w:top w:val="none" w:sz="0" w:space="0" w:color="auto"/>
        <w:left w:val="none" w:sz="0" w:space="0" w:color="auto"/>
        <w:bottom w:val="none" w:sz="0" w:space="0" w:color="auto"/>
        <w:right w:val="none" w:sz="0" w:space="0" w:color="auto"/>
      </w:divBdr>
    </w:div>
    <w:div w:id="1836142397">
      <w:bodyDiv w:val="1"/>
      <w:marLeft w:val="0"/>
      <w:marRight w:val="0"/>
      <w:marTop w:val="0"/>
      <w:marBottom w:val="0"/>
      <w:divBdr>
        <w:top w:val="none" w:sz="0" w:space="0" w:color="auto"/>
        <w:left w:val="none" w:sz="0" w:space="0" w:color="auto"/>
        <w:bottom w:val="none" w:sz="0" w:space="0" w:color="auto"/>
        <w:right w:val="none" w:sz="0" w:space="0" w:color="auto"/>
      </w:divBdr>
    </w:div>
    <w:div w:id="1863546355">
      <w:bodyDiv w:val="1"/>
      <w:marLeft w:val="0"/>
      <w:marRight w:val="0"/>
      <w:marTop w:val="0"/>
      <w:marBottom w:val="0"/>
      <w:divBdr>
        <w:top w:val="none" w:sz="0" w:space="0" w:color="auto"/>
        <w:left w:val="none" w:sz="0" w:space="0" w:color="auto"/>
        <w:bottom w:val="none" w:sz="0" w:space="0" w:color="auto"/>
        <w:right w:val="none" w:sz="0" w:space="0" w:color="auto"/>
      </w:divBdr>
    </w:div>
    <w:div w:id="1896895640">
      <w:bodyDiv w:val="1"/>
      <w:marLeft w:val="0"/>
      <w:marRight w:val="0"/>
      <w:marTop w:val="0"/>
      <w:marBottom w:val="0"/>
      <w:divBdr>
        <w:top w:val="none" w:sz="0" w:space="0" w:color="auto"/>
        <w:left w:val="none" w:sz="0" w:space="0" w:color="auto"/>
        <w:bottom w:val="none" w:sz="0" w:space="0" w:color="auto"/>
        <w:right w:val="none" w:sz="0" w:space="0" w:color="auto"/>
      </w:divBdr>
    </w:div>
    <w:div w:id="1916672010">
      <w:bodyDiv w:val="1"/>
      <w:marLeft w:val="0"/>
      <w:marRight w:val="0"/>
      <w:marTop w:val="0"/>
      <w:marBottom w:val="0"/>
      <w:divBdr>
        <w:top w:val="none" w:sz="0" w:space="0" w:color="auto"/>
        <w:left w:val="none" w:sz="0" w:space="0" w:color="auto"/>
        <w:bottom w:val="none" w:sz="0" w:space="0" w:color="auto"/>
        <w:right w:val="none" w:sz="0" w:space="0" w:color="auto"/>
      </w:divBdr>
    </w:div>
    <w:div w:id="1949698536">
      <w:bodyDiv w:val="1"/>
      <w:marLeft w:val="0"/>
      <w:marRight w:val="0"/>
      <w:marTop w:val="0"/>
      <w:marBottom w:val="0"/>
      <w:divBdr>
        <w:top w:val="none" w:sz="0" w:space="0" w:color="auto"/>
        <w:left w:val="none" w:sz="0" w:space="0" w:color="auto"/>
        <w:bottom w:val="none" w:sz="0" w:space="0" w:color="auto"/>
        <w:right w:val="none" w:sz="0" w:space="0" w:color="auto"/>
      </w:divBdr>
    </w:div>
    <w:div w:id="1999267903">
      <w:bodyDiv w:val="1"/>
      <w:marLeft w:val="0"/>
      <w:marRight w:val="0"/>
      <w:marTop w:val="0"/>
      <w:marBottom w:val="0"/>
      <w:divBdr>
        <w:top w:val="none" w:sz="0" w:space="0" w:color="auto"/>
        <w:left w:val="none" w:sz="0" w:space="0" w:color="auto"/>
        <w:bottom w:val="none" w:sz="0" w:space="0" w:color="auto"/>
        <w:right w:val="none" w:sz="0" w:space="0" w:color="auto"/>
      </w:divBdr>
    </w:div>
    <w:div w:id="2032801317">
      <w:bodyDiv w:val="1"/>
      <w:marLeft w:val="0"/>
      <w:marRight w:val="0"/>
      <w:marTop w:val="0"/>
      <w:marBottom w:val="0"/>
      <w:divBdr>
        <w:top w:val="none" w:sz="0" w:space="0" w:color="auto"/>
        <w:left w:val="none" w:sz="0" w:space="0" w:color="auto"/>
        <w:bottom w:val="none" w:sz="0" w:space="0" w:color="auto"/>
        <w:right w:val="none" w:sz="0" w:space="0" w:color="auto"/>
      </w:divBdr>
    </w:div>
    <w:div w:id="2074962770">
      <w:bodyDiv w:val="1"/>
      <w:marLeft w:val="0"/>
      <w:marRight w:val="0"/>
      <w:marTop w:val="0"/>
      <w:marBottom w:val="0"/>
      <w:divBdr>
        <w:top w:val="none" w:sz="0" w:space="0" w:color="auto"/>
        <w:left w:val="none" w:sz="0" w:space="0" w:color="auto"/>
        <w:bottom w:val="none" w:sz="0" w:space="0" w:color="auto"/>
        <w:right w:val="none" w:sz="0" w:space="0" w:color="auto"/>
      </w:divBdr>
    </w:div>
    <w:div w:id="2107965787">
      <w:bodyDiv w:val="1"/>
      <w:marLeft w:val="0"/>
      <w:marRight w:val="0"/>
      <w:marTop w:val="0"/>
      <w:marBottom w:val="0"/>
      <w:divBdr>
        <w:top w:val="none" w:sz="0" w:space="0" w:color="auto"/>
        <w:left w:val="none" w:sz="0" w:space="0" w:color="auto"/>
        <w:bottom w:val="none" w:sz="0" w:space="0" w:color="auto"/>
        <w:right w:val="none" w:sz="0" w:space="0" w:color="auto"/>
      </w:divBdr>
    </w:div>
    <w:div w:id="2122216534">
      <w:bodyDiv w:val="1"/>
      <w:marLeft w:val="0"/>
      <w:marRight w:val="0"/>
      <w:marTop w:val="0"/>
      <w:marBottom w:val="0"/>
      <w:divBdr>
        <w:top w:val="none" w:sz="0" w:space="0" w:color="auto"/>
        <w:left w:val="none" w:sz="0" w:space="0" w:color="auto"/>
        <w:bottom w:val="none" w:sz="0" w:space="0" w:color="auto"/>
        <w:right w:val="none" w:sz="0" w:space="0" w:color="auto"/>
      </w:divBdr>
    </w:div>
    <w:div w:id="212279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chart" Target="charts/chart7.xml"/><Relationship Id="rId26" Type="http://schemas.openxmlformats.org/officeDocument/2006/relationships/hyperlink" Target="http://www.mhsr.sk/poskytovanie-energetickej-sluzby/145697s" TargetMode="External"/><Relationship Id="rId3" Type="http://schemas.openxmlformats.org/officeDocument/2006/relationships/styles" Target="styles.xml"/><Relationship Id="rId21" Type="http://schemas.openxmlformats.org/officeDocument/2006/relationships/chart" Target="charts/chart10.xml"/><Relationship Id="rId34"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6.xml"/><Relationship Id="rId25" Type="http://schemas.openxmlformats.org/officeDocument/2006/relationships/chart" Target="charts/chart14.xml"/><Relationship Id="rId33"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chart" Target="charts/chart13.xml"/><Relationship Id="rId32"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chart" Target="charts/chart12.xml"/><Relationship Id="rId28" Type="http://schemas.openxmlformats.org/officeDocument/2006/relationships/hyperlink" Target="http://www.sepsas.sk/seps/Dokumenty/ProgRozvoj/2016/03/DPR_PS_2016_2025.pdf" TargetMode="External"/><Relationship Id="rId10" Type="http://schemas.openxmlformats.org/officeDocument/2006/relationships/image" Target="media/image2.png"/><Relationship Id="rId19" Type="http://schemas.openxmlformats.org/officeDocument/2006/relationships/chart" Target="charts/chart8.xml"/><Relationship Id="rId31"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3.xml"/><Relationship Id="rId22" Type="http://schemas.openxmlformats.org/officeDocument/2006/relationships/chart" Target="charts/chart11.xml"/><Relationship Id="rId27" Type="http://schemas.openxmlformats.org/officeDocument/2006/relationships/hyperlink" Target="http://www.mhsr.sk/poskytovanie-energetickej-sluzby/145697s" TargetMode="External"/><Relationship Id="rId30" Type="http://schemas.openxmlformats.org/officeDocument/2006/relationships/theme" Target="theme/theme1.xml"/><Relationship Id="rId8"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stibrany\Desktop\Plnenie%20cielov.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2" Type="http://schemas.openxmlformats.org/officeDocument/2006/relationships/oleObject" Target="file:///\\SIEABB\DokumentySIEA\Sekcia_EC\OMEE\3AP\3_AP_podklady_z_rezortov\RS2016_4AP_SPOLU_ver31_01_2017_final.xlsx" TargetMode="External"/><Relationship Id="rId1" Type="http://schemas.openxmlformats.org/officeDocument/2006/relationships/themeOverride" Target="../theme/themeOverride9.xml"/></Relationships>
</file>

<file path=word/charts/_rels/chart11.xml.rels><?xml version="1.0" encoding="UTF-8" standalone="yes"?>
<Relationships xmlns="http://schemas.openxmlformats.org/package/2006/relationships"><Relationship Id="rId2" Type="http://schemas.openxmlformats.org/officeDocument/2006/relationships/oleObject" Target="file:///\\SIEABB\DokumentySIEA\Sekcia_EC\OMEE\3AP\3_AP_podklady_z_rezortov\RS2016_4AP_SPOLU_ver31_01_2017_final.xlsx" TargetMode="External"/><Relationship Id="rId1" Type="http://schemas.openxmlformats.org/officeDocument/2006/relationships/themeOverride" Target="../theme/themeOverride10.xml"/></Relationships>
</file>

<file path=word/charts/_rels/chart12.xml.rels><?xml version="1.0" encoding="UTF-8" standalone="yes"?>
<Relationships xmlns="http://schemas.openxmlformats.org/package/2006/relationships"><Relationship Id="rId2" Type="http://schemas.openxmlformats.org/officeDocument/2006/relationships/oleObject" Target="file:///\\SIEABB\DokumentySIEA\Sekcia_EC\OMEE\3AP\3_AP_podklady_z_rezortov\RS2016_4AP_SPOLU_ver31_01_2017_final.xlsx" TargetMode="External"/><Relationship Id="rId1" Type="http://schemas.openxmlformats.org/officeDocument/2006/relationships/themeOverride" Target="../theme/themeOverride11.xml"/></Relationships>
</file>

<file path=word/charts/_rels/chart13.xml.rels><?xml version="1.0" encoding="UTF-8" standalone="yes"?>
<Relationships xmlns="http://schemas.openxmlformats.org/package/2006/relationships"><Relationship Id="rId2" Type="http://schemas.openxmlformats.org/officeDocument/2006/relationships/oleObject" Target="file:///\\SIEABB\DokumentySIEA\Sekcia_EC\OMEE\3AP\3_AP_podklady_z_rezortov\RS2016_4AP_SPOLU_ver31_01_2017_final.xlsx" TargetMode="External"/><Relationship Id="rId1" Type="http://schemas.openxmlformats.org/officeDocument/2006/relationships/themeOverride" Target="../theme/themeOverride12.xml"/></Relationships>
</file>

<file path=word/charts/_rels/chart14.xml.rels><?xml version="1.0" encoding="UTF-8" standalone="yes"?>
<Relationships xmlns="http://schemas.openxmlformats.org/package/2006/relationships"><Relationship Id="rId2" Type="http://schemas.openxmlformats.org/officeDocument/2006/relationships/oleObject" Target="file:///\\SIEABB\DokumentySIEA\Sekcia_EC\OMEE\3AP\3_AP_podklady_z_rezortov\RS2016_4AP_SPOLU_ver31_01_2017_final.xlsx" TargetMode="External"/><Relationship Id="rId1" Type="http://schemas.openxmlformats.org/officeDocument/2006/relationships/themeOverride" Target="../theme/themeOverride13.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SIEABB\DokumentySIEA\Sekcia_EC\OMEE\3AP\3_AP_podklady_z_rezortov\RS2016_4AP_SPOLU_ver31_01_2017_final.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SIEABB\DokumentySIEA\Sekcia_EC\OMEE\3AP\3_AP_podklady_z_rezortov\RS2016_4AP_SPOLU_ver31_01_2017_final.xlsx"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oleObject" Target="file:///\\SIEABB\DokumentySIEA\Sekcia_EC\OMEE\3AP\3_AP_podklady_z_rezortov\RS2016_4AP_SPOLU_ver31_01_2017_final.xlsx" TargetMode="External"/><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oleObject" Target="file:///\\SIEABB\DokumentySIEA\Sekcia_EC\OMEE\3AP\3_AP_podklady_z_rezortov\RS2016_4AP_SPOLU_ver31_01_2017_final.xlsx"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oleObject" Target="file:///\\SIEABB\DokumentySIEA\Sekcia_EC\OMEE\3AP\3_AP_podklady_z_rezortov\RS2016_4AP_SPOLU_ver31_01_2017_final.xlsx" TargetMode="External"/><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oleObject" Target="file:///\\SIEABB\DokumentySIEA\Sekcia_EC\OMEE\3AP\3_AP_podklady_z_rezortov\RS2016_4AP_SPOLU_ver31_01_2017_final.xlsx" TargetMode="External"/><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oleObject" Target="file:///\\SIEABB\DokumentySIEA\Sekcia_EC\OMEE\3AP\3_AP_podklady_z_rezortov\RS2016_4AP_SPOLU_ver31_01_2017_final.xlsx" TargetMode="External"/><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2" Type="http://schemas.openxmlformats.org/officeDocument/2006/relationships/oleObject" Target="file:///\\SIEABB\DokumentySIEA\Sekcia_EC\OMEE\3AP\3_AP_podklady_z_rezortov\RS2016_4AP_SPOLU_ver31_01_2017_final.xlsx" TargetMode="External"/><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'[Plnenie cielov.xlsx]budovy'!$A$4</c:f>
              <c:strCache>
                <c:ptCount val="1"/>
                <c:pt idx="0">
                  <c:v>Stanovený cieľ</c:v>
                </c:pt>
              </c:strCache>
            </c:strRef>
          </c:tx>
          <c:spPr>
            <a:ln w="28575" cap="rnd">
              <a:solidFill>
                <a:schemeClr val="accent1"/>
              </a:solidFill>
              <a:round/>
            </a:ln>
            <a:effectLst/>
          </c:spPr>
          <c:marker>
            <c:symbol val="none"/>
          </c:marker>
          <c:cat>
            <c:numRef>
              <c:f>'[Plnenie cielov.xlsx]budovy'!$B$3:$H$3</c:f>
              <c:numCache>
                <c:formatCode>General</c:formatCode>
                <c:ptCount val="7"/>
                <c:pt idx="0">
                  <c:v>2014</c:v>
                </c:pt>
                <c:pt idx="1">
                  <c:v>2015</c:v>
                </c:pt>
                <c:pt idx="2">
                  <c:v>2016</c:v>
                </c:pt>
                <c:pt idx="3">
                  <c:v>2017</c:v>
                </c:pt>
                <c:pt idx="4">
                  <c:v>2018</c:v>
                </c:pt>
                <c:pt idx="5">
                  <c:v>2019</c:v>
                </c:pt>
                <c:pt idx="6">
                  <c:v>2020</c:v>
                </c:pt>
              </c:numCache>
            </c:numRef>
          </c:cat>
          <c:val>
            <c:numRef>
              <c:f>'[Plnenie cielov.xlsx]budovy'!$B$4:$H$4</c:f>
              <c:numCache>
                <c:formatCode>General</c:formatCode>
                <c:ptCount val="7"/>
                <c:pt idx="0">
                  <c:v>52.17</c:v>
                </c:pt>
                <c:pt idx="1">
                  <c:v>104.34</c:v>
                </c:pt>
                <c:pt idx="2">
                  <c:v>156.51</c:v>
                </c:pt>
                <c:pt idx="3">
                  <c:v>208.68</c:v>
                </c:pt>
                <c:pt idx="4">
                  <c:v>260.85000000000002</c:v>
                </c:pt>
                <c:pt idx="5">
                  <c:v>313.02000000000004</c:v>
                </c:pt>
                <c:pt idx="6">
                  <c:v>365.19000000000005</c:v>
                </c:pt>
              </c:numCache>
            </c:numRef>
          </c:val>
          <c:smooth val="0"/>
          <c:extLst>
            <c:ext xmlns:c16="http://schemas.microsoft.com/office/drawing/2014/chart" uri="{C3380CC4-5D6E-409C-BE32-E72D297353CC}">
              <c16:uniqueId val="{00000000-28C2-44B1-83FA-C9B9436BC2B4}"/>
            </c:ext>
          </c:extLst>
        </c:ser>
        <c:ser>
          <c:idx val="1"/>
          <c:order val="1"/>
          <c:tx>
            <c:strRef>
              <c:f>'[Plnenie cielov.xlsx]budovy'!$A$5</c:f>
              <c:strCache>
                <c:ptCount val="1"/>
                <c:pt idx="0">
                  <c:v>Plnenie</c:v>
                </c:pt>
              </c:strCache>
            </c:strRef>
          </c:tx>
          <c:spPr>
            <a:ln w="28575" cap="rnd">
              <a:solidFill>
                <a:schemeClr val="accent2"/>
              </a:solidFill>
              <a:round/>
            </a:ln>
            <a:effectLst/>
          </c:spPr>
          <c:marker>
            <c:symbol val="none"/>
          </c:marker>
          <c:cat>
            <c:numRef>
              <c:f>'[Plnenie cielov.xlsx]budovy'!$B$3:$H$3</c:f>
              <c:numCache>
                <c:formatCode>General</c:formatCode>
                <c:ptCount val="7"/>
                <c:pt idx="0">
                  <c:v>2014</c:v>
                </c:pt>
                <c:pt idx="1">
                  <c:v>2015</c:v>
                </c:pt>
                <c:pt idx="2">
                  <c:v>2016</c:v>
                </c:pt>
                <c:pt idx="3">
                  <c:v>2017</c:v>
                </c:pt>
                <c:pt idx="4">
                  <c:v>2018</c:v>
                </c:pt>
                <c:pt idx="5">
                  <c:v>2019</c:v>
                </c:pt>
                <c:pt idx="6">
                  <c:v>2020</c:v>
                </c:pt>
              </c:numCache>
            </c:numRef>
          </c:cat>
          <c:val>
            <c:numRef>
              <c:f>'[Plnenie cielov.xlsx]budovy'!$B$5:$H$5</c:f>
              <c:numCache>
                <c:formatCode>General</c:formatCode>
                <c:ptCount val="7"/>
                <c:pt idx="0">
                  <c:v>0.85</c:v>
                </c:pt>
                <c:pt idx="1">
                  <c:v>54.980000000000004</c:v>
                </c:pt>
                <c:pt idx="2">
                  <c:v>78</c:v>
                </c:pt>
              </c:numCache>
            </c:numRef>
          </c:val>
          <c:smooth val="0"/>
          <c:extLst>
            <c:ext xmlns:c16="http://schemas.microsoft.com/office/drawing/2014/chart" uri="{C3380CC4-5D6E-409C-BE32-E72D297353CC}">
              <c16:uniqueId val="{00000001-28C2-44B1-83FA-C9B9436BC2B4}"/>
            </c:ext>
          </c:extLst>
        </c:ser>
        <c:dLbls>
          <c:showLegendKey val="0"/>
          <c:showVal val="0"/>
          <c:showCatName val="0"/>
          <c:showSerName val="0"/>
          <c:showPercent val="0"/>
          <c:showBubbleSize val="0"/>
        </c:dLbls>
        <c:smooth val="0"/>
        <c:axId val="157311880"/>
        <c:axId val="157289504"/>
      </c:lineChart>
      <c:catAx>
        <c:axId val="1573118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157289504"/>
        <c:crosses val="autoZero"/>
        <c:auto val="1"/>
        <c:lblAlgn val="ctr"/>
        <c:lblOffset val="100"/>
        <c:noMultiLvlLbl val="0"/>
      </c:catAx>
      <c:valAx>
        <c:axId val="15728950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sk-SK"/>
                  <a:t>GWh</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k-SK"/>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1573118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258622601752249"/>
          <c:y val="9.9457986751462973E-2"/>
          <c:w val="0.43829234837120529"/>
          <c:h val="0.78939436308779165"/>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52B-4FED-84E7-9F843CCCEF1F}"/>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52B-4FED-84E7-9F843CCCEF1F}"/>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052B-4FED-84E7-9F843CCCEF1F}"/>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052B-4FED-84E7-9F843CCCEF1F}"/>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052B-4FED-84E7-9F843CCCEF1F}"/>
              </c:ext>
            </c:extLst>
          </c:dPt>
          <c:dLbls>
            <c:dLbl>
              <c:idx val="0"/>
              <c:layout>
                <c:manualLayout>
                  <c:x val="-3.4140424811613154E-2"/>
                  <c:y val="0.23411162389748011"/>
                </c:manualLayout>
              </c:layout>
              <c:tx>
                <c:rich>
                  <a:bodyPr/>
                  <a:lstStyle/>
                  <a:p>
                    <a:fld id="{6BA4FD20-8B5A-40EB-BE35-067C8B3D6E0A}" type="PERCENTAGE">
                      <a:rPr lang="en-US" b="1"/>
                      <a:pPr/>
                      <a:t>[PERCENTO]</a:t>
                    </a:fld>
                    <a:endParaRPr lang="sk-SK"/>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052B-4FED-84E7-9F843CCCEF1F}"/>
                </c:ext>
              </c:extLst>
            </c:dLbl>
            <c:dLbl>
              <c:idx val="1"/>
              <c:layout>
                <c:manualLayout>
                  <c:x val="-6.2814683375845629E-3"/>
                  <c:y val="0.13904523616790873"/>
                </c:manualLayout>
              </c:layout>
              <c:tx>
                <c:rich>
                  <a:bodyPr/>
                  <a:lstStyle/>
                  <a:p>
                    <a:fld id="{5690F36E-22FE-4866-9681-69B3B4DDBE85}" type="PERCENTAGE">
                      <a:rPr lang="en-US" b="1"/>
                      <a:pPr/>
                      <a:t>[PERCENTO]</a:t>
                    </a:fld>
                    <a:endParaRPr lang="sk-SK"/>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052B-4FED-84E7-9F843CCCEF1F}"/>
                </c:ext>
              </c:extLst>
            </c:dLbl>
            <c:dLbl>
              <c:idx val="2"/>
              <c:layout>
                <c:manualLayout>
                  <c:x val="-7.2624224418204222E-2"/>
                  <c:y val="2.4016483920818309E-2"/>
                </c:manualLayout>
              </c:layout>
              <c:tx>
                <c:rich>
                  <a:bodyPr/>
                  <a:lstStyle/>
                  <a:p>
                    <a:fld id="{BA62BCB7-F0E0-45B8-BEE8-A92766AFBE15}" type="PERCENTAGE">
                      <a:rPr lang="en-US" b="1" i="0"/>
                      <a:pPr/>
                      <a:t>[PERCENTO]</a:t>
                    </a:fld>
                    <a:endParaRPr lang="sk-SK"/>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052B-4FED-84E7-9F843CCCEF1F}"/>
                </c:ext>
              </c:extLst>
            </c:dLbl>
            <c:dLbl>
              <c:idx val="3"/>
              <c:layout>
                <c:manualLayout>
                  <c:x val="-2.3641425844749393E-2"/>
                  <c:y val="2.4246501897543181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052B-4FED-84E7-9F843CCCEF1F}"/>
                </c:ext>
              </c:extLst>
            </c:dLbl>
            <c:dLbl>
              <c:idx val="4"/>
              <c:layout>
                <c:manualLayout>
                  <c:x val="0.10474600608207887"/>
                  <c:y val="3.956140996394142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052B-4FED-84E7-9F843CCCEF1F}"/>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k-SK"/>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SPOLU_3AP!$O$6:$O$10</c:f>
              <c:strCache>
                <c:ptCount val="5"/>
                <c:pt idx="0">
                  <c:v>Budovy </c:v>
                </c:pt>
                <c:pt idx="1">
                  <c:v>Priemysel </c:v>
                </c:pt>
                <c:pt idx="2">
                  <c:v>Verejný sektor </c:v>
                </c:pt>
                <c:pt idx="3">
                  <c:v>Doprava </c:v>
                </c:pt>
                <c:pt idx="4">
                  <c:v>Spotrebiče </c:v>
                </c:pt>
              </c:strCache>
            </c:strRef>
          </c:cat>
          <c:val>
            <c:numRef>
              <c:f>SPOLU_3AP!$P$6:$P$10</c:f>
              <c:numCache>
                <c:formatCode>#,##0.00</c:formatCode>
                <c:ptCount val="5"/>
                <c:pt idx="0">
                  <c:v>5051.2249108796113</c:v>
                </c:pt>
                <c:pt idx="1">
                  <c:v>2772.0369840000003</c:v>
                </c:pt>
                <c:pt idx="2">
                  <c:v>795.73349922365446</c:v>
                </c:pt>
                <c:pt idx="3">
                  <c:v>896.51626609678362</c:v>
                </c:pt>
                <c:pt idx="4">
                  <c:v>569.770486592</c:v>
                </c:pt>
              </c:numCache>
            </c:numRef>
          </c:val>
          <c:extLst>
            <c:ext xmlns:c16="http://schemas.microsoft.com/office/drawing/2014/chart" uri="{C3380CC4-5D6E-409C-BE32-E72D297353CC}">
              <c16:uniqueId val="{0000000A-052B-4FED-84E7-9F843CCCEF1F}"/>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66451229548863855"/>
          <c:y val="0.27701523290897051"/>
          <c:w val="0.31737991980061053"/>
          <c:h val="0.3779691759422136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showDLblsOverMax val="0"/>
  </c:chart>
  <c:spPr>
    <a:solidFill>
      <a:schemeClr val="bg1"/>
    </a:solidFill>
    <a:ln w="9525" cap="flat" cmpd="sng" algn="ctr">
      <a:noFill/>
      <a:round/>
    </a:ln>
    <a:effectLst/>
  </c:spPr>
  <c:txPr>
    <a:bodyPr/>
    <a:lstStyle/>
    <a:p>
      <a:pPr>
        <a:defRPr/>
      </a:pPr>
      <a:endParaRPr lang="sk-SK"/>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503759398496244"/>
          <c:y val="9.7875825333265276E-2"/>
          <c:w val="0.37876482544945039"/>
          <c:h val="0.78405792661131368"/>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BFD5-49EE-8CC4-F7A7C2AF8A5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BFD5-49EE-8CC4-F7A7C2AF8A5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BFD5-49EE-8CC4-F7A7C2AF8A53}"/>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BFD5-49EE-8CC4-F7A7C2AF8A53}"/>
              </c:ext>
            </c:extLst>
          </c:dPt>
          <c:dLbls>
            <c:dLbl>
              <c:idx val="0"/>
              <c:layout>
                <c:manualLayout>
                  <c:x val="5.6222445878475719E-2"/>
                  <c:y val="-1.8138219103934997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FD5-49EE-8CC4-F7A7C2AF8A53}"/>
                </c:ext>
              </c:extLst>
            </c:dLbl>
            <c:dLbl>
              <c:idx val="1"/>
              <c:layout>
                <c:manualLayout>
                  <c:x val="3.5822232747222384E-2"/>
                  <c:y val="-0.10716831602275396"/>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BFD5-49EE-8CC4-F7A7C2AF8A53}"/>
                </c:ext>
              </c:extLst>
            </c:dLbl>
            <c:dLbl>
              <c:idx val="2"/>
              <c:layout>
                <c:manualLayout>
                  <c:x val="2.9970793124543642E-2"/>
                  <c:y val="9.5627929777260326E-3"/>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BFD5-49EE-8CC4-F7A7C2AF8A53}"/>
                </c:ext>
              </c:extLst>
            </c:dLbl>
            <c:dLbl>
              <c:idx val="3"/>
              <c:layout>
                <c:manualLayout>
                  <c:x val="-8.1867069247922961E-2"/>
                  <c:y val="1.6363654932238434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BFD5-49EE-8CC4-F7A7C2AF8A53}"/>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SPOLU_3AP!$K$30:$K$33</c:f>
              <c:strCache>
                <c:ptCount val="4"/>
                <c:pt idx="0">
                  <c:v>ŠF (všetky operačné programy)</c:v>
                </c:pt>
                <c:pt idx="1">
                  <c:v>Zahraničné fondy a rozpočet SR</c:v>
                </c:pt>
                <c:pt idx="2">
                  <c:v>Energetické služby</c:v>
                </c:pt>
                <c:pt idx="3">
                  <c:v>Vlastné zdroje</c:v>
                </c:pt>
              </c:strCache>
            </c:strRef>
          </c:cat>
          <c:val>
            <c:numRef>
              <c:f>SPOLU_3AP!$L$30:$L$33</c:f>
              <c:numCache>
                <c:formatCode>#,##0.00</c:formatCode>
                <c:ptCount val="4"/>
                <c:pt idx="0">
                  <c:v>1983.4355931883206</c:v>
                </c:pt>
                <c:pt idx="1">
                  <c:v>804.76592106583814</c:v>
                </c:pt>
                <c:pt idx="2">
                  <c:v>159.109692</c:v>
                </c:pt>
                <c:pt idx="3">
                  <c:v>7137.9709405378908</c:v>
                </c:pt>
              </c:numCache>
            </c:numRef>
          </c:val>
          <c:extLst>
            <c:ext xmlns:c16="http://schemas.microsoft.com/office/drawing/2014/chart" uri="{C3380CC4-5D6E-409C-BE32-E72D297353CC}">
              <c16:uniqueId val="{00000008-BFD5-49EE-8CC4-F7A7C2AF8A53}"/>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65525861898841586"/>
          <c:y val="0.22651102464332037"/>
          <c:w val="0.27634291413818973"/>
          <c:h val="0.4846593966549161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showDLblsOverMax val="0"/>
  </c:chart>
  <c:spPr>
    <a:solidFill>
      <a:schemeClr val="bg1"/>
    </a:solidFill>
    <a:ln w="9525" cap="flat" cmpd="sng" algn="ctr">
      <a:noFill/>
      <a:round/>
    </a:ln>
    <a:effectLst/>
  </c:spPr>
  <c:txPr>
    <a:bodyPr/>
    <a:lstStyle/>
    <a:p>
      <a:pPr>
        <a:defRPr/>
      </a:pPr>
      <a:endParaRPr lang="sk-SK"/>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5336805010927418"/>
          <c:y val="0.12130594331446275"/>
          <c:w val="0.39410588616661957"/>
          <c:h val="0.6949923472680668"/>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8F17-4468-8A99-AC68C224E154}"/>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8F17-4468-8A99-AC68C224E154}"/>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8F17-4468-8A99-AC68C224E154}"/>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8F17-4468-8A99-AC68C224E154}"/>
              </c:ext>
            </c:extLst>
          </c:dPt>
          <c:dLbls>
            <c:dLbl>
              <c:idx val="0"/>
              <c:layout>
                <c:manualLayout>
                  <c:x val="1.9366732544886071E-2"/>
                  <c:y val="-5.338730199708643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8F17-4468-8A99-AC68C224E154}"/>
                </c:ext>
              </c:extLst>
            </c:dLbl>
            <c:dLbl>
              <c:idx val="1"/>
              <c:layout>
                <c:manualLayout>
                  <c:x val="3.3409041001348935E-2"/>
                  <c:y val="-2.9518154492983457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F17-4468-8A99-AC68C224E154}"/>
                </c:ext>
              </c:extLst>
            </c:dLbl>
            <c:dLbl>
              <c:idx val="2"/>
              <c:layout>
                <c:manualLayout>
                  <c:x val="5.8433771475776684E-2"/>
                  <c:y val="4.194397831418605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8F17-4468-8A99-AC68C224E154}"/>
                </c:ext>
              </c:extLst>
            </c:dLbl>
            <c:dLbl>
              <c:idx val="3"/>
              <c:layout>
                <c:manualLayout>
                  <c:x val="-4.6066861164266816E-2"/>
                  <c:y val="-2.0443674048940604E-2"/>
                </c:manualLayout>
              </c:layout>
              <c:numFmt formatCode="0.00%" sourceLinked="0"/>
              <c:spPr>
                <a:noFill/>
                <a:ln>
                  <a:noFill/>
                </a:ln>
                <a:effectLst/>
              </c:spPr>
              <c:txPr>
                <a:bodyPr rot="0" spcFirstLastPara="1" vertOverflow="ellipsis" vert="horz" wrap="square" lIns="38100" tIns="19050" rIns="38100" bIns="19050" anchor="ctr" anchorCtr="0">
                  <a:spAutoFit/>
                </a:bodyPr>
                <a:lstStyle/>
                <a:p>
                  <a:pPr algn="ctr">
                    <a:defRPr sz="900" b="1"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8F17-4468-8A99-AC68C224E154}"/>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'RS2015 TJ'!$K$30:$K$33</c:f>
              <c:strCache>
                <c:ptCount val="4"/>
                <c:pt idx="0">
                  <c:v>ŠF (všetky operačné programy)</c:v>
                </c:pt>
                <c:pt idx="1">
                  <c:v>Zahraničné fondy a rozpočet SR</c:v>
                </c:pt>
                <c:pt idx="2">
                  <c:v>Energetické služby</c:v>
                </c:pt>
                <c:pt idx="3">
                  <c:v>Vlastné zdroje</c:v>
                </c:pt>
              </c:strCache>
            </c:strRef>
          </c:cat>
          <c:val>
            <c:numRef>
              <c:f>'RS2015 TJ'!$L$30:$L$33</c:f>
              <c:numCache>
                <c:formatCode>#,##0.00</c:formatCode>
                <c:ptCount val="4"/>
                <c:pt idx="0">
                  <c:v>1511.1089436403201</c:v>
                </c:pt>
                <c:pt idx="1">
                  <c:v>390.82476880830347</c:v>
                </c:pt>
                <c:pt idx="2">
                  <c:v>40.639525599999999</c:v>
                </c:pt>
                <c:pt idx="3">
                  <c:v>2770.8821383419599</c:v>
                </c:pt>
              </c:numCache>
            </c:numRef>
          </c:val>
          <c:extLst>
            <c:ext xmlns:c16="http://schemas.microsoft.com/office/drawing/2014/chart" uri="{C3380CC4-5D6E-409C-BE32-E72D297353CC}">
              <c16:uniqueId val="{00000008-8F17-4468-8A99-AC68C224E154}"/>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66442555238364132"/>
          <c:y val="0.24134872485201644"/>
          <c:w val="0.30598613420334408"/>
          <c:h val="0.5035674071967803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showDLblsOverMax val="0"/>
  </c:chart>
  <c:spPr>
    <a:solidFill>
      <a:schemeClr val="bg1"/>
    </a:solidFill>
    <a:ln w="9525" cap="flat" cmpd="sng" algn="ctr">
      <a:noFill/>
      <a:round/>
    </a:ln>
    <a:effectLst/>
  </c:spPr>
  <c:txPr>
    <a:bodyPr/>
    <a:lstStyle/>
    <a:p>
      <a:pPr>
        <a:defRPr/>
      </a:pPr>
      <a:endParaRPr lang="sk-SK"/>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79F-4643-8D96-A568C1ACEB8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79F-4643-8D96-A568C1ACEB85}"/>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79F-4643-8D96-A568C1ACEB85}"/>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A79F-4643-8D96-A568C1ACEB85}"/>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A79F-4643-8D96-A568C1ACEB85}"/>
              </c:ext>
            </c:extLst>
          </c:dPt>
          <c:dLbls>
            <c:dLbl>
              <c:idx val="0"/>
              <c:layout>
                <c:manualLayout>
                  <c:x val="-3.2570672518394218E-2"/>
                  <c:y val="-6.5892931071211816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A79F-4643-8D96-A568C1ACEB85}"/>
                </c:ext>
              </c:extLst>
            </c:dLbl>
            <c:dLbl>
              <c:idx val="1"/>
              <c:layout>
                <c:manualLayout>
                  <c:x val="0.19925928316337507"/>
                  <c:y val="9.6493872416023637E-3"/>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A79F-4643-8D96-A568C1ACEB85}"/>
                </c:ext>
              </c:extLst>
            </c:dLbl>
            <c:dLbl>
              <c:idx val="2"/>
              <c:layout>
                <c:manualLayout>
                  <c:x val="-1.1370638096467425E-2"/>
                  <c:y val="-1.3372562732874317E-3"/>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A79F-4643-8D96-A568C1ACEB85}"/>
                </c:ext>
              </c:extLst>
            </c:dLbl>
            <c:dLbl>
              <c:idx val="3"/>
              <c:layout>
                <c:manualLayout>
                  <c:x val="-1.1620304634051891E-2"/>
                  <c:y val="2.6005956759233579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A79F-4643-8D96-A568C1ACEB85}"/>
                </c:ext>
              </c:extLst>
            </c:dLbl>
            <c:dLbl>
              <c:idx val="4"/>
              <c:layout>
                <c:manualLayout>
                  <c:x val="-3.247450626048793E-2"/>
                  <c:y val="1.0429151945593318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A79F-4643-8D96-A568C1ACEB85}"/>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'4AP realny  v 2016'!$U$8:$U$12</c:f>
              <c:strCache>
                <c:ptCount val="5"/>
                <c:pt idx="0">
                  <c:v>Budovy </c:v>
                </c:pt>
                <c:pt idx="1">
                  <c:v>Priemysel </c:v>
                </c:pt>
                <c:pt idx="2">
                  <c:v>Verejný sektor </c:v>
                </c:pt>
                <c:pt idx="3">
                  <c:v>Doprava </c:v>
                </c:pt>
                <c:pt idx="4">
                  <c:v>Spotrebiče </c:v>
                </c:pt>
              </c:strCache>
            </c:strRef>
          </c:cat>
          <c:val>
            <c:numRef>
              <c:f>'4AP realny  v 2016'!$V$8:$V$12</c:f>
              <c:numCache>
                <c:formatCode>#,##0</c:formatCode>
                <c:ptCount val="5"/>
                <c:pt idx="0">
                  <c:v>4279.9414208889275</c:v>
                </c:pt>
                <c:pt idx="1">
                  <c:v>6770.0961544383335</c:v>
                </c:pt>
                <c:pt idx="2">
                  <c:v>1706.1347847724069</c:v>
                </c:pt>
                <c:pt idx="3">
                  <c:v>1060.8900000000001</c:v>
                </c:pt>
                <c:pt idx="4">
                  <c:v>902.17791631360012</c:v>
                </c:pt>
              </c:numCache>
            </c:numRef>
          </c:val>
          <c:extLst>
            <c:ext xmlns:c16="http://schemas.microsoft.com/office/drawing/2014/chart" uri="{C3380CC4-5D6E-409C-BE32-E72D297353CC}">
              <c16:uniqueId val="{0000000A-A79F-4643-8D96-A568C1ACEB85}"/>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74448582246891282"/>
          <c:y val="0.14816172480736997"/>
          <c:w val="0.21867862828621829"/>
          <c:h val="0.6017106590619510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showDLblsOverMax val="0"/>
  </c:chart>
  <c:spPr>
    <a:solidFill>
      <a:schemeClr val="bg1"/>
    </a:solidFill>
    <a:ln w="9525" cap="flat" cmpd="sng" algn="ctr">
      <a:noFill/>
      <a:round/>
    </a:ln>
    <a:effectLst/>
  </c:spPr>
  <c:txPr>
    <a:bodyPr/>
    <a:lstStyle/>
    <a:p>
      <a:pPr>
        <a:defRPr/>
      </a:pPr>
      <a:endParaRPr lang="sk-SK"/>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4099897249152172"/>
          <c:y val="0.12087634878973462"/>
          <c:w val="0.36113909696379232"/>
          <c:h val="0.61819991251093609"/>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2F2-46C0-BFEE-F44BB11FF08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52F2-46C0-BFEE-F44BB11FF08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52F2-46C0-BFEE-F44BB11FF088}"/>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52F2-46C0-BFEE-F44BB11FF088}"/>
              </c:ext>
            </c:extLst>
          </c:dPt>
          <c:dLbls>
            <c:dLbl>
              <c:idx val="0"/>
              <c:layout>
                <c:manualLayout>
                  <c:x val="-0.144251312335958"/>
                  <c:y val="-3.804899387576553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52F2-46C0-BFEE-F44BB11FF088}"/>
                </c:ext>
              </c:extLst>
            </c:dLbl>
            <c:dLbl>
              <c:idx val="1"/>
              <c:layout>
                <c:manualLayout>
                  <c:x val="5.1840806426710892E-2"/>
                  <c:y val="1.1544419831681797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52F2-46C0-BFEE-F44BB11FF088}"/>
                </c:ext>
              </c:extLst>
            </c:dLbl>
            <c:dLbl>
              <c:idx val="3"/>
              <c:layout>
                <c:manualLayout>
                  <c:x val="0.12664173228346456"/>
                  <c:y val="0.10274533391659375"/>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52F2-46C0-BFEE-F44BB11FF088}"/>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'4AP realny  v 2016'!$U$60:$U$63</c:f>
              <c:strCache>
                <c:ptCount val="4"/>
                <c:pt idx="0">
                  <c:v>ŠF (všetky operačné programy)</c:v>
                </c:pt>
                <c:pt idx="1">
                  <c:v>Zahraničné fondy a rozpočet SR</c:v>
                </c:pt>
                <c:pt idx="2">
                  <c:v>Energetické služby</c:v>
                </c:pt>
                <c:pt idx="3">
                  <c:v>Vlastné zdroje</c:v>
                </c:pt>
              </c:strCache>
            </c:strRef>
          </c:cat>
          <c:val>
            <c:numRef>
              <c:f>'4AP realny  v 2016'!$V$60:$V$63</c:f>
              <c:numCache>
                <c:formatCode>#,##0</c:formatCode>
                <c:ptCount val="4"/>
                <c:pt idx="0">
                  <c:v>7809.1233724659751</c:v>
                </c:pt>
                <c:pt idx="1">
                  <c:v>1431.9827209336422</c:v>
                </c:pt>
                <c:pt idx="2">
                  <c:v>244.03653983030304</c:v>
                </c:pt>
                <c:pt idx="3">
                  <c:v>8981.0976431833424</c:v>
                </c:pt>
              </c:numCache>
            </c:numRef>
          </c:val>
          <c:extLst>
            <c:ext xmlns:c16="http://schemas.microsoft.com/office/drawing/2014/chart" uri="{C3380CC4-5D6E-409C-BE32-E72D297353CC}">
              <c16:uniqueId val="{00000008-52F2-46C0-BFEE-F44BB11FF088}"/>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64018292845240188"/>
          <c:y val="0.17476742490522021"/>
          <c:w val="0.35062335958005253"/>
          <c:h val="0.4641214639836687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sk-SK" cap="none" baseline="0"/>
              <a:t>Predikcia vývoja kumulovaných úspor energie (GW</a:t>
            </a:r>
            <a:r>
              <a:rPr lang="en-US" cap="none" baseline="0"/>
              <a:t>h</a:t>
            </a:r>
            <a:r>
              <a:rPr lang="sk-SK" cap="none" baseline="0"/>
              <a:t>)</a:t>
            </a:r>
          </a:p>
        </c:rich>
      </c:tx>
      <c:layout>
        <c:manualLayout>
          <c:xMode val="edge"/>
          <c:yMode val="edge"/>
          <c:x val="0.10683189092913085"/>
          <c:y val="2.0502306509482315E-2"/>
        </c:manualLayout>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sk-SK"/>
        </a:p>
      </c:txPr>
    </c:title>
    <c:autoTitleDeleted val="0"/>
    <c:plotArea>
      <c:layout/>
      <c:lineChart>
        <c:grouping val="standard"/>
        <c:varyColors val="0"/>
        <c:ser>
          <c:idx val="1"/>
          <c:order val="1"/>
          <c:tx>
            <c:v>aktualizovaný plán plnenia cieľa</c:v>
          </c:tx>
          <c:spPr>
            <a:ln w="22225" cap="rnd">
              <a:solidFill>
                <a:schemeClr val="accent2"/>
              </a:solidFill>
              <a:round/>
            </a:ln>
            <a:effectLst/>
          </c:spPr>
          <c:marker>
            <c:symbol val="square"/>
            <c:size val="6"/>
            <c:spPr>
              <a:solidFill>
                <a:schemeClr val="accent2"/>
              </a:solidFill>
              <a:ln w="9525">
                <a:solidFill>
                  <a:schemeClr val="accent2"/>
                </a:solidFill>
                <a:round/>
              </a:ln>
              <a:effectLst/>
            </c:spPr>
          </c:marker>
          <c:dPt>
            <c:idx val="1"/>
            <c:marker>
              <c:symbol val="square"/>
              <c:size val="6"/>
              <c:spPr>
                <a:solidFill>
                  <a:schemeClr val="accent2"/>
                </a:solidFill>
                <a:ln w="9525">
                  <a:solidFill>
                    <a:schemeClr val="accent2"/>
                  </a:solidFill>
                  <a:round/>
                </a:ln>
                <a:effectLst/>
              </c:spPr>
            </c:marker>
            <c:bubble3D val="0"/>
            <c:extLst>
              <c:ext xmlns:c16="http://schemas.microsoft.com/office/drawing/2014/chart" uri="{C3380CC4-5D6E-409C-BE32-E72D297353CC}">
                <c16:uniqueId val="{00000000-319F-49D0-ABBD-35CECD6628C6}"/>
              </c:ext>
            </c:extLst>
          </c:dPt>
          <c:dLbls>
            <c:dLbl>
              <c:idx val="0"/>
              <c:layout>
                <c:manualLayout>
                  <c:x val="3.598200899550225E-4"/>
                  <c:y val="1.777777777777761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0F1-4FC8-A6F6-92E4422A6FF7}"/>
                </c:ext>
              </c:extLst>
            </c:dLbl>
            <c:dLbl>
              <c:idx val="1"/>
              <c:layout>
                <c:manualLayout>
                  <c:x val="-2.1989005497251375E-3"/>
                  <c:y val="2.66666666666666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19F-49D0-ABBD-35CECD6628C6}"/>
                </c:ext>
              </c:extLst>
            </c:dLbl>
            <c:dLbl>
              <c:idx val="2"/>
              <c:layout>
                <c:manualLayout>
                  <c:x val="-1.2193903048475762E-2"/>
                  <c:y val="3.777777777777777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0F1-4FC8-A6F6-92E4422A6FF7}"/>
                </c:ext>
              </c:extLst>
            </c:dLbl>
            <c:dLbl>
              <c:idx val="3"/>
              <c:layout>
                <c:manualLayout>
                  <c:x val="-6.1969015492253877E-3"/>
                  <c:y val="3.777777777777777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0F1-4FC8-A6F6-92E4422A6FF7}"/>
                </c:ext>
              </c:extLst>
            </c:dLbl>
            <c:dLbl>
              <c:idx val="4"/>
              <c:layout>
                <c:manualLayout>
                  <c:x val="-4.0179910044977438E-2"/>
                  <c:y val="4.666666666666666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0F1-4FC8-A6F6-92E4422A6FF7}"/>
                </c:ext>
              </c:extLst>
            </c:dLbl>
            <c:dLbl>
              <c:idx val="5"/>
              <c:layout>
                <c:manualLayout>
                  <c:x val="-5.4172913543228389E-2"/>
                  <c:y val="5.333333333333329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0F1-4FC8-A6F6-92E4422A6FF7}"/>
                </c:ext>
              </c:extLst>
            </c:dLbl>
            <c:dLbl>
              <c:idx val="6"/>
              <c:layout>
                <c:manualLayout>
                  <c:x val="-4.2378967996316803E-2"/>
                  <c:y val="4.444444444444444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0F1-4FC8-A6F6-92E4422A6FF7}"/>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sk-SK"/>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Lit>
              <c:formatCode>General</c:formatCode>
              <c:ptCount val="7"/>
              <c:pt idx="0">
                <c:v>2014</c:v>
              </c:pt>
              <c:pt idx="1">
                <c:v>2015</c:v>
              </c:pt>
              <c:pt idx="2">
                <c:v>2016</c:v>
              </c:pt>
              <c:pt idx="3">
                <c:v>2017</c:v>
              </c:pt>
              <c:pt idx="4">
                <c:v>2018</c:v>
              </c:pt>
              <c:pt idx="5">
                <c:v>2019</c:v>
              </c:pt>
              <c:pt idx="6">
                <c:v>2020</c:v>
              </c:pt>
            </c:numLit>
          </c:cat>
          <c:val>
            <c:numRef>
              <c:f>'prepocet ciela 2020'!$C$28:$I$28</c:f>
              <c:numCache>
                <c:formatCode>#,##0.00</c:formatCode>
                <c:ptCount val="7"/>
                <c:pt idx="0">
                  <c:v>5494.23</c:v>
                </c:pt>
                <c:pt idx="1">
                  <c:v>13104.077061317636</c:v>
                </c:pt>
                <c:pt idx="2">
                  <c:v>16370.119426896501</c:v>
                </c:pt>
                <c:pt idx="3">
                  <c:v>20448.0794268965</c:v>
                </c:pt>
                <c:pt idx="4">
                  <c:v>23506.549426896501</c:v>
                </c:pt>
                <c:pt idx="5">
                  <c:v>25545.529426896501</c:v>
                </c:pt>
                <c:pt idx="6">
                  <c:v>26565</c:v>
                </c:pt>
              </c:numCache>
            </c:numRef>
          </c:val>
          <c:smooth val="0"/>
          <c:extLst>
            <c:ext xmlns:c16="http://schemas.microsoft.com/office/drawing/2014/chart" uri="{C3380CC4-5D6E-409C-BE32-E72D297353CC}">
              <c16:uniqueId val="{00000007-319F-49D0-ABBD-35CECD6628C6}"/>
            </c:ext>
          </c:extLst>
        </c:ser>
        <c:ser>
          <c:idx val="0"/>
          <c:order val="2"/>
          <c:tx>
            <c:v>pôvodný plán plnenia cieľa</c:v>
          </c:tx>
          <c:spPr>
            <a:ln w="22225" cap="rnd">
              <a:solidFill>
                <a:srgbClr val="0070C0"/>
              </a:solidFill>
              <a:round/>
            </a:ln>
            <a:effectLst/>
          </c:spPr>
          <c:marker>
            <c:symbol val="diamond"/>
            <c:size val="6"/>
            <c:spPr>
              <a:solidFill>
                <a:srgbClr val="0066FF"/>
              </a:solidFill>
              <a:ln w="9525">
                <a:solidFill>
                  <a:srgbClr val="0070C0"/>
                </a:solidFill>
                <a:round/>
              </a:ln>
              <a:effectLst/>
            </c:spPr>
          </c:marker>
          <c:dLbls>
            <c:dLbl>
              <c:idx val="0"/>
              <c:layout>
                <c:manualLayout>
                  <c:x val="-7.4137891684079221E-2"/>
                  <c:y val="-5.569205569205569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0F1-4FC8-A6F6-92E4422A6FF7}"/>
                </c:ext>
              </c:extLst>
            </c:dLbl>
            <c:dLbl>
              <c:idx val="1"/>
              <c:layout>
                <c:manualLayout>
                  <c:x val="-6.9210434153002237E-2"/>
                  <c:y val="-5.569205569205569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50F1-4FC8-A6F6-92E4422A6FF7}"/>
                </c:ext>
              </c:extLst>
            </c:dLbl>
            <c:dLbl>
              <c:idx val="2"/>
              <c:layout>
                <c:manualLayout>
                  <c:x val="-7.3208435152502485E-2"/>
                  <c:y val="-4.91400491400491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50F1-4FC8-A6F6-92E4422A6FF7}"/>
                </c:ext>
              </c:extLst>
            </c:dLbl>
            <c:dLbl>
              <c:idx val="3"/>
              <c:layout>
                <c:manualLayout>
                  <c:x val="-5.7216431154501486E-2"/>
                  <c:y val="-5.8968058968058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50F1-4FC8-A6F6-92E4422A6FF7}"/>
                </c:ext>
              </c:extLst>
            </c:dLbl>
            <c:dLbl>
              <c:idx val="4"/>
              <c:layout>
                <c:manualLayout>
                  <c:x val="-5.3218430155001238E-2"/>
                  <c:y val="-3.931203931203931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50F1-4FC8-A6F6-92E4422A6FF7}"/>
                </c:ext>
              </c:extLst>
            </c:dLbl>
            <c:dLbl>
              <c:idx val="5"/>
              <c:layout>
                <c:manualLayout>
                  <c:x val="-4.922042915550099E-2"/>
                  <c:y val="-3.9312297265053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50F1-4FC8-A6F6-92E4422A6FF7}"/>
                </c:ext>
              </c:extLst>
            </c:dLbl>
            <c:dLbl>
              <c:idx val="6"/>
              <c:layout>
                <c:manualLayout>
                  <c:x val="-3.2338948635918262E-2"/>
                  <c:y val="-3.603603603603603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50F1-4FC8-A6F6-92E4422A6FF7}"/>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sk-SK"/>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Lit>
              <c:formatCode>General</c:formatCode>
              <c:ptCount val="7"/>
              <c:pt idx="0">
                <c:v>2014</c:v>
              </c:pt>
              <c:pt idx="1">
                <c:v>2015</c:v>
              </c:pt>
              <c:pt idx="2">
                <c:v>2016</c:v>
              </c:pt>
              <c:pt idx="3">
                <c:v>2017</c:v>
              </c:pt>
              <c:pt idx="4">
                <c:v>2018</c:v>
              </c:pt>
              <c:pt idx="5">
                <c:v>2019</c:v>
              </c:pt>
              <c:pt idx="6">
                <c:v>2020</c:v>
              </c:pt>
            </c:numLit>
          </c:cat>
          <c:val>
            <c:numRef>
              <c:f>'prepocet ciela 2020'!$C$27:$I$27</c:f>
              <c:numCache>
                <c:formatCode>#,##0.00</c:formatCode>
                <c:ptCount val="7"/>
                <c:pt idx="0">
                  <c:v>6641.25</c:v>
                </c:pt>
                <c:pt idx="1">
                  <c:v>12333.75</c:v>
                </c:pt>
                <c:pt idx="2">
                  <c:v>17077.5</c:v>
                </c:pt>
                <c:pt idx="3">
                  <c:v>20872.5</c:v>
                </c:pt>
                <c:pt idx="4">
                  <c:v>23718.75</c:v>
                </c:pt>
                <c:pt idx="5">
                  <c:v>25616.25</c:v>
                </c:pt>
                <c:pt idx="6">
                  <c:v>26565</c:v>
                </c:pt>
              </c:numCache>
            </c:numRef>
          </c:val>
          <c:smooth val="0"/>
          <c:extLst>
            <c:ext xmlns:c16="http://schemas.microsoft.com/office/drawing/2014/chart" uri="{C3380CC4-5D6E-409C-BE32-E72D297353CC}">
              <c16:uniqueId val="{0000000F-319F-49D0-ABBD-35CECD6628C6}"/>
            </c:ext>
          </c:extLst>
        </c:ser>
        <c:dLbls>
          <c:dLblPos val="ctr"/>
          <c:showLegendKey val="0"/>
          <c:showVal val="1"/>
          <c:showCatName val="0"/>
          <c:showSerName val="0"/>
          <c:showPercent val="0"/>
          <c:showBubbleSize val="0"/>
        </c:dLbls>
        <c:marker val="1"/>
        <c:smooth val="0"/>
        <c:axId val="238968928"/>
        <c:axId val="238969320"/>
        <c:extLst>
          <c:ext xmlns:c15="http://schemas.microsoft.com/office/drawing/2012/chart" uri="{02D57815-91ED-43cb-92C2-25804820EDAC}">
            <c15:filteredLineSeries>
              <c15:ser>
                <c:idx val="2"/>
                <c:order val="0"/>
                <c:spPr>
                  <a:ln w="22225" cap="rnd">
                    <a:solidFill>
                      <a:schemeClr val="accent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sk-SK"/>
                    </a:p>
                  </c:txPr>
                  <c:dLblPos val="ctr"/>
                  <c:showLegendKey val="0"/>
                  <c:showVal val="1"/>
                  <c:showCatName val="0"/>
                  <c:showSerName val="0"/>
                  <c:showPercent val="0"/>
                  <c:showBubbleSize val="0"/>
                  <c:showLeaderLines val="0"/>
                  <c:extLst>
                    <c:ext uri="{CE6537A1-D6FC-4f65-9D91-7224C49458BB}">
                      <c15:showLeaderLines val="1"/>
                      <c15:leaderLines>
                        <c:spPr>
                          <a:ln w="9525">
                            <a:solidFill>
                              <a:schemeClr val="tx1">
                                <a:lumMod val="35000"/>
                                <a:lumOff val="65000"/>
                              </a:schemeClr>
                            </a:solidFill>
                          </a:ln>
                          <a:effectLst/>
                        </c:spPr>
                      </c15:leaderLines>
                    </c:ext>
                  </c:extLst>
                </c:dLbls>
                <c:cat>
                  <c:numLit>
                    <c:formatCode>General</c:formatCode>
                    <c:ptCount val="7"/>
                    <c:pt idx="0">
                      <c:v>2014</c:v>
                    </c:pt>
                    <c:pt idx="1">
                      <c:v>2015</c:v>
                    </c:pt>
                    <c:pt idx="2">
                      <c:v>2016</c:v>
                    </c:pt>
                    <c:pt idx="3">
                      <c:v>2017</c:v>
                    </c:pt>
                    <c:pt idx="4">
                      <c:v>2018</c:v>
                    </c:pt>
                    <c:pt idx="5">
                      <c:v>2019</c:v>
                    </c:pt>
                    <c:pt idx="6">
                      <c:v>2020</c:v>
                    </c:pt>
                  </c:numLit>
                </c:cat>
                <c:val>
                  <c:numLit>
                    <c:formatCode>General</c:formatCode>
                    <c:ptCount val="7"/>
                    <c:pt idx="0">
                      <c:v>6641.25</c:v>
                    </c:pt>
                    <c:pt idx="1">
                      <c:v>12333.75</c:v>
                    </c:pt>
                    <c:pt idx="2">
                      <c:v>17077.5</c:v>
                    </c:pt>
                    <c:pt idx="3">
                      <c:v>20872.5</c:v>
                    </c:pt>
                    <c:pt idx="4">
                      <c:v>23718.75</c:v>
                    </c:pt>
                    <c:pt idx="5">
                      <c:v>25616.25</c:v>
                    </c:pt>
                    <c:pt idx="6">
                      <c:v>26565</c:v>
                    </c:pt>
                  </c:numLit>
                </c:val>
                <c:smooth val="0"/>
                <c:extLst>
                  <c:ext xmlns:c16="http://schemas.microsoft.com/office/drawing/2014/chart" uri="{C3380CC4-5D6E-409C-BE32-E72D297353CC}">
                    <c16:uniqueId val="{00000010-319F-49D0-ABBD-35CECD6628C6}"/>
                  </c:ext>
                </c:extLst>
              </c15:ser>
            </c15:filteredLineSeries>
          </c:ext>
        </c:extLst>
      </c:lineChart>
      <c:catAx>
        <c:axId val="238968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sk-SK"/>
          </a:p>
        </c:txPr>
        <c:crossAx val="238969320"/>
        <c:crosses val="autoZero"/>
        <c:auto val="1"/>
        <c:lblAlgn val="ctr"/>
        <c:lblOffset val="100"/>
        <c:noMultiLvlLbl val="0"/>
      </c:catAx>
      <c:valAx>
        <c:axId val="238969320"/>
        <c:scaling>
          <c:orientation val="minMax"/>
        </c:scaling>
        <c:delete val="0"/>
        <c:axPos val="l"/>
        <c:numFmt formatCode="#,##0" sourceLinked="0"/>
        <c:majorTickMark val="out"/>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238968928"/>
        <c:crosses val="autoZero"/>
        <c:crossBetween val="between"/>
      </c:valAx>
      <c:spPr>
        <a:noFill/>
        <a:ln>
          <a:noFill/>
        </a:ln>
        <a:effectLst/>
      </c:spPr>
    </c:plotArea>
    <c:legend>
      <c:legendPos val="t"/>
      <c:layout>
        <c:manualLayout>
          <c:xMode val="edge"/>
          <c:yMode val="edge"/>
          <c:x val="0.79551963767347755"/>
          <c:y val="0.57426960533059968"/>
          <c:w val="0.17473939361131849"/>
          <c:h val="0.2831885122509353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sk-SK"/>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856702122760969"/>
          <c:y val="0.11450940972803932"/>
          <c:w val="0.76286558916977487"/>
          <c:h val="0.7709811805439214"/>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21AB-4189-9376-B48478BEA4C6}"/>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21AB-4189-9376-B48478BEA4C6}"/>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21AB-4189-9376-B48478BEA4C6}"/>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21AB-4189-9376-B48478BEA4C6}"/>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21AB-4189-9376-B48478BEA4C6}"/>
              </c:ext>
            </c:extLst>
          </c:dPt>
          <c:dLbls>
            <c:dLbl>
              <c:idx val="0"/>
              <c:layout>
                <c:manualLayout>
                  <c:x val="-4.6275124700321552E-2"/>
                  <c:y val="0.2493093030037912"/>
                </c:manualLayout>
              </c:layout>
              <c:tx>
                <c:rich>
                  <a:bodyPr/>
                  <a:lstStyle/>
                  <a:p>
                    <a:fld id="{6BA4FD20-8B5A-40EB-BE35-067C8B3D6E0A}" type="PERCENTAGE">
                      <a:rPr lang="en-US" b="1"/>
                      <a:pPr/>
                      <a:t>[PERCENTO]</a:t>
                    </a:fld>
                    <a:endParaRPr lang="sk-SK"/>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21AB-4189-9376-B48478BEA4C6}"/>
                </c:ext>
              </c:extLst>
            </c:dLbl>
            <c:dLbl>
              <c:idx val="1"/>
              <c:layout>
                <c:manualLayout>
                  <c:x val="4.4203565463407993E-3"/>
                  <c:y val="9.9737999416739581E-2"/>
                </c:manualLayout>
              </c:layout>
              <c:tx>
                <c:rich>
                  <a:bodyPr/>
                  <a:lstStyle/>
                  <a:p>
                    <a:fld id="{5690F36E-22FE-4866-9681-69B3B4DDBE85}" type="PERCENTAGE">
                      <a:rPr lang="en-US" b="1"/>
                      <a:pPr/>
                      <a:t>[PERCENTO]</a:t>
                    </a:fld>
                    <a:endParaRPr lang="sk-SK"/>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21AB-4189-9376-B48478BEA4C6}"/>
                </c:ext>
              </c:extLst>
            </c:dLbl>
            <c:dLbl>
              <c:idx val="2"/>
              <c:layout>
                <c:manualLayout>
                  <c:x val="-4.6423742486734622E-2"/>
                  <c:y val="1.5775561388159814E-2"/>
                </c:manualLayout>
              </c:layout>
              <c:tx>
                <c:rich>
                  <a:bodyPr/>
                  <a:lstStyle/>
                  <a:p>
                    <a:fld id="{BA62BCB7-F0E0-45B8-BEE8-A92766AFBE15}" type="PERCENTAGE">
                      <a:rPr lang="en-US" b="1" i="0"/>
                      <a:pPr/>
                      <a:t>[PERCENTO]</a:t>
                    </a:fld>
                    <a:endParaRPr lang="sk-SK"/>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21AB-4189-9376-B48478BEA4C6}"/>
                </c:ext>
              </c:extLst>
            </c:dLbl>
            <c:dLbl>
              <c:idx val="3"/>
              <c:layout>
                <c:manualLayout>
                  <c:x val="-4.0396768585744987E-2"/>
                  <c:y val="-1.037410323709537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21AB-4189-9376-B48478BEA4C6}"/>
                </c:ext>
              </c:extLst>
            </c:dLbl>
            <c:dLbl>
              <c:idx val="4"/>
              <c:layout>
                <c:manualLayout>
                  <c:x val="0.18381247798570632"/>
                  <c:y val="-1.771385243511227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21AB-4189-9376-B48478BEA4C6}"/>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k-SK"/>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SPOLU_3AP!$O$6:$O$10</c:f>
              <c:strCache>
                <c:ptCount val="5"/>
                <c:pt idx="0">
                  <c:v>Budovy </c:v>
                </c:pt>
                <c:pt idx="1">
                  <c:v>Priemysel </c:v>
                </c:pt>
                <c:pt idx="2">
                  <c:v>Verejný sektor </c:v>
                </c:pt>
                <c:pt idx="3">
                  <c:v>Doprava </c:v>
                </c:pt>
                <c:pt idx="4">
                  <c:v>Spotrebiče </c:v>
                </c:pt>
              </c:strCache>
            </c:strRef>
          </c:cat>
          <c:val>
            <c:numRef>
              <c:f>SPOLU_3AP!$P$6:$P$10</c:f>
              <c:numCache>
                <c:formatCode>#,##0.00</c:formatCode>
                <c:ptCount val="5"/>
                <c:pt idx="0">
                  <c:v>5051.2249108796113</c:v>
                </c:pt>
                <c:pt idx="1">
                  <c:v>2772.0369840000003</c:v>
                </c:pt>
                <c:pt idx="2">
                  <c:v>795.73349922365446</c:v>
                </c:pt>
                <c:pt idx="3">
                  <c:v>896.51626609678362</c:v>
                </c:pt>
                <c:pt idx="4">
                  <c:v>569.770486592</c:v>
                </c:pt>
              </c:numCache>
            </c:numRef>
          </c:val>
          <c:extLst>
            <c:ext xmlns:c16="http://schemas.microsoft.com/office/drawing/2014/chart" uri="{C3380CC4-5D6E-409C-BE32-E72D297353CC}">
              <c16:uniqueId val="{0000000A-21AB-4189-9376-B48478BEA4C6}"/>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sk-SK"/>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CE6-4652-A1CF-58AC585070E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CE6-4652-A1CF-58AC585070E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CE6-4652-A1CF-58AC585070EA}"/>
              </c:ext>
            </c:extLst>
          </c:dPt>
          <c:dLbls>
            <c:dLbl>
              <c:idx val="0"/>
              <c:layout>
                <c:manualLayout>
                  <c:x val="0.10193827037443115"/>
                  <c:y val="2.5359808284833855E-2"/>
                </c:manualLayout>
              </c:layout>
              <c:tx>
                <c:rich>
                  <a:bodyPr/>
                  <a:lstStyle/>
                  <a:p>
                    <a:fld id="{6BA4FD20-8B5A-40EB-BE35-067C8B3D6E0A}" type="PERCENTAGE">
                      <a:rPr lang="en-US" b="1"/>
                      <a:pPr/>
                      <a:t>[PERCENTO]</a:t>
                    </a:fld>
                    <a:endParaRPr lang="sk-SK"/>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DCE6-4652-A1CF-58AC585070EA}"/>
                </c:ext>
              </c:extLst>
            </c:dLbl>
            <c:dLbl>
              <c:idx val="1"/>
              <c:layout>
                <c:manualLayout>
                  <c:x val="5.6324351861080653E-2"/>
                  <c:y val="-7.128517630948307E-2"/>
                </c:manualLayout>
              </c:layout>
              <c:tx>
                <c:rich>
                  <a:bodyPr/>
                  <a:lstStyle/>
                  <a:p>
                    <a:fld id="{5690F36E-22FE-4866-9681-69B3B4DDBE85}" type="PERCENTAGE">
                      <a:rPr lang="en-US" b="1"/>
                      <a:pPr/>
                      <a:t>[PERCENTO]</a:t>
                    </a:fld>
                    <a:endParaRPr lang="sk-SK"/>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DCE6-4652-A1CF-58AC585070EA}"/>
                </c:ext>
              </c:extLst>
            </c:dLbl>
            <c:dLbl>
              <c:idx val="2"/>
              <c:layout>
                <c:manualLayout>
                  <c:x val="0.26095529198090744"/>
                  <c:y val="-2.0871162843774962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fld id="{BA62BCB7-F0E0-45B8-BEE8-A92766AFBE15}" type="PERCENTAGE">
                      <a:rPr lang="en-US" b="1" i="0"/>
                      <a:pPr>
                        <a:defRPr sz="900" b="0" i="0" u="none" strike="noStrike" kern="1200" baseline="0">
                          <a:solidFill>
                            <a:schemeClr val="tx1">
                              <a:lumMod val="75000"/>
                              <a:lumOff val="25000"/>
                            </a:schemeClr>
                          </a:solidFill>
                          <a:latin typeface="+mn-lt"/>
                          <a:ea typeface="+mn-ea"/>
                          <a:cs typeface="+mn-cs"/>
                        </a:defRPr>
                      </a:pPr>
                      <a:t>[PERCENTO]</a:t>
                    </a:fld>
                    <a:endParaRPr lang="sk-SK"/>
                  </a:p>
                </c:rich>
              </c:tx>
              <c:numFmt formatCode="0.00%" sourceLinked="0"/>
              <c:spPr>
                <a:noFill/>
                <a:ln>
                  <a:noFill/>
                </a:ln>
                <a:effectLst/>
              </c:spPr>
              <c:dLblPos val="bestFit"/>
              <c:showLegendKey val="0"/>
              <c:showVal val="0"/>
              <c:showCatName val="0"/>
              <c:showSerName val="0"/>
              <c:showPercent val="1"/>
              <c:showBubbleSize val="0"/>
              <c:extLst>
                <c:ext xmlns:c15="http://schemas.microsoft.com/office/drawing/2012/chart" uri="{CE6537A1-D6FC-4f65-9D91-7224C49458BB}">
                  <c15:layout>
                    <c:manualLayout>
                      <c:w val="0.1763390852739152"/>
                      <c:h val="8.9257345034513838E-2"/>
                    </c:manualLayout>
                  </c15:layout>
                  <c15:dlblFieldTable/>
                  <c15:showDataLabelsRange val="0"/>
                </c:ext>
                <c:ext xmlns:c16="http://schemas.microsoft.com/office/drawing/2014/chart" uri="{C3380CC4-5D6E-409C-BE32-E72D297353CC}">
                  <c16:uniqueId val="{00000005-DCE6-4652-A1CF-58AC585070EA}"/>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SPOLU_3AP!$K$6:$K$8</c:f>
              <c:strCache>
                <c:ptCount val="3"/>
                <c:pt idx="0">
                  <c:v>Zlepšovanie tepelno-technických vlastností budov</c:v>
                </c:pt>
                <c:pt idx="1">
                  <c:v>Nová výstavba v nízkoenergetickom štandarde</c:v>
                </c:pt>
                <c:pt idx="2">
                  <c:v>Opatrenia na úsporu energie na TZB</c:v>
                </c:pt>
              </c:strCache>
            </c:strRef>
          </c:cat>
          <c:val>
            <c:numRef>
              <c:f>SPOLU_3AP!$L$6:$L$8</c:f>
              <c:numCache>
                <c:formatCode>#,##0.00</c:formatCode>
                <c:ptCount val="3"/>
                <c:pt idx="0">
                  <c:v>4227.5953878884911</c:v>
                </c:pt>
                <c:pt idx="1">
                  <c:v>340.22728539111995</c:v>
                </c:pt>
                <c:pt idx="2">
                  <c:v>483.40223759999998</c:v>
                </c:pt>
              </c:numCache>
            </c:numRef>
          </c:val>
          <c:extLst>
            <c:ext xmlns:c16="http://schemas.microsoft.com/office/drawing/2014/chart" uri="{C3380CC4-5D6E-409C-BE32-E72D297353CC}">
              <c16:uniqueId val="{00000006-DCE6-4652-A1CF-58AC585070EA}"/>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sk-SK"/>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13157806058836"/>
          <c:y val="0.10511775069212238"/>
          <c:w val="0.75160524335313994"/>
          <c:h val="0.80194105873752075"/>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6F9-413B-B79B-ABC992A4ABEB}"/>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6F9-413B-B79B-ABC992A4ABEB}"/>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36F9-413B-B79B-ABC992A4ABEB}"/>
              </c:ext>
            </c:extLst>
          </c:dPt>
          <c:dLbls>
            <c:dLbl>
              <c:idx val="0"/>
              <c:layout>
                <c:manualLayout>
                  <c:x val="-0.15343884439552052"/>
                  <c:y val="-3.9473148048274785E-3"/>
                </c:manualLayout>
              </c:layout>
              <c:tx>
                <c:rich>
                  <a:bodyPr/>
                  <a:lstStyle/>
                  <a:p>
                    <a:fld id="{6BA4FD20-8B5A-40EB-BE35-067C8B3D6E0A}" type="PERCENTAGE">
                      <a:rPr lang="en-US" b="1"/>
                      <a:pPr/>
                      <a:t>[PERCENTO]</a:t>
                    </a:fld>
                    <a:endParaRPr lang="sk-SK"/>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36F9-413B-B79B-ABC992A4ABEB}"/>
                </c:ext>
              </c:extLst>
            </c:dLbl>
            <c:dLbl>
              <c:idx val="1"/>
              <c:layout>
                <c:manualLayout>
                  <c:x val="-2.884922551585474E-2"/>
                  <c:y val="-0.11383549659032347"/>
                </c:manualLayout>
              </c:layout>
              <c:tx>
                <c:rich>
                  <a:bodyPr/>
                  <a:lstStyle/>
                  <a:p>
                    <a:fld id="{5690F36E-22FE-4866-9681-69B3B4DDBE85}" type="PERCENTAGE">
                      <a:rPr lang="en-US" b="1"/>
                      <a:pPr/>
                      <a:t>[PERCENTO]</a:t>
                    </a:fld>
                    <a:endParaRPr lang="sk-SK"/>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36F9-413B-B79B-ABC992A4ABEB}"/>
                </c:ext>
              </c:extLst>
            </c:dLbl>
            <c:dLbl>
              <c:idx val="2"/>
              <c:layout>
                <c:manualLayout>
                  <c:x val="5.3386051422602112E-3"/>
                  <c:y val="0.22009755629861336"/>
                </c:manualLayout>
              </c:layout>
              <c:tx>
                <c:rich>
                  <a:bodyPr/>
                  <a:lstStyle/>
                  <a:p>
                    <a:fld id="{BA62BCB7-F0E0-45B8-BEE8-A92766AFBE15}" type="PERCENTAGE">
                      <a:rPr lang="en-US" b="1" i="0" u="sng"/>
                      <a:pPr/>
                      <a:t>[PERCENTO]</a:t>
                    </a:fld>
                    <a:endParaRPr lang="sk-SK"/>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36F9-413B-B79B-ABC992A4ABEB}"/>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SPOLU_3AP!$K$51:$K$53</c:f>
              <c:strCache>
                <c:ptCount val="3"/>
                <c:pt idx="0">
                  <c:v>Inovácie a technologické transfery</c:v>
                </c:pt>
                <c:pt idx="1">
                  <c:v>Využívanie energie v priemyselných podnikoch</c:v>
                </c:pt>
                <c:pt idx="2">
                  <c:v>Energetické audity a iné podporné nástroje</c:v>
                </c:pt>
              </c:strCache>
            </c:strRef>
          </c:cat>
          <c:val>
            <c:numRef>
              <c:f>SPOLU_3AP!$L$51:$L$53</c:f>
              <c:numCache>
                <c:formatCode>#,##0.00</c:formatCode>
                <c:ptCount val="3"/>
                <c:pt idx="0">
                  <c:v>6.8579999999999997</c:v>
                </c:pt>
                <c:pt idx="1">
                  <c:v>622.11550000000022</c:v>
                </c:pt>
                <c:pt idx="2">
                  <c:v>2143.0634840000002</c:v>
                </c:pt>
              </c:numCache>
            </c:numRef>
          </c:val>
          <c:extLst>
            <c:ext xmlns:c16="http://schemas.microsoft.com/office/drawing/2014/chart" uri="{C3380CC4-5D6E-409C-BE32-E72D297353CC}">
              <c16:uniqueId val="{00000006-36F9-413B-B79B-ABC992A4ABEB}"/>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sk-SK"/>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0843435747002212"/>
          <c:y val="0.17746623135522693"/>
          <c:w val="0.69899480212032317"/>
          <c:h val="0.72456778268570088"/>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F6D-490C-B565-AD4B444CC297}"/>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F6D-490C-B565-AD4B444CC297}"/>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7F6D-490C-B565-AD4B444CC297}"/>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7F6D-490C-B565-AD4B444CC297}"/>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7F6D-490C-B565-AD4B444CC297}"/>
              </c:ext>
            </c:extLst>
          </c:dPt>
          <c:dLbls>
            <c:dLbl>
              <c:idx val="0"/>
              <c:layout>
                <c:manualLayout>
                  <c:x val="-3.0498223120340045E-2"/>
                  <c:y val="-5.9928296197017963E-2"/>
                </c:manualLayout>
              </c:layout>
              <c:tx>
                <c:rich>
                  <a:bodyPr/>
                  <a:lstStyle/>
                  <a:p>
                    <a:fld id="{C2102B9E-2267-49B7-8590-D6BC941B7FF3}" type="PERCENTAGE">
                      <a:rPr lang="en-US" b="1"/>
                      <a:pPr/>
                      <a:t>[PERCENTO]</a:t>
                    </a:fld>
                    <a:endParaRPr lang="sk-SK"/>
                  </a:p>
                </c:rich>
              </c:tx>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7F6D-490C-B565-AD4B444CC297}"/>
                </c:ext>
              </c:extLst>
            </c:dLbl>
            <c:dLbl>
              <c:idx val="1"/>
              <c:layout>
                <c:manualLayout>
                  <c:x val="-3.0926532413536805E-2"/>
                  <c:y val="0.21415178421846207"/>
                </c:manualLayout>
              </c:layout>
              <c:tx>
                <c:rich>
                  <a:bodyPr/>
                  <a:lstStyle/>
                  <a:p>
                    <a:fld id="{26E9877B-C6FB-415F-AD5D-E45CE85A06B0}" type="PERCENTAGE">
                      <a:rPr lang="en-US" b="1"/>
                      <a:pPr/>
                      <a:t>[PERCENTO]</a:t>
                    </a:fld>
                    <a:endParaRPr lang="sk-SK"/>
                  </a:p>
                </c:rich>
              </c:tx>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7F6D-490C-B565-AD4B444CC297}"/>
                </c:ext>
              </c:extLst>
            </c:dLbl>
            <c:dLbl>
              <c:idx val="2"/>
              <c:layout>
                <c:manualLayout>
                  <c:x val="-0.18288528093280382"/>
                  <c:y val="1.7250907466353837E-2"/>
                </c:manualLayout>
              </c:layout>
              <c:tx>
                <c:rich>
                  <a:bodyPr/>
                  <a:lstStyle/>
                  <a:p>
                    <a:fld id="{FC320492-7A0C-4379-A31E-7CEDA4EA9549}" type="PERCENTAGE">
                      <a:rPr lang="en-US" b="1"/>
                      <a:pPr/>
                      <a:t>[PERCENTO]</a:t>
                    </a:fld>
                    <a:endParaRPr lang="sk-SK"/>
                  </a:p>
                </c:rich>
              </c:tx>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7F6D-490C-B565-AD4B444CC297}"/>
                </c:ext>
              </c:extLst>
            </c:dLbl>
            <c:dLbl>
              <c:idx val="3"/>
              <c:layout>
                <c:manualLayout>
                  <c:x val="4.7109376814623745E-3"/>
                  <c:y val="0.17654459150053051"/>
                </c:manualLayout>
              </c:layout>
              <c:tx>
                <c:rich>
                  <a:bodyPr/>
                  <a:lstStyle/>
                  <a:p>
                    <a:fld id="{0663700E-A453-4951-BD8A-32E197C84ACC}" type="PERCENTAGE">
                      <a:rPr lang="en-US" b="1"/>
                      <a:pPr/>
                      <a:t>[PERCENTO]</a:t>
                    </a:fld>
                    <a:endParaRPr lang="sk-SK"/>
                  </a:p>
                </c:rich>
              </c:tx>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7F6D-490C-B565-AD4B444CC297}"/>
                </c:ext>
              </c:extLst>
            </c:dLbl>
            <c:dLbl>
              <c:idx val="4"/>
              <c:layout>
                <c:manualLayout>
                  <c:x val="-7.5184539985599139E-2"/>
                  <c:y val="-5.286692354944994E-2"/>
                </c:manualLayout>
              </c:layout>
              <c:tx>
                <c:rich>
                  <a:bodyPr/>
                  <a:lstStyle/>
                  <a:p>
                    <a:fld id="{40EDF97E-7219-4EA8-85E3-1B915EE82719}" type="PERCENTAGE">
                      <a:rPr lang="en-US" b="1"/>
                      <a:pPr/>
                      <a:t>[PERCENTO]</a:t>
                    </a:fld>
                    <a:endParaRPr lang="sk-SK"/>
                  </a:p>
                </c:rich>
              </c:tx>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7F6D-490C-B565-AD4B444CC297}"/>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SPOLU_3AP!$K$78:$K$82</c:f>
              <c:strCache>
                <c:ptCount val="5"/>
                <c:pt idx="0">
                  <c:v>Budovy ŠF EU 2007-2013</c:v>
                </c:pt>
                <c:pt idx="1">
                  <c:v>Budovy vlastné rozpočtové zdroje</c:v>
                </c:pt>
                <c:pt idx="2">
                  <c:v>Budovy národné a medzinárodné programy/fondy</c:v>
                </c:pt>
                <c:pt idx="3">
                  <c:v>Modernizácia verejného osvetlenia</c:v>
                </c:pt>
                <c:pt idx="4">
                  <c:v>Technické zariadenia budov - Energetické služby</c:v>
                </c:pt>
              </c:strCache>
            </c:strRef>
          </c:cat>
          <c:val>
            <c:numRef>
              <c:f>SPOLU_3AP!$L$78:$L$82</c:f>
              <c:numCache>
                <c:formatCode>#,##0.00</c:formatCode>
                <c:ptCount val="5"/>
                <c:pt idx="0">
                  <c:v>172.63166559999999</c:v>
                </c:pt>
                <c:pt idx="1">
                  <c:v>67.666437098014583</c:v>
                </c:pt>
                <c:pt idx="2">
                  <c:v>188.14349053732002</c:v>
                </c:pt>
                <c:pt idx="3">
                  <c:v>255.45610785999992</c:v>
                </c:pt>
                <c:pt idx="4">
                  <c:v>111.83579812831999</c:v>
                </c:pt>
              </c:numCache>
            </c:numRef>
          </c:val>
          <c:extLst>
            <c:ext xmlns:c16="http://schemas.microsoft.com/office/drawing/2014/chart" uri="{C3380CC4-5D6E-409C-BE32-E72D297353CC}">
              <c16:uniqueId val="{0000000A-7F6D-490C-B565-AD4B444CC29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sk-SK"/>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4250299256525989"/>
          <c:y val="0.12739646482242817"/>
          <c:w val="0.7078397808969531"/>
          <c:h val="0.79240471047313776"/>
        </c:manualLayout>
      </c:layout>
      <c:pieChart>
        <c:varyColors val="1"/>
        <c:ser>
          <c:idx val="0"/>
          <c:order val="0"/>
          <c:tx>
            <c:v>Sektor dopravy</c:v>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8E73-4B34-92E1-550853BF151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8E73-4B34-92E1-550853BF151E}"/>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8E73-4B34-92E1-550853BF151E}"/>
              </c:ext>
            </c:extLst>
          </c:dPt>
          <c:dLbls>
            <c:dLbl>
              <c:idx val="0"/>
              <c:layout>
                <c:manualLayout>
                  <c:x val="-8.099364148519092E-2"/>
                  <c:y val="-3.862587972963556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8E73-4B34-92E1-550853BF151E}"/>
                </c:ext>
              </c:extLst>
            </c:dLbl>
            <c:dLbl>
              <c:idx val="1"/>
              <c:layout>
                <c:manualLayout>
                  <c:x val="-5.2439492494270185E-3"/>
                  <c:y val="-0.19047824774115624"/>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E73-4B34-92E1-550853BF151E}"/>
                </c:ext>
              </c:extLst>
            </c:dLbl>
            <c:dLbl>
              <c:idx val="2"/>
              <c:layout>
                <c:manualLayout>
                  <c:x val="-0.10214808129221002"/>
                  <c:y val="-3.9281815436787212E-3"/>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8E73-4B34-92E1-550853BF151E}"/>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SPOLU_3AP!$K$133:$K$135</c:f>
              <c:strCache>
                <c:ptCount val="3"/>
                <c:pt idx="0">
                  <c:v>Dráhová doprava</c:v>
                </c:pt>
                <c:pt idx="1">
                  <c:v>Autobus/Trolejbus</c:v>
                </c:pt>
                <c:pt idx="2">
                  <c:v>Dopravná infraštruktúra</c:v>
                </c:pt>
              </c:strCache>
            </c:strRef>
          </c:cat>
          <c:val>
            <c:numRef>
              <c:f>SPOLU_3AP!$L$133:$L$135</c:f>
              <c:numCache>
                <c:formatCode>#,##0.00</c:formatCode>
                <c:ptCount val="3"/>
                <c:pt idx="0">
                  <c:v>404.59000000000003</c:v>
                </c:pt>
                <c:pt idx="1">
                  <c:v>59.634266096783598</c:v>
                </c:pt>
                <c:pt idx="2">
                  <c:v>432.29199999999997</c:v>
                </c:pt>
              </c:numCache>
            </c:numRef>
          </c:val>
          <c:extLst>
            <c:ext xmlns:c16="http://schemas.microsoft.com/office/drawing/2014/chart" uri="{C3380CC4-5D6E-409C-BE32-E72D297353CC}">
              <c16:uniqueId val="{00000006-8E73-4B34-92E1-550853BF151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sk-SK"/>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6240515390121688"/>
          <c:y val="0.12856588872336905"/>
          <c:w val="0.68529070229857625"/>
          <c:h val="0.81494029462533391"/>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B2E2-4CC2-ACA5-92860F9506E1}"/>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B2E2-4CC2-ACA5-92860F9506E1}"/>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B2E2-4CC2-ACA5-92860F9506E1}"/>
              </c:ext>
            </c:extLst>
          </c:dPt>
          <c:dLbls>
            <c:dLbl>
              <c:idx val="0"/>
              <c:layout>
                <c:manualLayout>
                  <c:x val="0.15648095124473077"/>
                  <c:y val="-1.8018018018018018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2E2-4CC2-ACA5-92860F9506E1}"/>
                </c:ext>
              </c:extLst>
            </c:dLbl>
            <c:dLbl>
              <c:idx val="1"/>
              <c:layout>
                <c:manualLayout>
                  <c:x val="-0.19155293088363953"/>
                  <c:y val="-7.4176538743467944E-3"/>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B2E2-4CC2-ACA5-92860F9506E1}"/>
                </c:ext>
              </c:extLst>
            </c:dLbl>
            <c:dLbl>
              <c:idx val="2"/>
              <c:layout>
                <c:manualLayout>
                  <c:x val="3.1777659148538626E-2"/>
                  <c:y val="-8.5270152041805589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B2E2-4CC2-ACA5-92860F9506E1}"/>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SPOLU_3AP!$K$149:$K$151</c:f>
              <c:strCache>
                <c:ptCount val="3"/>
                <c:pt idx="0">
                  <c:v>Obmena bielej techniky</c:v>
                </c:pt>
                <c:pt idx="1">
                  <c:v>Úsporné osvetlenie</c:v>
                </c:pt>
                <c:pt idx="2">
                  <c:v>Obmena zariadení v domácnostiach a kanceláriách</c:v>
                </c:pt>
              </c:strCache>
            </c:strRef>
          </c:cat>
          <c:val>
            <c:numRef>
              <c:f>SPOLU_3AP!$L$149:$L$151</c:f>
              <c:numCache>
                <c:formatCode>#,##0.00</c:formatCode>
                <c:ptCount val="3"/>
                <c:pt idx="0">
                  <c:v>497.43928659200003</c:v>
                </c:pt>
                <c:pt idx="1">
                  <c:v>72.331199999999995</c:v>
                </c:pt>
                <c:pt idx="2">
                  <c:v>0</c:v>
                </c:pt>
              </c:numCache>
            </c:numRef>
          </c:val>
          <c:extLst>
            <c:ext xmlns:c16="http://schemas.microsoft.com/office/drawing/2014/chart" uri="{C3380CC4-5D6E-409C-BE32-E72D297353CC}">
              <c16:uniqueId val="{00000006-B2E2-4CC2-ACA5-92860F9506E1}"/>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sk-SK"/>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0431680334916347"/>
          <c:y val="0.12680825010875393"/>
          <c:w val="0.73695819702235266"/>
          <c:h val="0.79899969387778602"/>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D19-45D9-850A-70F56A880E7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D19-45D9-850A-70F56A880E7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7D19-45D9-850A-70F56A880E78}"/>
              </c:ext>
            </c:extLst>
          </c:dPt>
          <c:dLbls>
            <c:dLbl>
              <c:idx val="0"/>
              <c:layout>
                <c:manualLayout>
                  <c:x val="1.1234218532066074E-2"/>
                  <c:y val="-2.066762262726513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7D19-45D9-850A-70F56A880E78}"/>
                </c:ext>
              </c:extLst>
            </c:dLbl>
            <c:dLbl>
              <c:idx val="1"/>
              <c:layout>
                <c:manualLayout>
                  <c:x val="2.3693802901221431E-2"/>
                  <c:y val="-3.8347216244271717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7D19-45D9-850A-70F56A880E78}"/>
                </c:ext>
              </c:extLst>
            </c:dLbl>
            <c:dLbl>
              <c:idx val="2"/>
              <c:layout>
                <c:manualLayout>
                  <c:x val="-0.18281388323359019"/>
                  <c:y val="-8.4259103683363756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7D19-45D9-850A-70F56A880E78}"/>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'Distribúcia TJ'!$D$18:$D$20</c:f>
              <c:strCache>
                <c:ptCount val="3"/>
                <c:pt idx="0">
                  <c:v>OP KaHR 2007-2013</c:v>
                </c:pt>
                <c:pt idx="1">
                  <c:v>Slovseff III. </c:v>
                </c:pt>
                <c:pt idx="2">
                  <c:v>Vlastné zdroje - Zákon č. 321/2014 Z.z.</c:v>
                </c:pt>
              </c:strCache>
            </c:strRef>
          </c:cat>
          <c:val>
            <c:numRef>
              <c:f>'Distribúcia TJ'!$E$18:$E$20</c:f>
              <c:numCache>
                <c:formatCode>#,##0.00</c:formatCode>
                <c:ptCount val="3"/>
                <c:pt idx="0">
                  <c:v>93.570580000000007</c:v>
                </c:pt>
                <c:pt idx="1">
                  <c:v>105.747</c:v>
                </c:pt>
                <c:pt idx="2">
                  <c:v>1238.5300000000002</c:v>
                </c:pt>
              </c:numCache>
            </c:numRef>
          </c:val>
          <c:extLst>
            <c:ext xmlns:c16="http://schemas.microsoft.com/office/drawing/2014/chart" uri="{C3380CC4-5D6E-409C-BE32-E72D297353CC}">
              <c16:uniqueId val="{00000006-7D19-45D9-850A-70F56A880E78}"/>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sk-SK"/>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3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Custom 20">
    <a:dk1>
      <a:sysClr val="windowText" lastClr="000000"/>
    </a:dk1>
    <a:lt1>
      <a:sysClr val="window" lastClr="FFFFFF"/>
    </a:lt1>
    <a:dk2>
      <a:srgbClr val="44546A"/>
    </a:dk2>
    <a:lt2>
      <a:srgbClr val="E7E6E6"/>
    </a:lt2>
    <a:accent1>
      <a:srgbClr val="FF7857"/>
    </a:accent1>
    <a:accent2>
      <a:srgbClr val="FF9933"/>
    </a:accent2>
    <a:accent3>
      <a:srgbClr val="FFCC00"/>
    </a:accent3>
    <a:accent4>
      <a:srgbClr val="92D050"/>
    </a:accent4>
    <a:accent5>
      <a:srgbClr val="9BE5FF"/>
    </a:accent5>
    <a:accent6>
      <a:srgbClr val="FF99FF"/>
    </a:accent6>
    <a:hlink>
      <a:srgbClr val="0563C1"/>
    </a:hlink>
    <a:folHlink>
      <a:srgbClr val="954F72"/>
    </a:folHlink>
  </a:clrScheme>
  <a:fontScheme name="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Custom 20">
    <a:dk1>
      <a:sysClr val="windowText" lastClr="000000"/>
    </a:dk1>
    <a:lt1>
      <a:sysClr val="window" lastClr="FFFFFF"/>
    </a:lt1>
    <a:dk2>
      <a:srgbClr val="44546A"/>
    </a:dk2>
    <a:lt2>
      <a:srgbClr val="E7E6E6"/>
    </a:lt2>
    <a:accent1>
      <a:srgbClr val="FF7857"/>
    </a:accent1>
    <a:accent2>
      <a:srgbClr val="FF9933"/>
    </a:accent2>
    <a:accent3>
      <a:srgbClr val="FFCC00"/>
    </a:accent3>
    <a:accent4>
      <a:srgbClr val="92D050"/>
    </a:accent4>
    <a:accent5>
      <a:srgbClr val="9BE5FF"/>
    </a:accent5>
    <a:accent6>
      <a:srgbClr val="FF99FF"/>
    </a:accent6>
    <a:hlink>
      <a:srgbClr val="0563C1"/>
    </a:hlink>
    <a:folHlink>
      <a:srgbClr val="954F72"/>
    </a:folHlink>
  </a:clrScheme>
  <a:fontScheme name="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Custom 20">
    <a:dk1>
      <a:sysClr val="windowText" lastClr="000000"/>
    </a:dk1>
    <a:lt1>
      <a:sysClr val="window" lastClr="FFFFFF"/>
    </a:lt1>
    <a:dk2>
      <a:srgbClr val="44546A"/>
    </a:dk2>
    <a:lt2>
      <a:srgbClr val="E7E6E6"/>
    </a:lt2>
    <a:accent1>
      <a:srgbClr val="FF7857"/>
    </a:accent1>
    <a:accent2>
      <a:srgbClr val="FF9933"/>
    </a:accent2>
    <a:accent3>
      <a:srgbClr val="FFCC00"/>
    </a:accent3>
    <a:accent4>
      <a:srgbClr val="92D050"/>
    </a:accent4>
    <a:accent5>
      <a:srgbClr val="9BE5FF"/>
    </a:accent5>
    <a:accent6>
      <a:srgbClr val="FF99FF"/>
    </a:accent6>
    <a:hlink>
      <a:srgbClr val="0563C1"/>
    </a:hlink>
    <a:folHlink>
      <a:srgbClr val="954F72"/>
    </a:folHlink>
  </a:clrScheme>
  <a:fontScheme name="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Custom 20">
    <a:dk1>
      <a:sysClr val="windowText" lastClr="000000"/>
    </a:dk1>
    <a:lt1>
      <a:sysClr val="window" lastClr="FFFFFF"/>
    </a:lt1>
    <a:dk2>
      <a:srgbClr val="44546A"/>
    </a:dk2>
    <a:lt2>
      <a:srgbClr val="E7E6E6"/>
    </a:lt2>
    <a:accent1>
      <a:srgbClr val="FF7857"/>
    </a:accent1>
    <a:accent2>
      <a:srgbClr val="FF9933"/>
    </a:accent2>
    <a:accent3>
      <a:srgbClr val="FFCC00"/>
    </a:accent3>
    <a:accent4>
      <a:srgbClr val="92D050"/>
    </a:accent4>
    <a:accent5>
      <a:srgbClr val="9BE5FF"/>
    </a:accent5>
    <a:accent6>
      <a:srgbClr val="FF99FF"/>
    </a:accent6>
    <a:hlink>
      <a:srgbClr val="0563C1"/>
    </a:hlink>
    <a:folHlink>
      <a:srgbClr val="954F72"/>
    </a:folHlink>
  </a:clrScheme>
  <a:fontScheme name="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Custom 20">
    <a:dk1>
      <a:sysClr val="windowText" lastClr="000000"/>
    </a:dk1>
    <a:lt1>
      <a:sysClr val="window" lastClr="FFFFFF"/>
    </a:lt1>
    <a:dk2>
      <a:srgbClr val="44546A"/>
    </a:dk2>
    <a:lt2>
      <a:srgbClr val="E7E6E6"/>
    </a:lt2>
    <a:accent1>
      <a:srgbClr val="FF7857"/>
    </a:accent1>
    <a:accent2>
      <a:srgbClr val="FF9933"/>
    </a:accent2>
    <a:accent3>
      <a:srgbClr val="FFCC00"/>
    </a:accent3>
    <a:accent4>
      <a:srgbClr val="92D050"/>
    </a:accent4>
    <a:accent5>
      <a:srgbClr val="9BE5FF"/>
    </a:accent5>
    <a:accent6>
      <a:srgbClr val="FF99FF"/>
    </a:accent6>
    <a:hlink>
      <a:srgbClr val="0563C1"/>
    </a:hlink>
    <a:folHlink>
      <a:srgbClr val="954F72"/>
    </a:folHlink>
  </a:clrScheme>
  <a:fontScheme name="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Custom 20">
    <a:dk1>
      <a:sysClr val="windowText" lastClr="000000"/>
    </a:dk1>
    <a:lt1>
      <a:sysClr val="window" lastClr="FFFFFF"/>
    </a:lt1>
    <a:dk2>
      <a:srgbClr val="44546A"/>
    </a:dk2>
    <a:lt2>
      <a:srgbClr val="E7E6E6"/>
    </a:lt2>
    <a:accent1>
      <a:srgbClr val="FF7857"/>
    </a:accent1>
    <a:accent2>
      <a:srgbClr val="FF9933"/>
    </a:accent2>
    <a:accent3>
      <a:srgbClr val="FFCC00"/>
    </a:accent3>
    <a:accent4>
      <a:srgbClr val="92D050"/>
    </a:accent4>
    <a:accent5>
      <a:srgbClr val="9BE5FF"/>
    </a:accent5>
    <a:accent6>
      <a:srgbClr val="FF99FF"/>
    </a:accent6>
    <a:hlink>
      <a:srgbClr val="0563C1"/>
    </a:hlink>
    <a:folHlink>
      <a:srgbClr val="954F72"/>
    </a:folHlink>
  </a:clrScheme>
  <a:fontScheme name="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Custom 20">
    <a:dk1>
      <a:sysClr val="windowText" lastClr="000000"/>
    </a:dk1>
    <a:lt1>
      <a:sysClr val="window" lastClr="FFFFFF"/>
    </a:lt1>
    <a:dk2>
      <a:srgbClr val="44546A"/>
    </a:dk2>
    <a:lt2>
      <a:srgbClr val="E7E6E6"/>
    </a:lt2>
    <a:accent1>
      <a:srgbClr val="FF7857"/>
    </a:accent1>
    <a:accent2>
      <a:srgbClr val="FF9933"/>
    </a:accent2>
    <a:accent3>
      <a:srgbClr val="FFCC00"/>
    </a:accent3>
    <a:accent4>
      <a:srgbClr val="92D050"/>
    </a:accent4>
    <a:accent5>
      <a:srgbClr val="9BE5FF"/>
    </a:accent5>
    <a:accent6>
      <a:srgbClr val="FF99FF"/>
    </a:accent6>
    <a:hlink>
      <a:srgbClr val="0563C1"/>
    </a:hlink>
    <a:folHlink>
      <a:srgbClr val="954F72"/>
    </a:folHlink>
  </a:clrScheme>
  <a:fontScheme name="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Custom 20">
    <a:dk1>
      <a:sysClr val="windowText" lastClr="000000"/>
    </a:dk1>
    <a:lt1>
      <a:sysClr val="window" lastClr="FFFFFF"/>
    </a:lt1>
    <a:dk2>
      <a:srgbClr val="44546A"/>
    </a:dk2>
    <a:lt2>
      <a:srgbClr val="E7E6E6"/>
    </a:lt2>
    <a:accent1>
      <a:srgbClr val="FF7857"/>
    </a:accent1>
    <a:accent2>
      <a:srgbClr val="FF9933"/>
    </a:accent2>
    <a:accent3>
      <a:srgbClr val="FFCC00"/>
    </a:accent3>
    <a:accent4>
      <a:srgbClr val="92D050"/>
    </a:accent4>
    <a:accent5>
      <a:srgbClr val="9BE5FF"/>
    </a:accent5>
    <a:accent6>
      <a:srgbClr val="FF99FF"/>
    </a:accent6>
    <a:hlink>
      <a:srgbClr val="0563C1"/>
    </a:hlink>
    <a:folHlink>
      <a:srgbClr val="954F72"/>
    </a:folHlink>
  </a:clrScheme>
  <a:fontScheme name="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Custom 20">
    <a:dk1>
      <a:sysClr val="windowText" lastClr="000000"/>
    </a:dk1>
    <a:lt1>
      <a:sysClr val="window" lastClr="FFFFFF"/>
    </a:lt1>
    <a:dk2>
      <a:srgbClr val="44546A"/>
    </a:dk2>
    <a:lt2>
      <a:srgbClr val="E7E6E6"/>
    </a:lt2>
    <a:accent1>
      <a:srgbClr val="FF7857"/>
    </a:accent1>
    <a:accent2>
      <a:srgbClr val="FF9933"/>
    </a:accent2>
    <a:accent3>
      <a:srgbClr val="FFCC00"/>
    </a:accent3>
    <a:accent4>
      <a:srgbClr val="92D050"/>
    </a:accent4>
    <a:accent5>
      <a:srgbClr val="9BE5FF"/>
    </a:accent5>
    <a:accent6>
      <a:srgbClr val="FF99FF"/>
    </a:accent6>
    <a:hlink>
      <a:srgbClr val="0563C1"/>
    </a:hlink>
    <a:folHlink>
      <a:srgbClr val="954F72"/>
    </a:folHlink>
  </a:clrScheme>
  <a:fontScheme name="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Custom 20">
    <a:dk1>
      <a:sysClr val="windowText" lastClr="000000"/>
    </a:dk1>
    <a:lt1>
      <a:sysClr val="window" lastClr="FFFFFF"/>
    </a:lt1>
    <a:dk2>
      <a:srgbClr val="44546A"/>
    </a:dk2>
    <a:lt2>
      <a:srgbClr val="E7E6E6"/>
    </a:lt2>
    <a:accent1>
      <a:srgbClr val="FF7857"/>
    </a:accent1>
    <a:accent2>
      <a:srgbClr val="FF9933"/>
    </a:accent2>
    <a:accent3>
      <a:srgbClr val="FFCC00"/>
    </a:accent3>
    <a:accent4>
      <a:srgbClr val="92D050"/>
    </a:accent4>
    <a:accent5>
      <a:srgbClr val="9BE5FF"/>
    </a:accent5>
    <a:accent6>
      <a:srgbClr val="FF99FF"/>
    </a:accent6>
    <a:hlink>
      <a:srgbClr val="0563C1"/>
    </a:hlink>
    <a:folHlink>
      <a:srgbClr val="954F72"/>
    </a:folHlink>
  </a:clrScheme>
  <a:fontScheme name="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Custom 20">
    <a:dk1>
      <a:sysClr val="windowText" lastClr="000000"/>
    </a:dk1>
    <a:lt1>
      <a:sysClr val="window" lastClr="FFFFFF"/>
    </a:lt1>
    <a:dk2>
      <a:srgbClr val="44546A"/>
    </a:dk2>
    <a:lt2>
      <a:srgbClr val="E7E6E6"/>
    </a:lt2>
    <a:accent1>
      <a:srgbClr val="FF7857"/>
    </a:accent1>
    <a:accent2>
      <a:srgbClr val="FF9933"/>
    </a:accent2>
    <a:accent3>
      <a:srgbClr val="FFCC00"/>
    </a:accent3>
    <a:accent4>
      <a:srgbClr val="92D050"/>
    </a:accent4>
    <a:accent5>
      <a:srgbClr val="9BE5FF"/>
    </a:accent5>
    <a:accent6>
      <a:srgbClr val="FF99FF"/>
    </a:accent6>
    <a:hlink>
      <a:srgbClr val="0563C1"/>
    </a:hlink>
    <a:folHlink>
      <a:srgbClr val="954F72"/>
    </a:folHlink>
  </a:clrScheme>
  <a:fontScheme name="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Custom 20">
    <a:dk1>
      <a:sysClr val="windowText" lastClr="000000"/>
    </a:dk1>
    <a:lt1>
      <a:sysClr val="window" lastClr="FFFFFF"/>
    </a:lt1>
    <a:dk2>
      <a:srgbClr val="44546A"/>
    </a:dk2>
    <a:lt2>
      <a:srgbClr val="E7E6E6"/>
    </a:lt2>
    <a:accent1>
      <a:srgbClr val="FF7857"/>
    </a:accent1>
    <a:accent2>
      <a:srgbClr val="FF9933"/>
    </a:accent2>
    <a:accent3>
      <a:srgbClr val="FFCC00"/>
    </a:accent3>
    <a:accent4>
      <a:srgbClr val="92D050"/>
    </a:accent4>
    <a:accent5>
      <a:srgbClr val="9BE5FF"/>
    </a:accent5>
    <a:accent6>
      <a:srgbClr val="FF99FF"/>
    </a:accent6>
    <a:hlink>
      <a:srgbClr val="0563C1"/>
    </a:hlink>
    <a:folHlink>
      <a:srgbClr val="954F72"/>
    </a:folHlink>
  </a:clrScheme>
  <a:fontScheme name="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Custom 20">
    <a:dk1>
      <a:sysClr val="windowText" lastClr="000000"/>
    </a:dk1>
    <a:lt1>
      <a:sysClr val="window" lastClr="FFFFFF"/>
    </a:lt1>
    <a:dk2>
      <a:srgbClr val="44546A"/>
    </a:dk2>
    <a:lt2>
      <a:srgbClr val="E7E6E6"/>
    </a:lt2>
    <a:accent1>
      <a:srgbClr val="FF7857"/>
    </a:accent1>
    <a:accent2>
      <a:srgbClr val="FF9933"/>
    </a:accent2>
    <a:accent3>
      <a:srgbClr val="FFCC00"/>
    </a:accent3>
    <a:accent4>
      <a:srgbClr val="92D050"/>
    </a:accent4>
    <a:accent5>
      <a:srgbClr val="9BE5FF"/>
    </a:accent5>
    <a:accent6>
      <a:srgbClr val="FF99FF"/>
    </a:accent6>
    <a:hlink>
      <a:srgbClr val="0563C1"/>
    </a:hlink>
    <a:folHlink>
      <a:srgbClr val="954F72"/>
    </a:folHlink>
  </a:clrScheme>
  <a:fontScheme name="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C0C8C3C1E3DCC44BECE3792677AD011" ma:contentTypeVersion="0" ma:contentTypeDescription="Umožňuje vytvoriť nový dokument." ma:contentTypeScope="" ma:versionID="85fc4bdbf09a6aa5742b4e3db9523750">
  <xsd:schema xmlns:xsd="http://www.w3.org/2001/XMLSchema" xmlns:xs="http://www.w3.org/2001/XMLSchema" xmlns:p="http://schemas.microsoft.com/office/2006/metadata/properties" xmlns:ns2="e60a29af-d413-48d4-bd90-fe9d2a897e4b" targetNamespace="http://schemas.microsoft.com/office/2006/metadata/properties" ma:root="true" ma:fieldsID="d088e84141cffc04886a2632a8c86973" ns2:_="">
    <xsd:import namespace="e60a29af-d413-48d4-bd90-fe9d2a897e4b"/>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a29af-d413-48d4-bd90-fe9d2a897e4b"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e60a29af-d413-48d4-bd90-fe9d2a897e4b">WKX3UHSAJ2R6-2-774923</_dlc_DocId>
    <_dlc_DocIdUrl xmlns="e60a29af-d413-48d4-bd90-fe9d2a897e4b">
      <Url>https://ovdmasv601/sites/DMS/_layouts/15/DocIdRedir.aspx?ID=WKX3UHSAJ2R6-2-774923</Url>
      <Description>WKX3UHSAJ2R6-2-774923</Description>
    </_dlc_DocIdUrl>
  </documentManagement>
</p:properties>
</file>

<file path=customXml/itemProps1.xml><?xml version="1.0" encoding="utf-8"?>
<ds:datastoreItem xmlns:ds="http://schemas.openxmlformats.org/officeDocument/2006/customXml" ds:itemID="{7ECE8BC3-4C1E-49DA-AF07-214D872AC36B}"/>
</file>

<file path=customXml/itemProps2.xml><?xml version="1.0" encoding="utf-8"?>
<ds:datastoreItem xmlns:ds="http://schemas.openxmlformats.org/officeDocument/2006/customXml" ds:itemID="{92008465-3F51-4133-B826-34571C66C358}"/>
</file>

<file path=customXml/itemProps3.xml><?xml version="1.0" encoding="utf-8"?>
<ds:datastoreItem xmlns:ds="http://schemas.openxmlformats.org/officeDocument/2006/customXml" ds:itemID="{9069145F-F122-4A61-88C1-1B3167DACA6D}"/>
</file>

<file path=customXml/itemProps4.xml><?xml version="1.0" encoding="utf-8"?>
<ds:datastoreItem xmlns:ds="http://schemas.openxmlformats.org/officeDocument/2006/customXml" ds:itemID="{4EF19785-9010-45E1-BC09-E4EBF5A2D1A9}"/>
</file>

<file path=customXml/itemProps5.xml><?xml version="1.0" encoding="utf-8"?>
<ds:datastoreItem xmlns:ds="http://schemas.openxmlformats.org/officeDocument/2006/customXml" ds:itemID="{80459410-9FE2-4A6B-BEF4-3731BE5C9B2B}"/>
</file>

<file path=docProps/app.xml><?xml version="1.0" encoding="utf-8"?>
<Properties xmlns="http://schemas.openxmlformats.org/officeDocument/2006/extended-properties" xmlns:vt="http://schemas.openxmlformats.org/officeDocument/2006/docPropsVTypes">
  <Template>Normal</Template>
  <TotalTime>2</TotalTime>
  <Pages>62</Pages>
  <Words>20504</Words>
  <Characters>116876</Characters>
  <Application>Microsoft Office Word</Application>
  <DocSecurity>0</DocSecurity>
  <Lines>973</Lines>
  <Paragraphs>274</Paragraphs>
  <ScaleCrop>false</ScaleCrop>
  <HeadingPairs>
    <vt:vector size="2" baseType="variant">
      <vt:variant>
        <vt:lpstr>Názov</vt:lpstr>
      </vt:variant>
      <vt:variant>
        <vt:i4>1</vt:i4>
      </vt:variant>
    </vt:vector>
  </HeadingPairs>
  <TitlesOfParts>
    <vt:vector size="1" baseType="lpstr">
      <vt:lpstr/>
    </vt:vector>
  </TitlesOfParts>
  <Company>MHSR</Company>
  <LinksUpToDate>false</LinksUpToDate>
  <CharactersWithSpaces>137106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JCH</dc:creator>
  <cp:lastModifiedBy>Korytarova Katarina</cp:lastModifiedBy>
  <cp:revision>3</cp:revision>
  <cp:lastPrinted>2017-04-21T12:20:00Z</cp:lastPrinted>
  <dcterms:created xsi:type="dcterms:W3CDTF">2017-04-21T12:23:00Z</dcterms:created>
  <dcterms:modified xsi:type="dcterms:W3CDTF">2017-04-21T12:25:00Z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0x0101006C0C8C3C1E3DCC44BECE3792677AD011</vt:lpwstr>
  </property>
  <property fmtid="{D5CDD505-2E9C-101B-9397-08002B2CF9AE}" pid="3" name="_dlc_DocIdItemGuid">
    <vt:lpwstr>b9de40c4-cf69-4bb8-ba44-7dd20326fbb6</vt:lpwstr>
  </property>
</Properties>
</file>