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35" w:rsidRDefault="005D4235" w:rsidP="00CA0781">
      <w:pPr>
        <w:pStyle w:val="Nzov"/>
      </w:pPr>
      <w:r>
        <w:t>Informácia</w:t>
      </w:r>
      <w:r w:rsidR="00CA0781">
        <w:t xml:space="preserve"> o zmenách a doplnení zákona č. </w:t>
      </w:r>
      <w:bookmarkStart w:id="0" w:name="_GoBack"/>
      <w:bookmarkEnd w:id="0"/>
      <w:r>
        <w:t>314/2012 Z. z. o pravidelnej kontrole vykurovacích systémov a klimatizačných systémov</w:t>
      </w:r>
    </w:p>
    <w:p w:rsidR="005D4235" w:rsidRPr="0021060F" w:rsidRDefault="005D4235" w:rsidP="005D4235">
      <w:pPr>
        <w:spacing w:after="0"/>
        <w:rPr>
          <w:rFonts w:cstheme="minorHAnsi"/>
        </w:rPr>
      </w:pPr>
    </w:p>
    <w:p w:rsidR="005D4235" w:rsidRPr="00802817" w:rsidRDefault="005D4235" w:rsidP="005D423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5D4235" w:rsidRPr="00802817" w:rsidRDefault="005D4235" w:rsidP="005D4235">
      <w:r w:rsidRPr="00802817">
        <w:t xml:space="preserve">Na základe posúdenia vplyvu, ktorý vypracovala Európska komisia, sa zistilo, že ustanovenia týkajúce sa kontrol vykurovacích systémov a klimatizačných systémov </w:t>
      </w:r>
      <w:r>
        <w:t>v budovách nie sú optimálne</w:t>
      </w:r>
      <w:r w:rsidRPr="00802817">
        <w:t xml:space="preserve">, nakoľko sa nimi dostatočne nezaručuje počiatočná a priebežná účinnosť týchto technických systémov. </w:t>
      </w:r>
      <w:r>
        <w:t xml:space="preserve">Nie vždy sa </w:t>
      </w:r>
      <w:r w:rsidRPr="00802817">
        <w:t xml:space="preserve">zohľadňovali lacné technické riešenia energetickej efektívnosti s veľmi krátkou dobou návratnosti, ako napríklad hydraulické vyregulovanie vykurovacieho systému a montáž alebo výmena termoregulačných ventilov. </w:t>
      </w:r>
    </w:p>
    <w:p w:rsidR="005D4235" w:rsidRPr="00802817" w:rsidRDefault="005D4235" w:rsidP="005D4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235" w:rsidRPr="005D4235" w:rsidRDefault="005D4235" w:rsidP="005D4235">
      <w:pPr>
        <w:pStyle w:val="Odsekzoznamu"/>
        <w:numPr>
          <w:ilvl w:val="0"/>
          <w:numId w:val="9"/>
        </w:numPr>
        <w:rPr>
          <w:b/>
        </w:rPr>
      </w:pPr>
      <w:r w:rsidRPr="005D4235">
        <w:rPr>
          <w:b/>
        </w:rPr>
        <w:t>Dôraz na väčšie systémy</w:t>
      </w:r>
    </w:p>
    <w:p w:rsidR="005D4235" w:rsidRPr="00802817" w:rsidRDefault="005D4235" w:rsidP="005D4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235" w:rsidRPr="00802817" w:rsidRDefault="005D4235" w:rsidP="005D4235">
      <w:r w:rsidRPr="00802817">
        <w:t>Prijatím smernice Európskeho parlamentu a Rady č. 2018/844, ktorou sa mení smernica 2010/31/EÚ o energetickej hospodárnosti budov a smernica 2012/27/EÚ o energetickej efektívnosti, boli určené nové pravidlá aj v oblasti pravidelnej kontroly vykurovacích a klimatizačných systémov. Ustanovenia týkajúce sa kontrol sa mali zmeniť tak, aby sa zabezpečili relevantnejšie výsledky kontrol. V dôsledku tých zmien by sa mali kontroly zamerať na systémy centrál</w:t>
      </w:r>
      <w:r>
        <w:t>neho (spoločného) vykurovania a </w:t>
      </w:r>
      <w:r w:rsidRPr="00802817">
        <w:t>kl</w:t>
      </w:r>
      <w:r>
        <w:t>imatizačné systémy, a to i v </w:t>
      </w:r>
      <w:r w:rsidRPr="00802817">
        <w:t>prípade, že tieto systémy sú kombinované so systémami vetrania. Vyňaté by mali byť malé vykurovacie systémy, ako sú napríklad ele</w:t>
      </w:r>
      <w:r>
        <w:t>ktrické ohrievače alebo pece na </w:t>
      </w:r>
      <w:r w:rsidRPr="00802817">
        <w:t xml:space="preserve">drevo, ak nedosahujú prahové hodnoty pre kontrolu vo výške 70 kW. </w:t>
      </w:r>
    </w:p>
    <w:p w:rsidR="005D4235" w:rsidRPr="00802817" w:rsidRDefault="005D4235" w:rsidP="005D4235"/>
    <w:p w:rsidR="005D4235" w:rsidRPr="00802817" w:rsidRDefault="005D4235" w:rsidP="005D4235">
      <w:r>
        <w:rPr>
          <w:color w:val="000000" w:themeColor="text1"/>
        </w:rPr>
        <w:t xml:space="preserve">V SR bol v roku 2020 prijatý zákon </w:t>
      </w:r>
      <w:r w:rsidRPr="00802817">
        <w:rPr>
          <w:color w:val="000000" w:themeColor="text1"/>
        </w:rPr>
        <w:t>č. 419/2020 Z. z.</w:t>
      </w:r>
      <w:r>
        <w:rPr>
          <w:color w:val="000000" w:themeColor="text1"/>
        </w:rPr>
        <w:t xml:space="preserve">, ktorý okrem iných zákonov mení a dopĺňa </w:t>
      </w:r>
      <w:r w:rsidRPr="00802817">
        <w:rPr>
          <w:color w:val="000000" w:themeColor="text1"/>
        </w:rPr>
        <w:t xml:space="preserve">aj zákon </w:t>
      </w:r>
      <w:r w:rsidRPr="00802817">
        <w:t>č. 314/2012 Z. z. o pravidelnej k</w:t>
      </w:r>
      <w:r>
        <w:t>ontrole vykurovacích systémov a </w:t>
      </w:r>
      <w:r w:rsidRPr="00802817">
        <w:t>klimatizačných systémov a to s účinnosťou od 1. januára 2021.</w:t>
      </w:r>
    </w:p>
    <w:p w:rsidR="005D4235" w:rsidRPr="00802817" w:rsidRDefault="005D4235" w:rsidP="005D4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235" w:rsidRPr="005D4235" w:rsidRDefault="005D4235" w:rsidP="005D4235">
      <w:pPr>
        <w:pStyle w:val="Odsekzoznamu"/>
        <w:numPr>
          <w:ilvl w:val="0"/>
          <w:numId w:val="9"/>
        </w:numPr>
        <w:rPr>
          <w:b/>
        </w:rPr>
      </w:pPr>
      <w:r w:rsidRPr="005D4235">
        <w:rPr>
          <w:b/>
        </w:rPr>
        <w:t>Povinnosť vykonať pravidelnú kontrolu vykurovacích a klimatizačných systémov s cieľom hodnotiť spotrebu energie pri prevádzke týchto systémov bola od 1. januára 2021 zrušená v budovách s nižším inštalovaným výkonom vykurovacích a</w:t>
      </w:r>
      <w:r>
        <w:rPr>
          <w:b/>
        </w:rPr>
        <w:t xml:space="preserve"> klimatizačných systémov ako 70 </w:t>
      </w:r>
      <w:r w:rsidRPr="005D4235">
        <w:rPr>
          <w:b/>
        </w:rPr>
        <w:t>kW.</w:t>
      </w:r>
    </w:p>
    <w:p w:rsidR="005D4235" w:rsidRPr="005D4235" w:rsidRDefault="005D4235" w:rsidP="005D4235">
      <w:pPr>
        <w:pStyle w:val="Odsekzoznamu"/>
        <w:numPr>
          <w:ilvl w:val="0"/>
          <w:numId w:val="9"/>
        </w:numPr>
        <w:rPr>
          <w:b/>
        </w:rPr>
      </w:pPr>
      <w:r w:rsidRPr="005D4235">
        <w:rPr>
          <w:b/>
        </w:rPr>
        <w:t>Predlžujú sa aj intervaly kontrol.</w:t>
      </w:r>
    </w:p>
    <w:p w:rsidR="005D4235" w:rsidRPr="005D4235" w:rsidRDefault="005D4235" w:rsidP="005D4235">
      <w:pPr>
        <w:pStyle w:val="Odsekzoznamu"/>
        <w:numPr>
          <w:ilvl w:val="0"/>
          <w:numId w:val="9"/>
        </w:numPr>
        <w:rPr>
          <w:b/>
        </w:rPr>
      </w:pPr>
      <w:r w:rsidRPr="005D4235">
        <w:rPr>
          <w:b/>
        </w:rPr>
        <w:t>Povinnosť vykonávať pravidelnú kontrolu vykurovac</w:t>
      </w:r>
      <w:r>
        <w:rPr>
          <w:b/>
        </w:rPr>
        <w:t>ích systémov sa rozširuje aj na </w:t>
      </w:r>
      <w:r w:rsidRPr="005D4235">
        <w:rPr>
          <w:b/>
        </w:rPr>
        <w:t>vykurovacie systémy s elektrickými kotlami a tepelnými čerpadlami.</w:t>
      </w:r>
    </w:p>
    <w:p w:rsidR="005D4235" w:rsidRPr="00802817" w:rsidRDefault="005D4235" w:rsidP="005D4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8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D4235" w:rsidRDefault="005D4235" w:rsidP="005D4235">
      <w:r w:rsidRPr="00802817">
        <w:t xml:space="preserve">Od </w:t>
      </w:r>
      <w:r>
        <w:t xml:space="preserve">1. januára 2021 </w:t>
      </w:r>
      <w:r w:rsidRPr="00802817">
        <w:t xml:space="preserve">sa ruší povinnosť vykonávať pravidelnú kontrolu vykurovacích </w:t>
      </w:r>
      <w:r>
        <w:t>a </w:t>
      </w:r>
      <w:r w:rsidRPr="00802817">
        <w:t>klimatizačných systémov v budovách s inštalovaným výkonom vykurovacích alebo klimatizačných systémov menším ako 70 kW, t. j. takmer vo všetkých rodinných domoch ako aj malých verejných budovách ako napr. obecných úrad</w:t>
      </w:r>
      <w:r>
        <w:t>och. Pre vykurovacie systémy so </w:t>
      </w:r>
      <w:r w:rsidRPr="00802817">
        <w:t xml:space="preserve">spaľovacími zariadeniami, s výnimkou zemného plynu, sa pôvodne platný interval kontroly predlžuje z dvoch na tri roky. Z troch na štyri roky sa </w:t>
      </w:r>
      <w:r>
        <w:t>predlžuje interval kontroly pre </w:t>
      </w:r>
      <w:r w:rsidRPr="00802817">
        <w:t xml:space="preserve">vykurovacie systémy so spaľovacími zariadeniami na zemný plyn.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D4235" w:rsidTr="00875C3F">
        <w:tc>
          <w:tcPr>
            <w:tcW w:w="4531" w:type="dxa"/>
          </w:tcPr>
          <w:p w:rsidR="005D4235" w:rsidRPr="00894EB4" w:rsidRDefault="005D4235" w:rsidP="00875C3F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94EB4">
              <w:rPr>
                <w:b/>
                <w:color w:val="000000" w:themeColor="text1"/>
              </w:rPr>
              <w:t>Zariadenie na výrobu tepla</w:t>
            </w:r>
          </w:p>
        </w:tc>
        <w:tc>
          <w:tcPr>
            <w:tcW w:w="4531" w:type="dxa"/>
          </w:tcPr>
          <w:p w:rsidR="005D4235" w:rsidRPr="00894EB4" w:rsidRDefault="005D4235" w:rsidP="00875C3F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94EB4">
              <w:rPr>
                <w:b/>
                <w:color w:val="000000" w:themeColor="text1"/>
              </w:rPr>
              <w:t>Interval pravidelnej kontroly</w:t>
            </w:r>
          </w:p>
          <w:p w:rsidR="005D4235" w:rsidRPr="00894EB4" w:rsidRDefault="005D4235" w:rsidP="00875C3F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894EB4">
              <w:rPr>
                <w:b/>
                <w:color w:val="000000" w:themeColor="text1"/>
              </w:rPr>
              <w:lastRenderedPageBreak/>
              <w:t>[rok]</w:t>
            </w:r>
          </w:p>
        </w:tc>
      </w:tr>
      <w:tr w:rsidR="005D4235" w:rsidTr="00875C3F">
        <w:tc>
          <w:tcPr>
            <w:tcW w:w="4531" w:type="dxa"/>
          </w:tcPr>
          <w:p w:rsidR="005D4235" w:rsidRDefault="005D4235" w:rsidP="005D4235">
            <w:r>
              <w:lastRenderedPageBreak/>
              <w:t>Spaľovacie zariadenie na zemný plyn</w:t>
            </w:r>
          </w:p>
        </w:tc>
        <w:tc>
          <w:tcPr>
            <w:tcW w:w="4531" w:type="dxa"/>
          </w:tcPr>
          <w:p w:rsidR="005D4235" w:rsidRDefault="005D4235" w:rsidP="00875C3F">
            <w:pPr>
              <w:pStyle w:val="Normlnywebov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5D4235" w:rsidTr="00875C3F">
        <w:tc>
          <w:tcPr>
            <w:tcW w:w="4531" w:type="dxa"/>
          </w:tcPr>
          <w:p w:rsidR="005D4235" w:rsidRDefault="005D4235" w:rsidP="005D4235">
            <w:r>
              <w:t>Spaľovanie zariadenie na tuhé a tekuté palivo okrem zemného plynu</w:t>
            </w:r>
          </w:p>
        </w:tc>
        <w:tc>
          <w:tcPr>
            <w:tcW w:w="4531" w:type="dxa"/>
          </w:tcPr>
          <w:p w:rsidR="005D4235" w:rsidRDefault="005D4235" w:rsidP="00875C3F">
            <w:pPr>
              <w:pStyle w:val="Normlnywebov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5D4235" w:rsidTr="00875C3F">
        <w:tc>
          <w:tcPr>
            <w:tcW w:w="4531" w:type="dxa"/>
          </w:tcPr>
          <w:p w:rsidR="005D4235" w:rsidRDefault="005D4235" w:rsidP="005D4235">
            <w:r>
              <w:t>Elektrické odporové zariadenie určené na vykurovanie priestoru</w:t>
            </w:r>
          </w:p>
        </w:tc>
        <w:tc>
          <w:tcPr>
            <w:tcW w:w="4531" w:type="dxa"/>
          </w:tcPr>
          <w:p w:rsidR="005D4235" w:rsidRDefault="005D4235" w:rsidP="00875C3F">
            <w:pPr>
              <w:pStyle w:val="Normlnywebov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5D4235" w:rsidTr="00875C3F">
        <w:tc>
          <w:tcPr>
            <w:tcW w:w="4531" w:type="dxa"/>
          </w:tcPr>
          <w:p w:rsidR="005D4235" w:rsidRDefault="005D4235" w:rsidP="005D4235">
            <w:r>
              <w:t>Tepelné čerpadlo</w:t>
            </w:r>
          </w:p>
        </w:tc>
        <w:tc>
          <w:tcPr>
            <w:tcW w:w="4531" w:type="dxa"/>
          </w:tcPr>
          <w:p w:rsidR="005D4235" w:rsidRDefault="005D4235" w:rsidP="00875C3F">
            <w:pPr>
              <w:pStyle w:val="Normlnywebov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5D4235" w:rsidRDefault="005D4235" w:rsidP="005D423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5D4235" w:rsidTr="00875C3F">
        <w:tc>
          <w:tcPr>
            <w:tcW w:w="988" w:type="dxa"/>
          </w:tcPr>
          <w:p w:rsidR="005D4235" w:rsidRPr="000C5556" w:rsidRDefault="005D4235" w:rsidP="00875C3F">
            <w:pPr>
              <w:pStyle w:val="Normlnywebov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0C5556">
              <w:rPr>
                <w:i/>
                <w:color w:val="000000" w:themeColor="text1"/>
              </w:rPr>
              <w:t>Tab. 1</w:t>
            </w:r>
            <w:r>
              <w:rPr>
                <w:i/>
                <w:color w:val="000000" w:themeColor="text1"/>
              </w:rPr>
              <w:t>:</w:t>
            </w:r>
          </w:p>
        </w:tc>
        <w:tc>
          <w:tcPr>
            <w:tcW w:w="8074" w:type="dxa"/>
          </w:tcPr>
          <w:p w:rsidR="005D4235" w:rsidRPr="000C5556" w:rsidRDefault="005D4235" w:rsidP="00875C3F">
            <w:pPr>
              <w:pStyle w:val="Normlnywebov"/>
              <w:spacing w:before="0" w:beforeAutospacing="0" w:after="0" w:afterAutospacing="0"/>
              <w:jc w:val="both"/>
              <w:rPr>
                <w:i/>
                <w:color w:val="000000" w:themeColor="text1"/>
              </w:rPr>
            </w:pPr>
            <w:r w:rsidRPr="000C5556">
              <w:rPr>
                <w:i/>
                <w:color w:val="000000" w:themeColor="text1"/>
              </w:rPr>
              <w:t>Intervaly kontroly pre vykurovacie systémy</w:t>
            </w:r>
          </w:p>
        </w:tc>
      </w:tr>
    </w:tbl>
    <w:p w:rsidR="005D4235" w:rsidRDefault="005D4235" w:rsidP="005D423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5D4235" w:rsidRDefault="005D4235" w:rsidP="005D423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5D4235" w:rsidRPr="00802817" w:rsidRDefault="005D4235" w:rsidP="005D4235">
      <w:r w:rsidRPr="00802817">
        <w:t>Povinnosť vykonávať pravidelnú kontrolu vykurovacích a klimatiza</w:t>
      </w:r>
      <w:r>
        <w:t>čných systémov sa nevzťahuje na </w:t>
      </w:r>
      <w:r w:rsidRPr="00802817">
        <w:t>bytové a nebytové budovy s výkonom nad 290 kW, ktoré majú nainštalované riadiace a kontrolné systémy ako aj na všetky budovy, pre ktoré sa poskytuje garantovaná energetická služba.</w:t>
      </w:r>
    </w:p>
    <w:p w:rsidR="005D4235" w:rsidRPr="00802817" w:rsidRDefault="005D4235" w:rsidP="005D423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5D4235" w:rsidRPr="00802817" w:rsidRDefault="005D4235" w:rsidP="005D4235">
      <w:r w:rsidRPr="00802817">
        <w:t>Zákon však rozširuje pravidelnú kontrolu aj na vykurovacie systémy bez spaľovacích zariadení s účinným menovitým výkonom vyšším ako 70 kW. Ide napríklad o elektrické kotly a tepelné čerpadlá.</w:t>
      </w:r>
    </w:p>
    <w:p w:rsidR="005D4235" w:rsidRPr="00802817" w:rsidRDefault="005D4235" w:rsidP="005D423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5D4235" w:rsidRPr="00802817" w:rsidRDefault="005D4235" w:rsidP="005D4235">
      <w:r w:rsidRPr="00802817">
        <w:t xml:space="preserve">Celkový inštalovaný tepelný výkon v budove je súčet inštalovaných tepelných výkonov všetkých zariadení na výrobu tepla v budove. Kontrolovať nie je potrebné malé vykurovacie systémy, ako sú napríklad elektrické ohrievače a pece na drevo, ak celkový inštalovaný výkon nepresiahne 70 kW. </w:t>
      </w:r>
    </w:p>
    <w:p w:rsidR="005D4235" w:rsidRPr="00802817" w:rsidRDefault="005D4235" w:rsidP="005D4235"/>
    <w:p w:rsidR="005D4235" w:rsidRPr="00802817" w:rsidRDefault="005D4235" w:rsidP="005D4235">
      <w:r w:rsidRPr="00802817">
        <w:t>Vykurovací systém je definovaný ako teplovodný vykurovací systém alebo teplovzdušný vykurovací systém alebo ich kombinácia, vrátane integrovaného riadenia vet</w:t>
      </w:r>
      <w:r>
        <w:t>rania budovy, ktorý pozostáva z </w:t>
      </w:r>
      <w:r w:rsidRPr="00802817">
        <w:t>prvkov potrebných na zabezpečenie zvýšenia teploty vzduchu vo vnútorných priestoroch. Definícia obsahuje aj kombinované systémy vykurovania a vetrania. Sú to systémy vetrania, ktoré sú prepojené s vykurovacím systémom, a systémy vetrania, ktoré aktívne spolupracujú s vykurovacím systémom. Prepojené syst</w:t>
      </w:r>
      <w:r>
        <w:t>émy dodávajú upravený vzduch do </w:t>
      </w:r>
      <w:r w:rsidRPr="00802817">
        <w:t xml:space="preserve">vykurovaného priestoru. </w:t>
      </w:r>
    </w:p>
    <w:p w:rsidR="005D4235" w:rsidRPr="00802817" w:rsidRDefault="005D4235" w:rsidP="005D4235"/>
    <w:p w:rsidR="005D4235" w:rsidRPr="00802817" w:rsidRDefault="005D4235" w:rsidP="005D4235">
      <w:r w:rsidRPr="00802817">
        <w:t>Pri kontrole vykurovacieho systému sa kontrolujú všetky dostupné časti tohto systému, ako napríklad zariadenie na výrobu tepla, riadiaci systém, cirkulačné čerpadlá, rozvody tepla a podobne. Súčasťou kontroly vykurovacieho systému je aj systém na prípravu teplej vody alebo systém využívajúci tepelnú energiu na iné účely, ako napr. využívanie energie v práčovni, sušiarni a pod.</w:t>
      </w:r>
    </w:p>
    <w:p w:rsidR="005D4235" w:rsidRPr="00802817" w:rsidRDefault="005D4235" w:rsidP="005D4235"/>
    <w:p w:rsidR="005D4235" w:rsidRPr="00802817" w:rsidRDefault="005D4235" w:rsidP="005D4235">
      <w:r w:rsidRPr="00802817">
        <w:t>Klimatizačným systémom je súbor prvkov potrebných na z</w:t>
      </w:r>
      <w:r>
        <w:t>abezpečenie úpravy vzduchu, pri </w:t>
      </w:r>
      <w:r w:rsidRPr="00802817">
        <w:t>ktorej sa reguluje maximálna alebo minimálna teplota vzduchu. Mô</w:t>
      </w:r>
      <w:r>
        <w:t>že zahŕňať aj prvky potrebné na </w:t>
      </w:r>
      <w:r w:rsidRPr="00802817">
        <w:t>zabezpečenie regulácie vetrania, vlhkosti a čistoty vzduchu. Celkovým účinným menovitým chladiacim výkonom je najvyšší nepretržitý chladiaci výkon kli</w:t>
      </w:r>
      <w:r>
        <w:t>matizačného systému vyjadrený v </w:t>
      </w:r>
      <w:r w:rsidRPr="00802817">
        <w:t xml:space="preserve">kilowattoch, ktorý možno dosiahnuť pri dodržiavaní účinnosti garantovanej výrobcom za bežných podmienok alebo prevádzkových podmienok. Skutočná účinnosť takýchto systémov závisí od množstva spotrebovanej energie za dynamicky sa meniacich prevádzkových podmienok. </w:t>
      </w:r>
    </w:p>
    <w:p w:rsidR="005D4235" w:rsidRPr="00802817" w:rsidRDefault="005D4235" w:rsidP="005D4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235" w:rsidRPr="00802817" w:rsidRDefault="005D4235" w:rsidP="005D4235">
      <w:r w:rsidRPr="00802817">
        <w:lastRenderedPageBreak/>
        <w:t>Na účely zákona je vetraním proces prívodu vzduchu do priestoru v budove alebo do budovy alebo odvodu vzduchu z priestoru v budove alebo z budovy, a to prirodzeným spôsobom alebo núteným spôsobom. Systém vetrania sa samostatne nekontroluje. Pre potreby kontroly musí byť vždy prepojený buď s vykurovacím alebo s klimatizačným systémom.</w:t>
      </w:r>
    </w:p>
    <w:p w:rsidR="005D4235" w:rsidRPr="00802817" w:rsidRDefault="005D4235" w:rsidP="005D4235"/>
    <w:p w:rsidR="005D4235" w:rsidRPr="00802817" w:rsidRDefault="005D4235" w:rsidP="005D4235">
      <w:pPr>
        <w:rPr>
          <w:bCs/>
        </w:rPr>
      </w:pPr>
      <w:r w:rsidRPr="007A6A4E">
        <w:rPr>
          <w:bCs/>
        </w:rPr>
        <w:t>V porovnaní s predchádzajúcimi ustanoveniami, platnými do konca roku 2020,</w:t>
      </w:r>
      <w:r w:rsidRPr="007A6A4E">
        <w:rPr>
          <w:b/>
          <w:bCs/>
        </w:rPr>
        <w:t xml:space="preserve"> už nie je interval kontroly klimatizačného systému viazaný na výkon. Pravidelná ko</w:t>
      </w:r>
      <w:r>
        <w:rPr>
          <w:b/>
          <w:bCs/>
        </w:rPr>
        <w:t>ntrola sa vykonáva aspoň raz za </w:t>
      </w:r>
      <w:r w:rsidRPr="007A6A4E">
        <w:rPr>
          <w:b/>
          <w:bCs/>
        </w:rPr>
        <w:t>päť rokov</w:t>
      </w:r>
      <w:r w:rsidRPr="00802817">
        <w:rPr>
          <w:bCs/>
        </w:rPr>
        <w:t xml:space="preserve"> a zahŕňa najmä hodnotenie a kontrolu klimatizačného systému ako celku v rámci budovy. Rozsah kontroly závisí od typu klimatizačného systému. Kontrolujú sa aj jednotlivé komponenty klimatizačného systému, a to tie, ktoré sú prístupné kontrole bez ich demontáže. Súčasťou kontroly je aj kontrola schopnosti klimatizačného systému optimalizovať výrob</w:t>
      </w:r>
      <w:r>
        <w:rPr>
          <w:bCs/>
        </w:rPr>
        <w:t>u, distribúciu, uskladňovanie a </w:t>
      </w:r>
      <w:r w:rsidRPr="00802817">
        <w:rPr>
          <w:bCs/>
        </w:rPr>
        <w:t>spotrebu energie za bežných podmienok alebo prevádzkových podmienok. Na základe kontroly je následne potrebné navrhnúť opatrenia na zlepšenie a skvalitnenie klimatizačného systému, ktoré by mali byť zamerané najmä na účinnosť, spoľahlivosť a účel využívania klimatizačného systému. Súčasťou návrhu opatrení je aj hodnotenie nákladovej efektívnosti navrhovaných opatrení. Podrobne bude rozsah a obsah kontroly popísaný vo vykonávacom predpise, ktorý bude vychádzať z príslušných technických predpisov.</w:t>
      </w:r>
    </w:p>
    <w:p w:rsidR="005D4235" w:rsidRPr="00802817" w:rsidRDefault="005D4235" w:rsidP="005D42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D4235" w:rsidRPr="005D4235" w:rsidRDefault="005D4235" w:rsidP="005D4235">
      <w:pPr>
        <w:pStyle w:val="Odsekzoznamu"/>
        <w:numPr>
          <w:ilvl w:val="0"/>
          <w:numId w:val="10"/>
        </w:numPr>
        <w:rPr>
          <w:b/>
        </w:rPr>
      </w:pPr>
      <w:r w:rsidRPr="005D4235">
        <w:rPr>
          <w:b/>
        </w:rPr>
        <w:t>Zjednodušenie pre viazanú živnosť</w:t>
      </w:r>
    </w:p>
    <w:p w:rsidR="005D4235" w:rsidRPr="00802817" w:rsidRDefault="005D4235" w:rsidP="005D423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D4235" w:rsidRPr="00802817" w:rsidRDefault="005D4235" w:rsidP="005D4235">
      <w:r w:rsidRPr="009A195A">
        <w:t>Zjednodušil sa aj systém zriaďovania viazanej živnosti na výkon pravidelnej kontroly vykurovacích alebo klimatizačných systémov. Odborne spôsobilá osoba alebo jej zamestnávateľ môže požiadať o zapísanie viazanej živnosti na základe predloženia potvrdenia o zapísaní do Zoznamu odborne spôsobilých osôb, ktorý vedie Slovenská inovačná a energetická agentúra a zverejňuje</w:t>
      </w:r>
      <w:r>
        <w:t xml:space="preserve"> ho na svojom webovom sídle. Do </w:t>
      </w:r>
      <w:r w:rsidRPr="009A195A">
        <w:t>konca roka 2020 sa však potvrdenia o zapísaní do Zoznamu odborne spôsobilých osôb nevydávali. Pre osoby, ktoré vykonali skúšky odbornej spôsobilosti pred 1. januárom 2021, je na účel zapísania viazanej živnosti postačujúci doklad o vykonaní skúšky odbornej spôsobilosti.</w:t>
      </w:r>
    </w:p>
    <w:p w:rsidR="005D4235" w:rsidRPr="00802817" w:rsidRDefault="005D4235" w:rsidP="005D423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5D4235" w:rsidRPr="005D4235" w:rsidRDefault="005D4235" w:rsidP="005D4235">
      <w:pPr>
        <w:pStyle w:val="Odsekzoznamu"/>
        <w:numPr>
          <w:ilvl w:val="0"/>
          <w:numId w:val="10"/>
        </w:numPr>
        <w:rPr>
          <w:b/>
        </w:rPr>
      </w:pPr>
      <w:r w:rsidRPr="005D4235">
        <w:rPr>
          <w:b/>
        </w:rPr>
        <w:t>Pokrok do roku 2025</w:t>
      </w:r>
    </w:p>
    <w:p w:rsidR="005D4235" w:rsidRPr="00802817" w:rsidRDefault="005D4235" w:rsidP="005D423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5D4235" w:rsidRPr="00802817" w:rsidRDefault="005D4235" w:rsidP="005D4235">
      <w:r w:rsidRPr="00802817">
        <w:t>Z dôvodu transpozičnej povinnosti sú intervaly kontroly vykurovacích a klimatizačných systémov navrhnuté tak, aby najneskôr v roku 2025 boli k dispozí</w:t>
      </w:r>
      <w:r>
        <w:t>cii nevyhnutné informácie o tom</w:t>
      </w:r>
      <w:r w:rsidRPr="00802817">
        <w:t xml:space="preserve"> aký pokrok je dosahovaný v plnení cieľa energetickej efektívnosti a tiež záväzného cieľa zvyšovania podielu energie z obnoviteľných zdrojov pri vykurovaní a chladení.</w:t>
      </w:r>
    </w:p>
    <w:p w:rsidR="005D4235" w:rsidRPr="00802817" w:rsidRDefault="005D4235" w:rsidP="005D423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5D4235" w:rsidRPr="005D4235" w:rsidRDefault="005D4235" w:rsidP="005D4235">
      <w:pPr>
        <w:pStyle w:val="Odsekzoznamu"/>
        <w:numPr>
          <w:ilvl w:val="0"/>
          <w:numId w:val="10"/>
        </w:numPr>
        <w:rPr>
          <w:b/>
        </w:rPr>
      </w:pPr>
      <w:r w:rsidRPr="005D4235">
        <w:rPr>
          <w:b/>
        </w:rPr>
        <w:t>Realizácia opatrení zostáva dobrovoľná</w:t>
      </w:r>
    </w:p>
    <w:p w:rsidR="005D4235" w:rsidRPr="00802817" w:rsidRDefault="005D4235" w:rsidP="005D423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5D4235" w:rsidRDefault="005D4235" w:rsidP="005D4235">
      <w:r w:rsidRPr="00802817">
        <w:t>Pri výkone pravidelnej kontroly vykurovacieho alebo klimatizačného systému dostane prevádzkovateľ budovy odborné informácie o možnostiac</w:t>
      </w:r>
      <w:r>
        <w:t>h zníženia spotreby energie pri </w:t>
      </w:r>
      <w:r w:rsidRPr="00802817">
        <w:t>vykurovaní a chladení a to vrátane optimalizácie veľkostí zariadení na výrobu tepla alebo chladu, ktorých realizácia prispeje k zníženiu nákladov na energiu. Prevádzkovateľ budovy nie je zo zákona povinný navrhnuté opatrenia realizovať. K dispozícii bude však mať aj nevyhnutné informácie o nákladoch a úsporách, na základe ktorých sa m</w:t>
      </w:r>
      <w:r>
        <w:t>ôže dobrovoľne rozhodnúť, či do </w:t>
      </w:r>
      <w:r w:rsidRPr="00802817">
        <w:t>navrhnutých opatrení zainvestuje.</w:t>
      </w:r>
    </w:p>
    <w:p w:rsidR="005D4235" w:rsidRPr="00802817" w:rsidRDefault="005D4235" w:rsidP="005D4235">
      <w:pPr>
        <w:pStyle w:val="Normlnywebov"/>
        <w:spacing w:before="0" w:beforeAutospacing="0" w:after="0" w:afterAutospacing="0"/>
        <w:jc w:val="both"/>
        <w:rPr>
          <w:color w:val="000000" w:themeColor="text1"/>
        </w:rPr>
      </w:pPr>
    </w:p>
    <w:p w:rsidR="005D4235" w:rsidRPr="00802817" w:rsidRDefault="005D4235" w:rsidP="005D4235">
      <w:pPr>
        <w:pStyle w:val="Normlnywebov"/>
        <w:spacing w:before="0" w:beforeAutospacing="0" w:after="0" w:afterAutospacing="0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5D4235" w:rsidTr="00875C3F">
        <w:tc>
          <w:tcPr>
            <w:tcW w:w="562" w:type="dxa"/>
          </w:tcPr>
          <w:p w:rsidR="005D4235" w:rsidRDefault="005D4235" w:rsidP="005D4235">
            <w:r w:rsidRPr="00802817">
              <w:lastRenderedPageBreak/>
              <w:t>[1]</w:t>
            </w:r>
          </w:p>
        </w:tc>
        <w:tc>
          <w:tcPr>
            <w:tcW w:w="8500" w:type="dxa"/>
          </w:tcPr>
          <w:p w:rsidR="005D4235" w:rsidRPr="009A195A" w:rsidRDefault="005D4235" w:rsidP="005D4235">
            <w:pPr>
              <w:rPr>
                <w:bCs/>
                <w:color w:val="000000"/>
                <w:shd w:val="clear" w:color="auto" w:fill="FFFFFF"/>
              </w:rPr>
            </w:pPr>
            <w:r w:rsidRPr="00802817">
              <w:t xml:space="preserve">Aktuálne znenie zákona č. 314/2012 Z. z. </w:t>
            </w:r>
            <w:r w:rsidRPr="00802817">
              <w:rPr>
                <w:bCs/>
                <w:color w:val="000000"/>
                <w:shd w:val="clear" w:color="auto" w:fill="FFFFFF"/>
              </w:rPr>
              <w:t>o pravidelnej k</w:t>
            </w:r>
            <w:r>
              <w:rPr>
                <w:bCs/>
                <w:color w:val="000000"/>
                <w:shd w:val="clear" w:color="auto" w:fill="FFFFFF"/>
              </w:rPr>
              <w:t>ontrole vykurovacích systémov a </w:t>
            </w:r>
            <w:r w:rsidRPr="00802817">
              <w:rPr>
                <w:bCs/>
                <w:color w:val="000000"/>
                <w:shd w:val="clear" w:color="auto" w:fill="FFFFFF"/>
              </w:rPr>
              <w:t>klimatizačných systémov a o zmene zákona č. 455/1991Zb. o živnostenskom podnikaní (živnostenský zákon) v znení neskorších predpisov (</w:t>
            </w:r>
            <w:hyperlink r:id="rId8" w:history="1">
              <w:r w:rsidRPr="00802817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https://www.slov-lex.sk/pravne-predpisy/SK/ZZ/2012/314/</w:t>
              </w:r>
            </w:hyperlink>
            <w:r w:rsidRPr="00802817">
              <w:rPr>
                <w:bCs/>
                <w:color w:val="000000"/>
                <w:shd w:val="clear" w:color="auto" w:fill="FFFFFF"/>
              </w:rPr>
              <w:t>)</w:t>
            </w:r>
          </w:p>
        </w:tc>
      </w:tr>
    </w:tbl>
    <w:p w:rsidR="00891B4B" w:rsidRPr="005D4235" w:rsidRDefault="00891B4B" w:rsidP="005D4235"/>
    <w:sectPr w:rsidR="00891B4B" w:rsidRPr="005D42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F6" w:rsidRDefault="00AD4BF6" w:rsidP="006C797F">
      <w:pPr>
        <w:spacing w:after="0"/>
      </w:pPr>
      <w:r>
        <w:separator/>
      </w:r>
    </w:p>
  </w:endnote>
  <w:endnote w:type="continuationSeparator" w:id="0">
    <w:p w:rsidR="00AD4BF6" w:rsidRDefault="00AD4BF6" w:rsidP="006C7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2862D7" w:rsidRPr="0088463C" w:rsidTr="002862D7">
      <w:tc>
        <w:tcPr>
          <w:tcW w:w="9214" w:type="dxa"/>
          <w:vAlign w:val="bottom"/>
        </w:tcPr>
        <w:p w:rsidR="002862D7" w:rsidRPr="0088463C" w:rsidRDefault="002862D7" w:rsidP="002862D7">
          <w:pPr>
            <w:pStyle w:val="Hlavika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C92553">
            <w:rPr>
              <w:noProof/>
              <w:lang w:eastAsia="sk-SK"/>
            </w:rPr>
            <w:drawing>
              <wp:inline distT="0" distB="0" distL="0" distR="0" wp14:anchorId="1AF19366" wp14:editId="40B06AB9">
                <wp:extent cx="882650" cy="282608"/>
                <wp:effectExtent l="0" t="0" r="0" b="3175"/>
                <wp:docPr id="5" name="Picture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45" cy="295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Technik kontroly vykurovacích/klimatizačných systémov</w:t>
          </w:r>
        </w:p>
      </w:tc>
    </w:tr>
    <w:tr w:rsidR="002862D7" w:rsidRPr="0088463C" w:rsidTr="002862D7">
      <w:tc>
        <w:tcPr>
          <w:tcW w:w="9214" w:type="dxa"/>
          <w:vAlign w:val="bottom"/>
        </w:tcPr>
        <w:p w:rsidR="002862D7" w:rsidRDefault="002862D7" w:rsidP="002862D7">
          <w:pPr>
            <w:pStyle w:val="Hlavika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2862D7" w:rsidRDefault="002862D7" w:rsidP="002862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F6" w:rsidRDefault="00AD4BF6" w:rsidP="006C797F">
      <w:pPr>
        <w:spacing w:after="0"/>
      </w:pPr>
      <w:r>
        <w:separator/>
      </w:r>
    </w:p>
  </w:footnote>
  <w:footnote w:type="continuationSeparator" w:id="0">
    <w:p w:rsidR="00AD4BF6" w:rsidRDefault="00AD4BF6" w:rsidP="006C79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7F" w:rsidRDefault="006C797F" w:rsidP="00425E74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04826360" wp14:editId="192AFED1">
          <wp:extent cx="5334635" cy="531998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9684" cy="532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0146" w:rsidRDefault="00C50146" w:rsidP="00425E7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2CB1"/>
    <w:multiLevelType w:val="hybridMultilevel"/>
    <w:tmpl w:val="A180235A"/>
    <w:lvl w:ilvl="0" w:tplc="7AFC75B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5190"/>
    <w:multiLevelType w:val="hybridMultilevel"/>
    <w:tmpl w:val="00B44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5233"/>
    <w:multiLevelType w:val="hybridMultilevel"/>
    <w:tmpl w:val="9A368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948"/>
    <w:multiLevelType w:val="hybridMultilevel"/>
    <w:tmpl w:val="0400C920"/>
    <w:lvl w:ilvl="0" w:tplc="FFC4AA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634FF"/>
    <w:multiLevelType w:val="multilevel"/>
    <w:tmpl w:val="2786CB3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60F564F"/>
    <w:multiLevelType w:val="hybridMultilevel"/>
    <w:tmpl w:val="27927A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9736A"/>
    <w:multiLevelType w:val="hybridMultilevel"/>
    <w:tmpl w:val="B23C1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A7DFD"/>
    <w:multiLevelType w:val="hybridMultilevel"/>
    <w:tmpl w:val="82D0C7A8"/>
    <w:lvl w:ilvl="0" w:tplc="9326966A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527A6"/>
    <w:multiLevelType w:val="hybridMultilevel"/>
    <w:tmpl w:val="6FD82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7F15"/>
    <w:multiLevelType w:val="hybridMultilevel"/>
    <w:tmpl w:val="F0FEE16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6E"/>
    <w:rsid w:val="0025272D"/>
    <w:rsid w:val="002862D7"/>
    <w:rsid w:val="002C4270"/>
    <w:rsid w:val="00373C25"/>
    <w:rsid w:val="003C356D"/>
    <w:rsid w:val="00425E74"/>
    <w:rsid w:val="0043326E"/>
    <w:rsid w:val="00462C98"/>
    <w:rsid w:val="005D4235"/>
    <w:rsid w:val="005F5788"/>
    <w:rsid w:val="006C797F"/>
    <w:rsid w:val="00891B4B"/>
    <w:rsid w:val="00AD4BF6"/>
    <w:rsid w:val="00C50146"/>
    <w:rsid w:val="00CA0781"/>
    <w:rsid w:val="00E70E83"/>
    <w:rsid w:val="00EF3235"/>
    <w:rsid w:val="00F8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55B7"/>
  <w15:chartTrackingRefBased/>
  <w15:docId w15:val="{62D97910-AB22-44D1-B3BB-E743629C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OoE"/>
    <w:qFormat/>
    <w:rsid w:val="006C797F"/>
    <w:pPr>
      <w:spacing w:line="240" w:lineRule="auto"/>
      <w:jc w:val="both"/>
    </w:pPr>
    <w:rPr>
      <w:rFonts w:ascii="Calibri" w:hAnsi="Calibri"/>
      <w:sz w:val="22"/>
    </w:rPr>
  </w:style>
  <w:style w:type="paragraph" w:styleId="Nadpis1">
    <w:name w:val="heading 1"/>
    <w:aliases w:val="N1- OoE"/>
    <w:basedOn w:val="Normlny"/>
    <w:next w:val="Normlny"/>
    <w:link w:val="Nadpis1Char"/>
    <w:uiPriority w:val="9"/>
    <w:qFormat/>
    <w:rsid w:val="00F82249"/>
    <w:pPr>
      <w:keepNext/>
      <w:keepLines/>
      <w:numPr>
        <w:numId w:val="3"/>
      </w:numPr>
      <w:spacing w:before="480" w:after="240"/>
      <w:ind w:left="431" w:hanging="431"/>
      <w:jc w:val="center"/>
      <w:outlineLvl w:val="0"/>
    </w:pPr>
    <w:rPr>
      <w:rFonts w:eastAsiaTheme="majorEastAsia" w:cstheme="majorBidi"/>
      <w:b/>
      <w:sz w:val="36"/>
      <w:szCs w:val="40"/>
    </w:rPr>
  </w:style>
  <w:style w:type="paragraph" w:styleId="Nadpis2">
    <w:name w:val="heading 2"/>
    <w:aliases w:val="N2- OoE"/>
    <w:basedOn w:val="Normlny"/>
    <w:next w:val="Normlny"/>
    <w:link w:val="Nadpis2Char"/>
    <w:uiPriority w:val="9"/>
    <w:unhideWhenUsed/>
    <w:qFormat/>
    <w:rsid w:val="00E70E83"/>
    <w:pPr>
      <w:keepNext/>
      <w:keepLines/>
      <w:numPr>
        <w:ilvl w:val="1"/>
        <w:numId w:val="3"/>
      </w:numPr>
      <w:spacing w:before="360" w:after="240"/>
      <w:ind w:left="578" w:hanging="578"/>
      <w:jc w:val="center"/>
      <w:outlineLvl w:val="1"/>
    </w:pPr>
    <w:rPr>
      <w:rFonts w:eastAsiaTheme="majorEastAsia" w:cstheme="majorBidi"/>
      <w:b/>
      <w:sz w:val="32"/>
      <w:szCs w:val="36"/>
    </w:rPr>
  </w:style>
  <w:style w:type="paragraph" w:styleId="Nadpis3">
    <w:name w:val="heading 3"/>
    <w:aliases w:val="N3- OoE"/>
    <w:basedOn w:val="Normlny"/>
    <w:next w:val="Normlny"/>
    <w:link w:val="Nadpis3Char"/>
    <w:uiPriority w:val="9"/>
    <w:unhideWhenUsed/>
    <w:qFormat/>
    <w:rsid w:val="00E70E83"/>
    <w:pPr>
      <w:keepNext/>
      <w:keepLines/>
      <w:numPr>
        <w:ilvl w:val="2"/>
        <w:numId w:val="3"/>
      </w:numPr>
      <w:spacing w:before="240" w:after="120"/>
      <w:jc w:val="center"/>
      <w:outlineLvl w:val="2"/>
    </w:pPr>
    <w:rPr>
      <w:rFonts w:eastAsiaTheme="majorEastAsia" w:cstheme="majorBidi"/>
      <w:b/>
      <w:sz w:val="28"/>
      <w:szCs w:val="32"/>
    </w:rPr>
  </w:style>
  <w:style w:type="paragraph" w:styleId="Nadpis4">
    <w:name w:val="heading 4"/>
    <w:aliases w:val="N4- OoE"/>
    <w:basedOn w:val="Normlny"/>
    <w:next w:val="Normlny"/>
    <w:link w:val="Nadpis4Char"/>
    <w:uiPriority w:val="9"/>
    <w:unhideWhenUsed/>
    <w:qFormat/>
    <w:rsid w:val="00E70E83"/>
    <w:pPr>
      <w:keepNext/>
      <w:keepLines/>
      <w:numPr>
        <w:ilvl w:val="3"/>
        <w:numId w:val="3"/>
      </w:numPr>
      <w:spacing w:before="240" w:after="120"/>
      <w:ind w:left="862" w:hanging="862"/>
      <w:jc w:val="center"/>
      <w:outlineLvl w:val="3"/>
    </w:pPr>
    <w:rPr>
      <w:rFonts w:eastAsiaTheme="majorEastAsia" w:cstheme="majorBidi"/>
      <w:b/>
      <w:iCs/>
      <w:sz w:val="24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25272D"/>
    <w:pPr>
      <w:keepNext/>
      <w:keepLines/>
      <w:numPr>
        <w:ilvl w:val="4"/>
        <w:numId w:val="3"/>
      </w:numPr>
      <w:spacing w:before="8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5272D"/>
    <w:pPr>
      <w:keepNext/>
      <w:keepLines/>
      <w:numPr>
        <w:ilvl w:val="5"/>
        <w:numId w:val="3"/>
      </w:numPr>
      <w:spacing w:before="80" w:after="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5272D"/>
    <w:pPr>
      <w:keepNext/>
      <w:keepLines/>
      <w:numPr>
        <w:ilvl w:val="6"/>
        <w:numId w:val="3"/>
      </w:numPr>
      <w:spacing w:before="80" w:after="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5272D"/>
    <w:pPr>
      <w:keepNext/>
      <w:keepLines/>
      <w:numPr>
        <w:ilvl w:val="7"/>
        <w:numId w:val="3"/>
      </w:numPr>
      <w:spacing w:before="8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5272D"/>
    <w:pPr>
      <w:keepNext/>
      <w:keepLines/>
      <w:numPr>
        <w:ilvl w:val="8"/>
        <w:numId w:val="3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1- OoE Char"/>
    <w:basedOn w:val="Predvolenpsmoodseku"/>
    <w:link w:val="Nadpis1"/>
    <w:uiPriority w:val="9"/>
    <w:rsid w:val="00F82249"/>
    <w:rPr>
      <w:rFonts w:ascii="Calibri" w:eastAsiaTheme="majorEastAsia" w:hAnsi="Calibri" w:cstheme="majorBidi"/>
      <w:b/>
      <w:sz w:val="36"/>
      <w:szCs w:val="40"/>
    </w:rPr>
  </w:style>
  <w:style w:type="character" w:customStyle="1" w:styleId="Nadpis2Char">
    <w:name w:val="Nadpis 2 Char"/>
    <w:aliases w:val="N2- OoE Char"/>
    <w:basedOn w:val="Predvolenpsmoodseku"/>
    <w:link w:val="Nadpis2"/>
    <w:uiPriority w:val="9"/>
    <w:rsid w:val="00E70E83"/>
    <w:rPr>
      <w:rFonts w:ascii="Calibri" w:eastAsiaTheme="majorEastAsia" w:hAnsi="Calibri" w:cstheme="majorBidi"/>
      <w:b/>
      <w:sz w:val="32"/>
      <w:szCs w:val="36"/>
    </w:rPr>
  </w:style>
  <w:style w:type="character" w:customStyle="1" w:styleId="Nadpis3Char">
    <w:name w:val="Nadpis 3 Char"/>
    <w:aliases w:val="N3- OoE Char"/>
    <w:basedOn w:val="Predvolenpsmoodseku"/>
    <w:link w:val="Nadpis3"/>
    <w:uiPriority w:val="9"/>
    <w:rsid w:val="00E70E83"/>
    <w:rPr>
      <w:rFonts w:ascii="Calibri" w:eastAsiaTheme="majorEastAsia" w:hAnsi="Calibri" w:cstheme="majorBidi"/>
      <w:b/>
      <w:sz w:val="28"/>
      <w:szCs w:val="32"/>
    </w:rPr>
  </w:style>
  <w:style w:type="character" w:customStyle="1" w:styleId="Nadpis4Char">
    <w:name w:val="Nadpis 4 Char"/>
    <w:aliases w:val="N4- OoE Char"/>
    <w:basedOn w:val="Predvolenpsmoodseku"/>
    <w:link w:val="Nadpis4"/>
    <w:uiPriority w:val="9"/>
    <w:rsid w:val="00E70E83"/>
    <w:rPr>
      <w:rFonts w:ascii="Calibri" w:eastAsiaTheme="majorEastAsia" w:hAnsi="Calibri" w:cstheme="majorBidi"/>
      <w:b/>
      <w:iCs/>
      <w:sz w:val="24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5272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5272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5272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5272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5272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5272D"/>
    <w:rPr>
      <w:b/>
      <w:bCs/>
      <w:color w:val="404040" w:themeColor="text1" w:themeTint="BF"/>
      <w:sz w:val="16"/>
      <w:szCs w:val="16"/>
    </w:rPr>
  </w:style>
  <w:style w:type="paragraph" w:styleId="Nzov">
    <w:name w:val="Title"/>
    <w:aliases w:val="Názov- OoE"/>
    <w:basedOn w:val="Normlny"/>
    <w:next w:val="Normlny"/>
    <w:link w:val="NzovChar"/>
    <w:uiPriority w:val="10"/>
    <w:qFormat/>
    <w:rsid w:val="00F82249"/>
    <w:pPr>
      <w:spacing w:after="0"/>
      <w:contextualSpacing/>
      <w:jc w:val="center"/>
    </w:pPr>
    <w:rPr>
      <w:rFonts w:eastAsiaTheme="majorEastAsia" w:cstheme="majorBidi"/>
      <w:b/>
      <w:smallCaps/>
      <w:sz w:val="44"/>
      <w:szCs w:val="96"/>
    </w:rPr>
  </w:style>
  <w:style w:type="character" w:customStyle="1" w:styleId="NzovChar">
    <w:name w:val="Názov Char"/>
    <w:aliases w:val="Názov- OoE Char"/>
    <w:basedOn w:val="Predvolenpsmoodseku"/>
    <w:link w:val="Nzov"/>
    <w:uiPriority w:val="10"/>
    <w:rsid w:val="00F82249"/>
    <w:rPr>
      <w:rFonts w:ascii="Calibri" w:eastAsiaTheme="majorEastAsia" w:hAnsi="Calibri" w:cstheme="majorBidi"/>
      <w:b/>
      <w:smallCaps/>
      <w:sz w:val="44"/>
      <w:szCs w:val="9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272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5272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Predvolenpsmoodseku"/>
    <w:uiPriority w:val="22"/>
    <w:qFormat/>
    <w:rsid w:val="0025272D"/>
    <w:rPr>
      <w:b/>
      <w:bCs/>
    </w:rPr>
  </w:style>
  <w:style w:type="character" w:styleId="Zvraznenie">
    <w:name w:val="Emphasis"/>
    <w:basedOn w:val="Predvolenpsmoodseku"/>
    <w:uiPriority w:val="20"/>
    <w:qFormat/>
    <w:rsid w:val="0025272D"/>
    <w:rPr>
      <w:i/>
      <w:iCs/>
      <w:color w:val="000000" w:themeColor="text1"/>
    </w:rPr>
  </w:style>
  <w:style w:type="paragraph" w:styleId="Bezriadkovania">
    <w:name w:val="No Spacing"/>
    <w:uiPriority w:val="1"/>
    <w:rsid w:val="0025272D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25272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25272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272D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272D"/>
    <w:rPr>
      <w:rFonts w:asciiTheme="majorHAnsi" w:eastAsiaTheme="majorEastAsia" w:hAnsiTheme="majorHAnsi" w:cstheme="majorBidi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25272D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25272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Jemnodkaz">
    <w:name w:val="Subtle Reference"/>
    <w:basedOn w:val="Predvolenpsmoodseku"/>
    <w:uiPriority w:val="31"/>
    <w:qFormat/>
    <w:rsid w:val="002527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25272D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25272D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5272D"/>
    <w:pPr>
      <w:outlineLvl w:val="9"/>
    </w:pPr>
  </w:style>
  <w:style w:type="paragraph" w:styleId="Odsekzoznamu">
    <w:name w:val="List Paragraph"/>
    <w:basedOn w:val="Normlny"/>
    <w:uiPriority w:val="34"/>
    <w:qFormat/>
    <w:rsid w:val="003C356D"/>
    <w:pPr>
      <w:spacing w:after="0"/>
      <w:ind w:left="720"/>
      <w:contextualSpacing/>
    </w:pPr>
    <w:rPr>
      <w:rFonts w:eastAsiaTheme="minorHAnsi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6C797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6C797F"/>
    <w:rPr>
      <w:rFonts w:ascii="Calibri" w:hAnsi="Calibri"/>
      <w:sz w:val="22"/>
    </w:rPr>
  </w:style>
  <w:style w:type="paragraph" w:styleId="Pta">
    <w:name w:val="footer"/>
    <w:basedOn w:val="Normlny"/>
    <w:link w:val="PtaChar"/>
    <w:uiPriority w:val="99"/>
    <w:unhideWhenUsed/>
    <w:rsid w:val="006C797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6C797F"/>
    <w:rPr>
      <w:rFonts w:ascii="Calibri" w:hAnsi="Calibri"/>
      <w:sz w:val="22"/>
    </w:rPr>
  </w:style>
  <w:style w:type="paragraph" w:styleId="Obsah1">
    <w:name w:val="toc 1"/>
    <w:basedOn w:val="Normlny"/>
    <w:next w:val="Normlny"/>
    <w:autoRedefine/>
    <w:uiPriority w:val="39"/>
    <w:unhideWhenUsed/>
    <w:rsid w:val="00891B4B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91B4B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891B4B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rsid w:val="00891B4B"/>
    <w:pPr>
      <w:spacing w:after="100"/>
      <w:ind w:left="660"/>
    </w:pPr>
  </w:style>
  <w:style w:type="character" w:styleId="Hypertextovprepojenie">
    <w:name w:val="Hyperlink"/>
    <w:basedOn w:val="Predvolenpsmoodseku"/>
    <w:uiPriority w:val="99"/>
    <w:unhideWhenUsed/>
    <w:rsid w:val="00891B4B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5D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D42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2/3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31C5-9048-4ECB-BF9C-57AAABE5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Doušková Jana</dc:creator>
  <cp:keywords/>
  <dc:description/>
  <cp:lastModifiedBy>Doušková Jana</cp:lastModifiedBy>
  <cp:revision>4</cp:revision>
  <dcterms:created xsi:type="dcterms:W3CDTF">2021-01-27T10:16:00Z</dcterms:created>
  <dcterms:modified xsi:type="dcterms:W3CDTF">2021-01-27T11:50:00Z</dcterms:modified>
</cp:coreProperties>
</file>