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BF" w:rsidRPr="002D0EA8" w:rsidRDefault="001158BF" w:rsidP="001158BF">
      <w:pPr>
        <w:pStyle w:val="Normlnywebov"/>
        <w:shd w:val="clear" w:color="auto" w:fill="FFFFFF"/>
        <w:jc w:val="both"/>
        <w:rPr>
          <w:rFonts w:ascii="Raleway" w:hAnsi="Raleway"/>
          <w:b/>
          <w:bCs/>
          <w:color w:val="00519A"/>
          <w:kern w:val="36"/>
          <w:sz w:val="42"/>
          <w:szCs w:val="42"/>
        </w:rPr>
      </w:pPr>
      <w:r w:rsidRPr="002D0EA8">
        <w:rPr>
          <w:rFonts w:ascii="Raleway" w:hAnsi="Raleway"/>
          <w:b/>
          <w:bCs/>
          <w:color w:val="00519A"/>
          <w:kern w:val="36"/>
          <w:sz w:val="42"/>
          <w:szCs w:val="42"/>
        </w:rPr>
        <w:t xml:space="preserve">Usmernenie k </w:t>
      </w:r>
      <w:r w:rsidRPr="002D0EA8">
        <w:rPr>
          <w:rFonts w:ascii="Raleway" w:hAnsi="Raleway"/>
          <w:b/>
          <w:color w:val="00519A"/>
          <w:kern w:val="36"/>
          <w:sz w:val="42"/>
          <w:szCs w:val="42"/>
        </w:rPr>
        <w:t>Postupom monitorovania projektov po 31.</w:t>
      </w:r>
      <w:r>
        <w:rPr>
          <w:rFonts w:ascii="Raleway" w:hAnsi="Raleway"/>
          <w:b/>
          <w:color w:val="00519A"/>
          <w:kern w:val="36"/>
          <w:sz w:val="42"/>
          <w:szCs w:val="42"/>
        </w:rPr>
        <w:t>0</w:t>
      </w:r>
      <w:r w:rsidRPr="002D0EA8">
        <w:rPr>
          <w:rFonts w:ascii="Raleway" w:hAnsi="Raleway"/>
          <w:b/>
          <w:color w:val="00519A"/>
          <w:kern w:val="36"/>
          <w:sz w:val="42"/>
          <w:szCs w:val="42"/>
        </w:rPr>
        <w:t>1.2021 v nadväznosti na ukončenie prevádzky verejnej časti ITMS II Portál pre programové obdobie 2007 – 2013</w:t>
      </w:r>
    </w:p>
    <w:p w:rsidR="001158BF" w:rsidRDefault="001158BF" w:rsidP="001158BF">
      <w:pPr>
        <w:shd w:val="clear" w:color="auto" w:fill="FFFFFF"/>
        <w:spacing w:after="150" w:line="276" w:lineRule="auto"/>
        <w:jc w:val="both"/>
      </w:pPr>
      <w:r>
        <w:t xml:space="preserve">Predkladané usmernenie je vydané zo strany Slovenskej inovačnej a energetickej agentúry, Sekcie EŠIF (ďalej len „SIEA“), ktorá v rámci Operačného programu Konkurencieschopnosť a hospodársky rast koná na základe Splnomocnenia sprostredkovateľského orgánu pod Riadiacim orgánom na plnenie úloh Riadiaceho orgánu v platnom znení. Usmernenie bolo vydané </w:t>
      </w:r>
      <w:r w:rsidRPr="00946D05">
        <w:t>v nadväznosti na informáciu o ukončení prevádzky verejnej časti ITMS II Portál používaného pre programové obdobie 2007 – 2013</w:t>
      </w:r>
      <w:r>
        <w:t xml:space="preserve"> s cieľom informovať prijímateľov </w:t>
      </w:r>
      <w:r w:rsidRPr="00946D05">
        <w:t>o forme a spôsobe predkladania NMS po 31.</w:t>
      </w:r>
      <w:r>
        <w:t>0</w:t>
      </w:r>
      <w:r w:rsidRPr="00946D05">
        <w:t>1.2021</w:t>
      </w:r>
      <w:r>
        <w:t>.</w:t>
      </w:r>
    </w:p>
    <w:p w:rsidR="001158BF" w:rsidRPr="00E832D2" w:rsidRDefault="001158BF" w:rsidP="001158BF">
      <w:pPr>
        <w:pStyle w:val="Normlnywebov"/>
        <w:shd w:val="clear" w:color="auto" w:fill="FFFFFF"/>
        <w:jc w:val="both"/>
        <w:rPr>
          <w:rFonts w:asciiTheme="minorHAnsi" w:eastAsiaTheme="minorHAnsi" w:hAnsiTheme="minorHAnsi" w:cstheme="minorBidi"/>
          <w:sz w:val="22"/>
          <w:szCs w:val="22"/>
          <w:lang w:eastAsia="en-US"/>
        </w:rPr>
      </w:pPr>
      <w:r w:rsidRPr="00E832D2">
        <w:rPr>
          <w:rFonts w:asciiTheme="minorHAnsi" w:eastAsiaTheme="minorHAnsi" w:hAnsiTheme="minorHAnsi" w:cstheme="minorBidi"/>
          <w:sz w:val="22"/>
          <w:szCs w:val="22"/>
          <w:lang w:eastAsia="en-US"/>
        </w:rPr>
        <w:t>Paralelne s ukončením prevádzky verejnej časti ITMS II Portál Centrálny koordinačný orgán Ministerstva investícii, regionálneho rozvoja a informatizácie Slovenskej republiky pristúpil k posúdeniu a prehodnoteniu rozsahu údajov monitorovania projektov ako aj procesu monitorovania s cieľom minimalizácie záťaže prijímateľov.</w:t>
      </w:r>
    </w:p>
    <w:p w:rsidR="001158BF" w:rsidRDefault="001158BF" w:rsidP="001158BF">
      <w:pPr>
        <w:pStyle w:val="Normlnywebov"/>
        <w:shd w:val="clear" w:color="auto" w:fill="FFFFFF"/>
        <w:spacing w:line="276" w:lineRule="auto"/>
        <w:jc w:val="both"/>
        <w:rPr>
          <w:rFonts w:asciiTheme="minorHAnsi" w:eastAsiaTheme="minorHAnsi" w:hAnsiTheme="minorHAnsi" w:cstheme="minorBidi"/>
          <w:sz w:val="22"/>
          <w:szCs w:val="22"/>
          <w:lang w:eastAsia="en-US"/>
        </w:rPr>
      </w:pPr>
      <w:r w:rsidRPr="00946D05">
        <w:rPr>
          <w:rFonts w:asciiTheme="minorHAnsi" w:eastAsiaTheme="minorHAnsi" w:hAnsiTheme="minorHAnsi" w:cstheme="minorBidi"/>
          <w:sz w:val="22"/>
          <w:szCs w:val="22"/>
          <w:lang w:eastAsia="en-US"/>
        </w:rPr>
        <w:t>V nadväznosti na vyššie uvedené dochádza k zjednodušeniu predkladania NMS ako aj k zjednodušeniu samotného formulára NMS na najvyššiu možnú mieru tak, aby zároveň plnilo podmienky stanovené na udržateľnosť projektov.</w:t>
      </w:r>
    </w:p>
    <w:p w:rsidR="001158BF" w:rsidRPr="00946D05" w:rsidRDefault="001158BF" w:rsidP="001158BF">
      <w:pPr>
        <w:pStyle w:val="Normlnywebov"/>
        <w:shd w:val="clear" w:color="auto" w:fill="FFFFFF"/>
        <w:spacing w:line="276" w:lineRule="auto"/>
        <w:jc w:val="both"/>
        <w:rPr>
          <w:rFonts w:asciiTheme="minorHAnsi" w:eastAsiaTheme="minorHAnsi" w:hAnsiTheme="minorHAnsi" w:cstheme="minorBidi"/>
          <w:sz w:val="22"/>
          <w:szCs w:val="22"/>
          <w:lang w:eastAsia="en-US"/>
        </w:rPr>
      </w:pPr>
      <w:r w:rsidRPr="00E832D2">
        <w:rPr>
          <w:rFonts w:asciiTheme="minorHAnsi" w:eastAsiaTheme="minorHAnsi" w:hAnsiTheme="minorHAnsi" w:cstheme="minorBidi"/>
          <w:sz w:val="22"/>
          <w:szCs w:val="22"/>
          <w:lang w:eastAsia="en-US"/>
        </w:rPr>
        <w:t>Prijímateľ je povinný po termíne 31.01.2021 predkladať NMS poskytovateľovi/vykonávateľovi  iba v písomnej forme. Prípadné úpravy NMS budú realizované tiež iba písomnou formou. Uvedeným sa ruší povinnosť prijímateľa predkladať NMS elektronicky prostredníctvom verejnej časti ITMS II Portál. Zároveň sa nahrádza pôvodný formulár NMS, novým – zjednodušeným formulárom NMS.</w:t>
      </w:r>
    </w:p>
    <w:p w:rsidR="001158BF" w:rsidRPr="00946D05" w:rsidRDefault="001158BF" w:rsidP="001158BF">
      <w:pPr>
        <w:pStyle w:val="Normlnywebov"/>
        <w:shd w:val="clear" w:color="auto" w:fill="FFFFFF"/>
        <w:spacing w:line="276" w:lineRule="auto"/>
        <w:jc w:val="both"/>
        <w:rPr>
          <w:rFonts w:asciiTheme="minorHAnsi" w:eastAsiaTheme="minorHAnsi" w:hAnsiTheme="minorHAnsi" w:cstheme="minorBidi"/>
          <w:sz w:val="22"/>
          <w:szCs w:val="22"/>
          <w:lang w:eastAsia="en-US"/>
        </w:rPr>
      </w:pPr>
      <w:r w:rsidRPr="00E832D2">
        <w:rPr>
          <w:rFonts w:asciiTheme="minorHAnsi" w:eastAsiaTheme="minorHAnsi" w:hAnsiTheme="minorHAnsi" w:cstheme="minorBidi"/>
          <w:sz w:val="22"/>
          <w:szCs w:val="22"/>
          <w:lang w:eastAsia="en-US"/>
        </w:rPr>
        <w:t>Všetky prílohy NMS, ktoré boli poskytovateľom/vykonávateľom stanovené ako povinné, zostávajú naďalej v platnosti a prijímateľ je povinný ich predkladať spolu s príslušnou NMS v písomnej forme.</w:t>
      </w:r>
    </w:p>
    <w:p w:rsidR="001158BF" w:rsidRPr="00E832D2" w:rsidRDefault="001158BF" w:rsidP="001158BF">
      <w:pPr>
        <w:shd w:val="clear" w:color="auto" w:fill="FFFFFF"/>
        <w:spacing w:after="150" w:line="276" w:lineRule="auto"/>
        <w:jc w:val="both"/>
        <w:rPr>
          <w:b/>
          <w:sz w:val="28"/>
          <w:szCs w:val="28"/>
        </w:rPr>
      </w:pPr>
      <w:r w:rsidRPr="00E832D2">
        <w:rPr>
          <w:b/>
          <w:sz w:val="28"/>
          <w:szCs w:val="28"/>
        </w:rPr>
        <w:t>Cieľ predkladaného usmernenia:</w:t>
      </w:r>
    </w:p>
    <w:p w:rsidR="001158BF" w:rsidRPr="00946D05" w:rsidRDefault="001158BF" w:rsidP="001158BF">
      <w:pPr>
        <w:shd w:val="clear" w:color="auto" w:fill="FFFFFF"/>
        <w:spacing w:after="150" w:line="276" w:lineRule="auto"/>
        <w:jc w:val="both"/>
      </w:pPr>
      <w:r>
        <w:t xml:space="preserve">1. </w:t>
      </w:r>
      <w:r w:rsidRPr="00946D05">
        <w:t>Informovať prijímateľov o forme a spôsobe predkladania NMS po 31.01.2021 v nadväznosti na informáciu o ukončení prevádzky verejnej časti ITMS II Portál používaného pre programové obdobie 2007 – 2013 a s tým súvisiacim znemožnením predkladania následných monitorovacích správ projektu (ďalej len „NMS“) obvyklým spôsobom prostredníctvom verejnej časti ITMS II</w:t>
      </w:r>
    </w:p>
    <w:p w:rsidR="001158BF" w:rsidRPr="002D0EA8" w:rsidRDefault="001158BF" w:rsidP="001158BF">
      <w:pPr>
        <w:shd w:val="clear" w:color="auto" w:fill="FFFFFF"/>
        <w:spacing w:after="150" w:line="276" w:lineRule="auto"/>
        <w:jc w:val="both"/>
      </w:pPr>
      <w:r w:rsidRPr="002D0EA8">
        <w:t xml:space="preserve">2. Samostatná inštrukcia </w:t>
      </w:r>
      <w:r w:rsidRPr="00946D05">
        <w:t>ku spôsobu predkladania NMS (t. j. z elektronickej formy na písomnú formu)</w:t>
      </w:r>
      <w:r w:rsidRPr="002D0EA8">
        <w:br/>
        <w:t>3. Stanovenie povinných príloh k MS projektu</w:t>
      </w:r>
    </w:p>
    <w:p w:rsidR="001158BF" w:rsidRDefault="001158BF" w:rsidP="001158BF">
      <w:pPr>
        <w:spacing w:line="276" w:lineRule="auto"/>
      </w:pPr>
    </w:p>
    <w:p w:rsidR="001158BF" w:rsidRDefault="001158BF" w:rsidP="001158BF">
      <w:pPr>
        <w:pStyle w:val="Normlnywebov"/>
        <w:shd w:val="clear" w:color="auto" w:fill="FFFFFF"/>
        <w:rPr>
          <w:color w:val="212121"/>
        </w:rPr>
      </w:pPr>
      <w:r>
        <w:rPr>
          <w:rFonts w:ascii="Calibri" w:hAnsi="Calibri" w:cs="Calibri"/>
          <w:color w:val="000000"/>
        </w:rPr>
        <w:t> </w:t>
      </w:r>
    </w:p>
    <w:p w:rsidR="001158BF" w:rsidRDefault="001158BF" w:rsidP="001158BF">
      <w:pPr>
        <w:pStyle w:val="Normlnywebov"/>
        <w:shd w:val="clear" w:color="auto" w:fill="FFFFFF"/>
        <w:rPr>
          <w:color w:val="212121"/>
        </w:rPr>
      </w:pPr>
      <w:r>
        <w:rPr>
          <w:rFonts w:ascii="Calibri" w:hAnsi="Calibri" w:cs="Calibri"/>
          <w:color w:val="000000"/>
        </w:rPr>
        <w:t> </w:t>
      </w:r>
    </w:p>
    <w:tbl>
      <w:tblPr>
        <w:tblStyle w:val="Mriekatabuky"/>
        <w:tblW w:w="0" w:type="auto"/>
        <w:tblLook w:val="04A0" w:firstRow="1" w:lastRow="0" w:firstColumn="1" w:lastColumn="0" w:noHBand="0" w:noVBand="1"/>
      </w:tblPr>
      <w:tblGrid>
        <w:gridCol w:w="9062"/>
      </w:tblGrid>
      <w:tr w:rsidR="001158BF" w:rsidRPr="00E832D2" w:rsidTr="00EC073B">
        <w:tc>
          <w:tcPr>
            <w:tcW w:w="9062" w:type="dxa"/>
          </w:tcPr>
          <w:p w:rsidR="001158BF" w:rsidRPr="00E832D2" w:rsidRDefault="001158BF" w:rsidP="001158BF">
            <w:pPr>
              <w:pStyle w:val="Odsekzoznamu"/>
              <w:numPr>
                <w:ilvl w:val="0"/>
                <w:numId w:val="1"/>
              </w:numPr>
              <w:rPr>
                <w:b/>
                <w:sz w:val="28"/>
                <w:szCs w:val="28"/>
              </w:rPr>
            </w:pPr>
            <w:r w:rsidRPr="00E832D2">
              <w:rPr>
                <w:b/>
                <w:sz w:val="28"/>
                <w:szCs w:val="28"/>
              </w:rPr>
              <w:lastRenderedPageBreak/>
              <w:t>Bližšia špecifikácia obsahu jednotlivých sekcií MS projektu</w:t>
            </w:r>
          </w:p>
        </w:tc>
      </w:tr>
    </w:tbl>
    <w:p w:rsidR="001158BF" w:rsidRDefault="001158BF" w:rsidP="001158B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90"/>
        <w:gridCol w:w="3006"/>
        <w:gridCol w:w="792"/>
        <w:gridCol w:w="1161"/>
        <w:gridCol w:w="1048"/>
        <w:gridCol w:w="1579"/>
        <w:gridCol w:w="980"/>
      </w:tblGrid>
      <w:tr w:rsidR="001158BF" w:rsidRPr="003423CC" w:rsidTr="00EC073B">
        <w:tc>
          <w:tcPr>
            <w:tcW w:w="5000" w:type="pct"/>
            <w:gridSpan w:val="7"/>
            <w:shd w:val="clear" w:color="auto" w:fill="00CCFF"/>
          </w:tcPr>
          <w:p w:rsidR="001158BF" w:rsidRPr="003423CC" w:rsidRDefault="001158BF" w:rsidP="001158BF">
            <w:pPr>
              <w:numPr>
                <w:ilvl w:val="1"/>
                <w:numId w:val="2"/>
              </w:numPr>
              <w:spacing w:after="0" w:line="240" w:lineRule="auto"/>
              <w:rPr>
                <w:rFonts w:ascii="Arial Narrow" w:eastAsia="Times New Roman" w:hAnsi="Arial Narrow" w:cs="Times New Roman"/>
                <w:b/>
                <w:sz w:val="20"/>
                <w:szCs w:val="20"/>
                <w:lang w:eastAsia="sk-SK"/>
              </w:rPr>
            </w:pPr>
            <w:r w:rsidRPr="003423CC">
              <w:rPr>
                <w:rFonts w:ascii="Arial Narrow" w:eastAsia="Times New Roman" w:hAnsi="Arial Narrow" w:cs="Times New Roman"/>
                <w:b/>
                <w:sz w:val="20"/>
                <w:szCs w:val="20"/>
                <w:lang w:eastAsia="sk-SK"/>
              </w:rPr>
              <w:t>Merateľné ukazovatele projektu</w:t>
            </w:r>
            <w:r w:rsidRPr="003423CC">
              <w:rPr>
                <w:rFonts w:ascii="Arial Narrow" w:eastAsia="Times New Roman" w:hAnsi="Arial Narrow" w:cs="Times New Roman"/>
                <w:b/>
                <w:sz w:val="20"/>
                <w:szCs w:val="20"/>
                <w:vertAlign w:val="superscript"/>
                <w:lang w:eastAsia="sk-SK"/>
              </w:rPr>
              <w:footnoteReference w:id="1"/>
            </w:r>
          </w:p>
        </w:tc>
      </w:tr>
      <w:tr w:rsidR="001158BF" w:rsidRPr="003423CC" w:rsidTr="00EC073B">
        <w:trPr>
          <w:trHeight w:val="347"/>
        </w:trPr>
        <w:tc>
          <w:tcPr>
            <w:tcW w:w="261" w:type="pct"/>
            <w:vMerge w:val="restart"/>
            <w:shd w:val="clear" w:color="auto" w:fill="D9D9D9"/>
            <w:vAlign w:val="center"/>
          </w:tcPr>
          <w:p w:rsidR="001158BF" w:rsidRPr="003423CC" w:rsidRDefault="001158BF" w:rsidP="00EC073B">
            <w:pPr>
              <w:spacing w:after="0" w:line="240" w:lineRule="auto"/>
              <w:ind w:right="-108"/>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Typ</w:t>
            </w:r>
          </w:p>
        </w:tc>
        <w:tc>
          <w:tcPr>
            <w:tcW w:w="1662" w:type="pct"/>
            <w:vMerge w:val="restart"/>
            <w:shd w:val="clear" w:color="auto" w:fill="D9D9D9"/>
            <w:vAlign w:val="center"/>
          </w:tcPr>
          <w:p w:rsidR="001158BF" w:rsidRPr="003423CC" w:rsidRDefault="001158BF" w:rsidP="00EC073B">
            <w:pPr>
              <w:spacing w:after="0" w:line="240" w:lineRule="auto"/>
              <w:jc w:val="center"/>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Názov merateľného ukazovateľa</w:t>
            </w:r>
          </w:p>
        </w:tc>
        <w:tc>
          <w:tcPr>
            <w:tcW w:w="436" w:type="pct"/>
            <w:vMerge w:val="restart"/>
            <w:shd w:val="clear" w:color="auto" w:fill="D9D9D9"/>
            <w:vAlign w:val="center"/>
          </w:tcPr>
          <w:p w:rsidR="001158BF" w:rsidRPr="003423CC" w:rsidRDefault="001158BF" w:rsidP="00EC073B">
            <w:pPr>
              <w:spacing w:after="0" w:line="240" w:lineRule="auto"/>
              <w:ind w:left="-45" w:right="-109"/>
              <w:jc w:val="center"/>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Merná jednotka</w:t>
            </w:r>
          </w:p>
        </w:tc>
        <w:tc>
          <w:tcPr>
            <w:tcW w:w="2641" w:type="pct"/>
            <w:gridSpan w:val="4"/>
            <w:shd w:val="clear" w:color="auto" w:fill="D9D9D9"/>
            <w:vAlign w:val="center"/>
          </w:tcPr>
          <w:p w:rsidR="001158BF" w:rsidRPr="003423CC" w:rsidRDefault="001158BF" w:rsidP="00EC073B">
            <w:pPr>
              <w:spacing w:after="0" w:line="240" w:lineRule="auto"/>
              <w:jc w:val="center"/>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Počet jednotiek</w:t>
            </w:r>
          </w:p>
        </w:tc>
      </w:tr>
      <w:tr w:rsidR="001158BF" w:rsidRPr="003423CC" w:rsidTr="00EC073B">
        <w:trPr>
          <w:trHeight w:val="150"/>
        </w:trPr>
        <w:tc>
          <w:tcPr>
            <w:tcW w:w="261" w:type="pct"/>
            <w:vMerge/>
            <w:shd w:val="clear" w:color="auto" w:fill="D9D9D9"/>
            <w:vAlign w:val="center"/>
          </w:tcPr>
          <w:p w:rsidR="001158BF" w:rsidRPr="003423CC" w:rsidRDefault="001158BF" w:rsidP="00EC073B">
            <w:pPr>
              <w:spacing w:after="0" w:line="240" w:lineRule="auto"/>
              <w:ind w:right="-108"/>
              <w:rPr>
                <w:rFonts w:ascii="Arial Narrow" w:eastAsia="Times New Roman" w:hAnsi="Arial Narrow" w:cs="Times New Roman"/>
                <w:sz w:val="20"/>
                <w:szCs w:val="20"/>
                <w:lang w:eastAsia="sk-SK"/>
              </w:rPr>
            </w:pPr>
          </w:p>
        </w:tc>
        <w:tc>
          <w:tcPr>
            <w:tcW w:w="1662" w:type="pct"/>
            <w:vMerge/>
            <w:shd w:val="clear" w:color="auto" w:fill="D9D9D9"/>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436" w:type="pct"/>
            <w:vMerge/>
            <w:shd w:val="clear" w:color="auto" w:fill="D9D9D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643" w:type="pct"/>
            <w:shd w:val="clear" w:color="auto" w:fill="D9D9D9"/>
            <w:vAlign w:val="center"/>
          </w:tcPr>
          <w:p w:rsidR="001158BF" w:rsidRPr="003423CC" w:rsidRDefault="001158BF" w:rsidP="00EC073B">
            <w:pPr>
              <w:spacing w:after="0" w:line="240" w:lineRule="auto"/>
              <w:ind w:left="-107" w:right="-106"/>
              <w:jc w:val="center"/>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Východiskový stav</w:t>
            </w:r>
          </w:p>
        </w:tc>
        <w:tc>
          <w:tcPr>
            <w:tcW w:w="581" w:type="pct"/>
            <w:shd w:val="clear" w:color="auto" w:fill="D9D9D9"/>
            <w:vAlign w:val="center"/>
          </w:tcPr>
          <w:p w:rsidR="001158BF" w:rsidRPr="003423CC" w:rsidRDefault="001158BF" w:rsidP="00EC073B">
            <w:pPr>
              <w:spacing w:after="0" w:line="240" w:lineRule="auto"/>
              <w:jc w:val="center"/>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Plánovaný stav</w:t>
            </w:r>
          </w:p>
        </w:tc>
        <w:tc>
          <w:tcPr>
            <w:tcW w:w="874" w:type="pct"/>
            <w:tcBorders>
              <w:bottom w:val="single" w:sz="6" w:space="0" w:color="auto"/>
            </w:tcBorders>
            <w:shd w:val="clear" w:color="auto" w:fill="D9D9D9"/>
          </w:tcPr>
          <w:p w:rsidR="001158BF" w:rsidRPr="003423CC" w:rsidRDefault="001158BF" w:rsidP="00EC073B">
            <w:pPr>
              <w:spacing w:after="0" w:line="240" w:lineRule="auto"/>
              <w:ind w:left="-72" w:right="-82"/>
              <w:jc w:val="center"/>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 xml:space="preserve"> Stav dosiahnutý bezprostredne po ukončení realizácie aktivít projektu</w:t>
            </w:r>
            <w:r w:rsidRPr="003423CC">
              <w:rPr>
                <w:rFonts w:ascii="Arial Narrow" w:eastAsia="Times New Roman" w:hAnsi="Arial Narrow" w:cs="Times New Roman"/>
                <w:sz w:val="20"/>
                <w:szCs w:val="20"/>
                <w:vertAlign w:val="superscript"/>
                <w:lang w:eastAsia="sk-SK"/>
              </w:rPr>
              <w:footnoteReference w:id="2"/>
            </w:r>
          </w:p>
        </w:tc>
        <w:tc>
          <w:tcPr>
            <w:tcW w:w="543" w:type="pct"/>
            <w:shd w:val="clear" w:color="auto" w:fill="D9D9D9"/>
            <w:vAlign w:val="center"/>
          </w:tcPr>
          <w:p w:rsidR="001158BF" w:rsidRPr="003423CC" w:rsidRDefault="001158BF" w:rsidP="00EC073B">
            <w:pPr>
              <w:spacing w:after="0" w:line="240" w:lineRule="auto"/>
              <w:jc w:val="center"/>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Skutočný stav</w:t>
            </w:r>
            <w:r w:rsidRPr="003423CC">
              <w:rPr>
                <w:rFonts w:ascii="Arial Narrow" w:eastAsia="Times New Roman" w:hAnsi="Arial Narrow" w:cs="Times New Roman"/>
                <w:sz w:val="20"/>
                <w:szCs w:val="20"/>
                <w:vertAlign w:val="superscript"/>
                <w:lang w:eastAsia="sk-SK"/>
              </w:rPr>
              <w:footnoteReference w:id="3"/>
            </w:r>
          </w:p>
        </w:tc>
      </w:tr>
      <w:tr w:rsidR="001158BF" w:rsidRPr="003423CC" w:rsidTr="00EC073B">
        <w:trPr>
          <w:trHeight w:val="320"/>
        </w:trPr>
        <w:tc>
          <w:tcPr>
            <w:tcW w:w="261" w:type="pct"/>
            <w:vMerge w:val="restart"/>
            <w:shd w:val="clear" w:color="auto" w:fill="D9D9D9"/>
            <w:textDirection w:val="btLr"/>
          </w:tcPr>
          <w:p w:rsidR="001158BF" w:rsidRPr="003423CC" w:rsidRDefault="001158BF" w:rsidP="00EC073B">
            <w:pPr>
              <w:spacing w:after="0" w:line="240" w:lineRule="auto"/>
              <w:ind w:left="113" w:right="113"/>
              <w:rPr>
                <w:rFonts w:ascii="Arial Narrow" w:eastAsia="Times New Roman" w:hAnsi="Arial Narrow" w:cs="Times New Roman"/>
                <w:bCs/>
                <w:sz w:val="20"/>
                <w:szCs w:val="20"/>
                <w:lang w:eastAsia="sk-SK"/>
              </w:rPr>
            </w:pPr>
            <w:r w:rsidRPr="003423CC">
              <w:rPr>
                <w:rFonts w:ascii="Arial Narrow" w:eastAsia="Times New Roman" w:hAnsi="Arial Narrow" w:cs="Times New Roman"/>
                <w:bCs/>
                <w:sz w:val="20"/>
                <w:szCs w:val="20"/>
                <w:lang w:eastAsia="sk-SK"/>
              </w:rPr>
              <w:t>Výsledok</w:t>
            </w:r>
          </w:p>
        </w:tc>
        <w:tc>
          <w:tcPr>
            <w:tcW w:w="1662"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436"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643"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81"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874" w:type="pct"/>
            <w:shd w:val="clear" w:color="auto" w:fill="FFFF99"/>
          </w:tcPr>
          <w:p w:rsidR="001158BF" w:rsidRPr="003423CC" w:rsidRDefault="001158BF" w:rsidP="00EC073B">
            <w:pPr>
              <w:spacing w:after="0" w:line="240" w:lineRule="auto"/>
              <w:ind w:left="-72" w:right="-136"/>
              <w:rPr>
                <w:rFonts w:ascii="Arial Narrow" w:eastAsia="Times New Roman" w:hAnsi="Arial Narrow" w:cs="Times New Roman"/>
                <w:sz w:val="20"/>
                <w:szCs w:val="20"/>
                <w:lang w:eastAsia="sk-SK"/>
              </w:rPr>
            </w:pPr>
          </w:p>
        </w:tc>
        <w:tc>
          <w:tcPr>
            <w:tcW w:w="543" w:type="pct"/>
            <w:shd w:val="clear" w:color="auto" w:fill="FFFFFF"/>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320"/>
        </w:trPr>
        <w:tc>
          <w:tcPr>
            <w:tcW w:w="261" w:type="pct"/>
            <w:vMerge/>
            <w:shd w:val="clear" w:color="auto" w:fill="D9D9D9"/>
            <w:textDirection w:val="btLr"/>
          </w:tcPr>
          <w:p w:rsidR="001158BF" w:rsidRPr="003423CC" w:rsidRDefault="001158BF" w:rsidP="00EC073B">
            <w:pPr>
              <w:spacing w:after="0" w:line="240" w:lineRule="auto"/>
              <w:ind w:left="113" w:right="113"/>
              <w:rPr>
                <w:rFonts w:ascii="Arial Narrow" w:eastAsia="Times New Roman" w:hAnsi="Arial Narrow" w:cs="Times New Roman"/>
                <w:b/>
                <w:bCs/>
                <w:sz w:val="20"/>
                <w:szCs w:val="20"/>
                <w:lang w:eastAsia="sk-SK"/>
              </w:rPr>
            </w:pPr>
          </w:p>
        </w:tc>
        <w:tc>
          <w:tcPr>
            <w:tcW w:w="1662"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436"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643"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81"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874"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43" w:type="pct"/>
            <w:shd w:val="clear" w:color="auto" w:fill="FFFFFF"/>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320"/>
        </w:trPr>
        <w:tc>
          <w:tcPr>
            <w:tcW w:w="261" w:type="pct"/>
            <w:vMerge/>
            <w:shd w:val="clear" w:color="auto" w:fill="D9D9D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1662"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436"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643"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81"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874" w:type="pct"/>
            <w:tcBorders>
              <w:bottom w:val="single" w:sz="6" w:space="0" w:color="auto"/>
            </w:tcBorders>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43" w:type="pct"/>
            <w:shd w:val="clear" w:color="auto" w:fill="FFFFFF"/>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320"/>
        </w:trPr>
        <w:tc>
          <w:tcPr>
            <w:tcW w:w="261" w:type="pct"/>
            <w:vMerge w:val="restart"/>
            <w:shd w:val="clear" w:color="auto" w:fill="D9D9D9"/>
            <w:textDirection w:val="btLr"/>
          </w:tcPr>
          <w:p w:rsidR="001158BF" w:rsidRPr="003423CC" w:rsidRDefault="001158BF" w:rsidP="00EC073B">
            <w:pPr>
              <w:spacing w:after="0" w:line="240" w:lineRule="auto"/>
              <w:ind w:left="113" w:right="113"/>
              <w:jc w:val="center"/>
              <w:rPr>
                <w:rFonts w:ascii="Arial Narrow" w:eastAsia="Times New Roman" w:hAnsi="Arial Narrow" w:cs="Times New Roman"/>
                <w:bCs/>
                <w:sz w:val="20"/>
                <w:szCs w:val="20"/>
                <w:lang w:eastAsia="sk-SK"/>
              </w:rPr>
            </w:pPr>
            <w:r w:rsidRPr="003423CC">
              <w:rPr>
                <w:rFonts w:ascii="Arial Narrow" w:eastAsia="Times New Roman" w:hAnsi="Arial Narrow" w:cs="Times New Roman"/>
                <w:bCs/>
                <w:sz w:val="20"/>
                <w:szCs w:val="20"/>
                <w:lang w:eastAsia="sk-SK"/>
              </w:rPr>
              <w:t>Dopad</w:t>
            </w:r>
          </w:p>
        </w:tc>
        <w:tc>
          <w:tcPr>
            <w:tcW w:w="1662" w:type="pct"/>
            <w:shd w:val="clear" w:color="auto" w:fill="FFFF99"/>
          </w:tcPr>
          <w:p w:rsidR="001158BF" w:rsidRPr="003423CC" w:rsidRDefault="001158BF" w:rsidP="00EC073B">
            <w:pPr>
              <w:spacing w:after="0" w:line="240" w:lineRule="auto"/>
              <w:jc w:val="center"/>
              <w:rPr>
                <w:rFonts w:ascii="Arial Narrow" w:eastAsia="Times New Roman" w:hAnsi="Arial Narrow" w:cs="Times New Roman"/>
                <w:sz w:val="20"/>
                <w:szCs w:val="20"/>
                <w:lang w:eastAsia="sk-SK"/>
              </w:rPr>
            </w:pPr>
          </w:p>
        </w:tc>
        <w:tc>
          <w:tcPr>
            <w:tcW w:w="436"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643"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81"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874" w:type="pct"/>
            <w:shd w:val="clear" w:color="auto" w:fill="D9D9D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43" w:type="pct"/>
            <w:shd w:val="clear" w:color="auto" w:fill="FFFFFF"/>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320"/>
        </w:trPr>
        <w:tc>
          <w:tcPr>
            <w:tcW w:w="261" w:type="pct"/>
            <w:vMerge/>
            <w:shd w:val="clear" w:color="auto" w:fill="D9D9D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1662"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436"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643"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81"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874" w:type="pct"/>
            <w:shd w:val="clear" w:color="auto" w:fill="D9D9D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43" w:type="pct"/>
            <w:shd w:val="clear" w:color="auto" w:fill="FFFFFF"/>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320"/>
        </w:trPr>
        <w:tc>
          <w:tcPr>
            <w:tcW w:w="261" w:type="pct"/>
            <w:vMerge/>
            <w:shd w:val="clear" w:color="auto" w:fill="D9D9D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1662"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436"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643"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81" w:type="pct"/>
            <w:shd w:val="clear" w:color="auto" w:fill="FFFF9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874" w:type="pct"/>
            <w:shd w:val="clear" w:color="auto" w:fill="D9D9D9"/>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c>
          <w:tcPr>
            <w:tcW w:w="543" w:type="pct"/>
            <w:shd w:val="clear" w:color="auto" w:fill="FFFFFF"/>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bl>
    <w:p w:rsidR="001158BF" w:rsidRDefault="001158BF" w:rsidP="001158BF"/>
    <w:p w:rsidR="001158BF" w:rsidRDefault="001158BF" w:rsidP="001158BF">
      <w:pPr>
        <w:jc w:val="both"/>
      </w:pPr>
      <w:r>
        <w:t xml:space="preserve">Sekcia č. 1 </w:t>
      </w:r>
      <w:r w:rsidRPr="005B623A">
        <w:rPr>
          <w:b/>
        </w:rPr>
        <w:t>„Merateľné ukazovatele projektu“</w:t>
      </w:r>
      <w:r>
        <w:t xml:space="preserve"> obsahuje príspevok projektu vyjadrený prostredníctvom merateľných ukazovateľov v zmysle Zmluvy o NFP v platnom znení. V časti „Skutočný stav“ prijímateľ uvádza v prípade merateľných ukazovateľov typu výsledok hodnotu ktorá vyjadruje udržanie/neudržanie stavu dosiahnutého bezprostredne po ukončení realizácie aktivít projektu. V prípade merateľného ukazovateľa typu výsledok týkajúceho sa novovytvorených pracovných miest uvádza prijímateľ počet novovytvorených pracovných miest, takých, ktoré boli vytvorené počas realizácie projektu (resp. vykázané v rámci Záverečnej MS projektu alebo konania k nej) a sú ku koncu monitorovaného obdobia obsadené nepretržite (s maximálnou akceptovanou dobou neobsadenia 60 kalendárnych dní za jedno monitorované obdobie – 365 dní). V prípade merateľných ukazovateľov typu dopad prijímateľ vykazuje hodnotu merateľného ukazovateľa nameranú za obdobie od začiatku realizácie projektu ku koncu daného monitorovaného obdobia. V prípade merateľného ukazovateľa typu dopad týkajúceho sa novovytvorených pracovných miest uvádza prijímateľ počet novovytvorených pracovných miest všetkých, ktoré eviduje v súvislosti s projektom ku koncu monitorovaného obdobia, teda zahŕňajúc skutočný stav vykázaný v rámci merateľného ukazovateľa typu výsledok pripočítajúc prípadné novovytvorené pracovné miesta v čase po ukončení realizácie aktivít projektu (počas obdobia udržateľnosti projektu). V prípade merateľných ukazovateľov typu dopad finančného charakteru, ktoré vyjadrujú hodnotu za referenčné obdobie bežného roka sa uvádza absolútna hodnota merateľného ukazovateľa za bežný rok daného monitorovaného obdobia (žiaden nárast, alebo rozdiel hodnôt).</w:t>
      </w:r>
    </w:p>
    <w:p w:rsidR="001158BF" w:rsidRDefault="001158BF" w:rsidP="001158BF">
      <w:pPr>
        <w:jc w:val="both"/>
      </w:pPr>
    </w:p>
    <w:p w:rsidR="001158BF" w:rsidRDefault="001158BF" w:rsidP="001158BF">
      <w:pPr>
        <w:jc w:val="both"/>
      </w:pPr>
    </w:p>
    <w:p w:rsidR="001158BF" w:rsidRDefault="001158BF" w:rsidP="001158BF">
      <w:pPr>
        <w:jc w:val="both"/>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036"/>
      </w:tblGrid>
      <w:tr w:rsidR="001158BF" w:rsidRPr="003423CC" w:rsidTr="00EC073B">
        <w:tc>
          <w:tcPr>
            <w:tcW w:w="5000" w:type="pct"/>
            <w:gridSpan w:val="2"/>
            <w:tcBorders>
              <w:bottom w:val="single" w:sz="4" w:space="0" w:color="auto"/>
            </w:tcBorders>
            <w:shd w:val="clear" w:color="auto" w:fill="00CCFF"/>
          </w:tcPr>
          <w:p w:rsidR="001158BF" w:rsidRPr="003423CC" w:rsidRDefault="001158BF" w:rsidP="00EC073B">
            <w:pPr>
              <w:spacing w:after="0" w:line="240" w:lineRule="auto"/>
              <w:ind w:left="360"/>
              <w:rPr>
                <w:rFonts w:ascii="Arial Narrow" w:eastAsia="Times New Roman" w:hAnsi="Arial Narrow" w:cs="Times New Roman"/>
                <w:b/>
                <w:sz w:val="20"/>
                <w:szCs w:val="20"/>
                <w:lang w:eastAsia="sk-SK"/>
              </w:rPr>
            </w:pPr>
            <w:r w:rsidRPr="003423CC">
              <w:rPr>
                <w:rFonts w:ascii="Arial Narrow" w:eastAsia="Times New Roman" w:hAnsi="Arial Narrow" w:cs="Times New Roman"/>
                <w:sz w:val="20"/>
                <w:szCs w:val="20"/>
                <w:lang w:eastAsia="sk-SK"/>
              </w:rPr>
              <w:lastRenderedPageBreak/>
              <w:br w:type="page"/>
            </w:r>
            <w:r w:rsidRPr="003423CC">
              <w:rPr>
                <w:rFonts w:ascii="Arial Narrow" w:eastAsia="Times New Roman" w:hAnsi="Arial Narrow" w:cs="Times New Roman"/>
                <w:b/>
                <w:sz w:val="20"/>
                <w:szCs w:val="20"/>
                <w:lang w:eastAsia="sk-SK"/>
              </w:rPr>
              <w:t xml:space="preserve">2. Udržateľnosť projektu </w:t>
            </w:r>
            <w:r w:rsidRPr="003423CC">
              <w:rPr>
                <w:rFonts w:ascii="Arial Narrow" w:eastAsia="Times New Roman" w:hAnsi="Arial Narrow" w:cs="Arial"/>
                <w:b/>
                <w:bCs/>
                <w:sz w:val="20"/>
                <w:szCs w:val="20"/>
                <w:lang w:eastAsia="sk-SK"/>
              </w:rPr>
              <w:t>a ďalšie informácie</w:t>
            </w:r>
            <w:r w:rsidRPr="003423CC">
              <w:rPr>
                <w:rFonts w:ascii="Arial Narrow" w:eastAsia="Times New Roman" w:hAnsi="Arial Narrow" w:cs="Times New Roman"/>
                <w:b/>
                <w:sz w:val="20"/>
                <w:szCs w:val="20"/>
                <w:vertAlign w:val="superscript"/>
                <w:lang w:eastAsia="sk-SK"/>
              </w:rPr>
              <w:footnoteReference w:id="4"/>
            </w:r>
          </w:p>
        </w:tc>
      </w:tr>
      <w:tr w:rsidR="001158BF" w:rsidRPr="003423CC" w:rsidTr="00EC073B">
        <w:trPr>
          <w:trHeight w:val="4064"/>
        </w:trPr>
        <w:tc>
          <w:tcPr>
            <w:tcW w:w="5000" w:type="pct"/>
            <w:gridSpan w:val="2"/>
            <w:shd w:val="clear" w:color="auto" w:fill="FFFFFF"/>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272"/>
        </w:trPr>
        <w:tc>
          <w:tcPr>
            <w:tcW w:w="3876" w:type="pct"/>
            <w:shd w:val="clear" w:color="auto" w:fill="D9D9D9"/>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Došlo počas monitorovaného obdobia k ukončeniu produktívnej činnosti prijímateľa</w:t>
            </w:r>
            <w:r w:rsidRPr="003423CC">
              <w:rPr>
                <w:rFonts w:ascii="Arial Narrow" w:eastAsia="Times New Roman" w:hAnsi="Arial Narrow" w:cs="Times New Roman"/>
                <w:sz w:val="20"/>
                <w:szCs w:val="20"/>
                <w:vertAlign w:val="superscript"/>
                <w:lang w:eastAsia="sk-SK"/>
              </w:rPr>
              <w:footnoteReference w:id="5"/>
            </w:r>
            <w:r w:rsidRPr="003423CC">
              <w:rPr>
                <w:rFonts w:ascii="Arial Narrow" w:eastAsia="Times New Roman" w:hAnsi="Arial Narrow" w:cs="Times New Roman"/>
                <w:sz w:val="20"/>
                <w:szCs w:val="20"/>
                <w:lang w:eastAsia="sk-SK"/>
              </w:rPr>
              <w:t>?</w:t>
            </w:r>
          </w:p>
        </w:tc>
        <w:tc>
          <w:tcPr>
            <w:tcW w:w="1124" w:type="pct"/>
            <w:shd w:val="clear" w:color="auto" w:fill="FFFFFF"/>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 xml:space="preserve">    </w:t>
            </w:r>
            <w:r w:rsidRPr="003423CC">
              <w:rPr>
                <w:rFonts w:ascii="Arial Narrow" w:eastAsia="Times New Roman" w:hAnsi="Arial Narrow" w:cs="Times New Roman"/>
                <w:sz w:val="20"/>
                <w:szCs w:val="20"/>
                <w:lang w:eastAsia="sk-SK"/>
              </w:rPr>
              <w:fldChar w:fldCharType="begin">
                <w:ffData>
                  <w:name w:val="Začiarkov1"/>
                  <w:enabled/>
                  <w:calcOnExit w:val="0"/>
                  <w:checkBox>
                    <w:sizeAuto/>
                    <w:default w:val="0"/>
                  </w:checkBox>
                </w:ffData>
              </w:fldChar>
            </w:r>
            <w:r w:rsidRPr="003423CC">
              <w:rPr>
                <w:rFonts w:ascii="Arial Narrow" w:eastAsia="Times New Roman" w:hAnsi="Arial Narrow" w:cs="Times New Roman"/>
                <w:sz w:val="20"/>
                <w:szCs w:val="20"/>
                <w:lang w:eastAsia="sk-SK"/>
              </w:rPr>
              <w:instrText xml:space="preserve"> FORMCHECKBOX </w:instrText>
            </w:r>
            <w:r w:rsidRPr="003423CC">
              <w:rPr>
                <w:rFonts w:ascii="Arial Narrow" w:eastAsia="Times New Roman" w:hAnsi="Arial Narrow" w:cs="Times New Roman"/>
                <w:sz w:val="20"/>
                <w:szCs w:val="20"/>
                <w:lang w:eastAsia="sk-SK"/>
              </w:rPr>
            </w:r>
            <w:r w:rsidRPr="003423CC">
              <w:rPr>
                <w:rFonts w:ascii="Arial Narrow" w:eastAsia="Times New Roman" w:hAnsi="Arial Narrow" w:cs="Times New Roman"/>
                <w:sz w:val="20"/>
                <w:szCs w:val="20"/>
                <w:lang w:eastAsia="sk-SK"/>
              </w:rPr>
              <w:fldChar w:fldCharType="separate"/>
            </w:r>
            <w:r w:rsidRPr="003423CC">
              <w:rPr>
                <w:rFonts w:ascii="Arial Narrow" w:eastAsia="Times New Roman" w:hAnsi="Arial Narrow" w:cs="Times New Roman"/>
                <w:sz w:val="20"/>
                <w:szCs w:val="20"/>
                <w:lang w:eastAsia="sk-SK"/>
              </w:rPr>
              <w:fldChar w:fldCharType="end"/>
            </w:r>
            <w:r w:rsidRPr="003423CC">
              <w:rPr>
                <w:rFonts w:ascii="Arial Narrow" w:eastAsia="Times New Roman" w:hAnsi="Arial Narrow" w:cs="Times New Roman"/>
                <w:sz w:val="20"/>
                <w:szCs w:val="20"/>
                <w:lang w:eastAsia="sk-SK"/>
              </w:rPr>
              <w:t xml:space="preserve"> áno         </w:t>
            </w:r>
            <w:r w:rsidRPr="003423CC">
              <w:rPr>
                <w:rFonts w:ascii="Arial Narrow" w:eastAsia="Times New Roman" w:hAnsi="Arial Narrow" w:cs="Times New Roman"/>
                <w:sz w:val="20"/>
                <w:szCs w:val="20"/>
                <w:lang w:eastAsia="sk-SK"/>
              </w:rPr>
              <w:fldChar w:fldCharType="begin">
                <w:ffData>
                  <w:name w:val="Začiarkov2"/>
                  <w:enabled/>
                  <w:calcOnExit w:val="0"/>
                  <w:checkBox>
                    <w:sizeAuto/>
                    <w:default w:val="0"/>
                  </w:checkBox>
                </w:ffData>
              </w:fldChar>
            </w:r>
            <w:r w:rsidRPr="003423CC">
              <w:rPr>
                <w:rFonts w:ascii="Arial Narrow" w:eastAsia="Times New Roman" w:hAnsi="Arial Narrow" w:cs="Times New Roman"/>
                <w:sz w:val="20"/>
                <w:szCs w:val="20"/>
                <w:lang w:eastAsia="sk-SK"/>
              </w:rPr>
              <w:instrText xml:space="preserve"> FORMCHECKBOX </w:instrText>
            </w:r>
            <w:r w:rsidRPr="003423CC">
              <w:rPr>
                <w:rFonts w:ascii="Arial Narrow" w:eastAsia="Times New Roman" w:hAnsi="Arial Narrow" w:cs="Times New Roman"/>
                <w:sz w:val="20"/>
                <w:szCs w:val="20"/>
                <w:lang w:eastAsia="sk-SK"/>
              </w:rPr>
            </w:r>
            <w:r w:rsidRPr="003423CC">
              <w:rPr>
                <w:rFonts w:ascii="Arial Narrow" w:eastAsia="Times New Roman" w:hAnsi="Arial Narrow" w:cs="Times New Roman"/>
                <w:sz w:val="20"/>
                <w:szCs w:val="20"/>
                <w:lang w:eastAsia="sk-SK"/>
              </w:rPr>
              <w:fldChar w:fldCharType="separate"/>
            </w:r>
            <w:r w:rsidRPr="003423CC">
              <w:rPr>
                <w:rFonts w:ascii="Arial Narrow" w:eastAsia="Times New Roman" w:hAnsi="Arial Narrow" w:cs="Times New Roman"/>
                <w:sz w:val="20"/>
                <w:szCs w:val="20"/>
                <w:lang w:eastAsia="sk-SK"/>
              </w:rPr>
              <w:fldChar w:fldCharType="end"/>
            </w:r>
            <w:r w:rsidRPr="003423CC">
              <w:rPr>
                <w:rFonts w:ascii="Arial Narrow" w:eastAsia="Times New Roman" w:hAnsi="Arial Narrow" w:cs="Times New Roman"/>
                <w:sz w:val="20"/>
                <w:szCs w:val="20"/>
                <w:lang w:eastAsia="sk-SK"/>
              </w:rPr>
              <w:t xml:space="preserve"> nie</w:t>
            </w:r>
          </w:p>
        </w:tc>
      </w:tr>
      <w:tr w:rsidR="001158BF" w:rsidRPr="003423CC" w:rsidTr="00EC073B">
        <w:trPr>
          <w:trHeight w:val="350"/>
        </w:trPr>
        <w:tc>
          <w:tcPr>
            <w:tcW w:w="3876" w:type="pct"/>
            <w:shd w:val="clear" w:color="auto" w:fill="D9D9D9"/>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Došlo počas monitorovaného obdobia k zmene povahy vlastníctva majetku nadobudnutého alebo zhodnoteného z NFP v rámci projektu?</w:t>
            </w:r>
          </w:p>
        </w:tc>
        <w:tc>
          <w:tcPr>
            <w:tcW w:w="1124" w:type="pct"/>
            <w:shd w:val="clear" w:color="auto" w:fill="FFFFFF"/>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 xml:space="preserve">    </w:t>
            </w:r>
            <w:r w:rsidRPr="003423CC">
              <w:rPr>
                <w:rFonts w:ascii="Arial Narrow" w:eastAsia="Times New Roman" w:hAnsi="Arial Narrow" w:cs="Times New Roman"/>
                <w:sz w:val="20"/>
                <w:szCs w:val="20"/>
                <w:lang w:eastAsia="sk-SK"/>
              </w:rPr>
              <w:fldChar w:fldCharType="begin">
                <w:ffData>
                  <w:name w:val="Začiarkov1"/>
                  <w:enabled/>
                  <w:calcOnExit w:val="0"/>
                  <w:checkBox>
                    <w:sizeAuto/>
                    <w:default w:val="0"/>
                  </w:checkBox>
                </w:ffData>
              </w:fldChar>
            </w:r>
            <w:r w:rsidRPr="003423CC">
              <w:rPr>
                <w:rFonts w:ascii="Arial Narrow" w:eastAsia="Times New Roman" w:hAnsi="Arial Narrow" w:cs="Times New Roman"/>
                <w:sz w:val="20"/>
                <w:szCs w:val="20"/>
                <w:lang w:eastAsia="sk-SK"/>
              </w:rPr>
              <w:instrText xml:space="preserve"> FORMCHECKBOX </w:instrText>
            </w:r>
            <w:r w:rsidRPr="003423CC">
              <w:rPr>
                <w:rFonts w:ascii="Arial Narrow" w:eastAsia="Times New Roman" w:hAnsi="Arial Narrow" w:cs="Times New Roman"/>
                <w:sz w:val="20"/>
                <w:szCs w:val="20"/>
                <w:lang w:eastAsia="sk-SK"/>
              </w:rPr>
            </w:r>
            <w:r w:rsidRPr="003423CC">
              <w:rPr>
                <w:rFonts w:ascii="Arial Narrow" w:eastAsia="Times New Roman" w:hAnsi="Arial Narrow" w:cs="Times New Roman"/>
                <w:sz w:val="20"/>
                <w:szCs w:val="20"/>
                <w:lang w:eastAsia="sk-SK"/>
              </w:rPr>
              <w:fldChar w:fldCharType="separate"/>
            </w:r>
            <w:r w:rsidRPr="003423CC">
              <w:rPr>
                <w:rFonts w:ascii="Arial Narrow" w:eastAsia="Times New Roman" w:hAnsi="Arial Narrow" w:cs="Times New Roman"/>
                <w:sz w:val="20"/>
                <w:szCs w:val="20"/>
                <w:lang w:eastAsia="sk-SK"/>
              </w:rPr>
              <w:fldChar w:fldCharType="end"/>
            </w:r>
            <w:r w:rsidRPr="003423CC">
              <w:rPr>
                <w:rFonts w:ascii="Arial Narrow" w:eastAsia="Times New Roman" w:hAnsi="Arial Narrow" w:cs="Times New Roman"/>
                <w:sz w:val="20"/>
                <w:szCs w:val="20"/>
                <w:lang w:eastAsia="sk-SK"/>
              </w:rPr>
              <w:t xml:space="preserve"> áno         </w:t>
            </w:r>
            <w:r w:rsidRPr="003423CC">
              <w:rPr>
                <w:rFonts w:ascii="Arial Narrow" w:eastAsia="Times New Roman" w:hAnsi="Arial Narrow" w:cs="Times New Roman"/>
                <w:sz w:val="20"/>
                <w:szCs w:val="20"/>
                <w:lang w:eastAsia="sk-SK"/>
              </w:rPr>
              <w:fldChar w:fldCharType="begin">
                <w:ffData>
                  <w:name w:val="Začiarkov2"/>
                  <w:enabled/>
                  <w:calcOnExit w:val="0"/>
                  <w:checkBox>
                    <w:sizeAuto/>
                    <w:default w:val="0"/>
                  </w:checkBox>
                </w:ffData>
              </w:fldChar>
            </w:r>
            <w:r w:rsidRPr="003423CC">
              <w:rPr>
                <w:rFonts w:ascii="Arial Narrow" w:eastAsia="Times New Roman" w:hAnsi="Arial Narrow" w:cs="Times New Roman"/>
                <w:sz w:val="20"/>
                <w:szCs w:val="20"/>
                <w:lang w:eastAsia="sk-SK"/>
              </w:rPr>
              <w:instrText xml:space="preserve"> FORMCHECKBOX </w:instrText>
            </w:r>
            <w:r w:rsidRPr="003423CC">
              <w:rPr>
                <w:rFonts w:ascii="Arial Narrow" w:eastAsia="Times New Roman" w:hAnsi="Arial Narrow" w:cs="Times New Roman"/>
                <w:sz w:val="20"/>
                <w:szCs w:val="20"/>
                <w:lang w:eastAsia="sk-SK"/>
              </w:rPr>
            </w:r>
            <w:r w:rsidRPr="003423CC">
              <w:rPr>
                <w:rFonts w:ascii="Arial Narrow" w:eastAsia="Times New Roman" w:hAnsi="Arial Narrow" w:cs="Times New Roman"/>
                <w:sz w:val="20"/>
                <w:szCs w:val="20"/>
                <w:lang w:eastAsia="sk-SK"/>
              </w:rPr>
              <w:fldChar w:fldCharType="separate"/>
            </w:r>
            <w:r w:rsidRPr="003423CC">
              <w:rPr>
                <w:rFonts w:ascii="Arial Narrow" w:eastAsia="Times New Roman" w:hAnsi="Arial Narrow" w:cs="Times New Roman"/>
                <w:sz w:val="20"/>
                <w:szCs w:val="20"/>
                <w:lang w:eastAsia="sk-SK"/>
              </w:rPr>
              <w:fldChar w:fldCharType="end"/>
            </w:r>
            <w:r w:rsidRPr="003423CC">
              <w:rPr>
                <w:rFonts w:ascii="Arial Narrow" w:eastAsia="Times New Roman" w:hAnsi="Arial Narrow" w:cs="Times New Roman"/>
                <w:sz w:val="20"/>
                <w:szCs w:val="20"/>
                <w:lang w:eastAsia="sk-SK"/>
              </w:rPr>
              <w:t xml:space="preserve"> nie</w:t>
            </w:r>
          </w:p>
        </w:tc>
      </w:tr>
    </w:tbl>
    <w:p w:rsidR="001158BF" w:rsidRDefault="001158BF" w:rsidP="001158BF">
      <w:pPr>
        <w:jc w:val="both"/>
      </w:pPr>
    </w:p>
    <w:p w:rsidR="001158BF" w:rsidRDefault="001158BF" w:rsidP="001158BF">
      <w:pPr>
        <w:jc w:val="both"/>
      </w:pPr>
      <w:r>
        <w:t xml:space="preserve">V Sekcii č. 2 </w:t>
      </w:r>
      <w:r w:rsidRPr="005B623A">
        <w:rPr>
          <w:b/>
        </w:rPr>
        <w:t xml:space="preserve">„Udržateľnosť projektu a ďalšie informácie“ </w:t>
      </w:r>
      <w:r>
        <w:t>prijímateľ uvádza informácie, ktoré boli v pôvodnej verzii NMS obsiahnuté v tab. 6 Udržateľnosť projektu a tab. 7. Dopady projektu. Prijímatelia uvedú informácie o udržaní (zachovaní) výsledkov projektu definovaných prostredníctvom merateľných ukazovateľov výsledku. V prípade merateľných ukazovateľov typu výsledok a dopad súvisiacich s novovytvorenými pracovnými miestami prijímateľ uvedie všetky rodné čísla zamestnancov, ktorých ku koncu monitorovaného obdobia eviduje a vykazuje v rámci merateľných ukazovateľov typu výsledok a dopad. V prípade ak došlo v monitorovanom období k zmene/preobsadeniu novovytvorených pracovných miest vykazovaných v ostatnom monitorovanom období, prijímateľ popíše v tejto sekcii aj priebeh preobsadení jednotlivých novovytvorených pracovných miest. V prípade neudržania hodnôt merateľných ukazovateľov typu výsledok dosiahnutých bezprostredne po ukončení prác na projekte typu výsledok prijímateľ uvádza aj relevantné a dostatočné zdôvodnenie predmetného. Zároveň prijímateľ uvádza popis identifikovaných problémov (interných, externých) spojených s udržateľnosťou projektu vrátane popisu príčin ich vzniku, možných negatívnych dopadov na ciele a merateľné ukazovatele výsledku a prijatých/navrhovaných opatrení na eliminovanie týchto problémov. Produktívnou činnosťou sa rozumie aktivita, ktorá produkuje tovary alebo služby. Ukončenie produktívnej činnosti neznamená nevyhnutne ukončenie celej produktívnej činnosti prijímateľa (napr. v prípade, keď prijímateľ vykonáva dve produktívne činnosti a len jedna činnosť súvisí s projektom). V takomto prípade sa ukončením produktívnej činnosti rozumie ukončenie tej činnosti, ktorá súvisí s projektom. Ukončením produktívnej činnosti sa rozumie aj presun produktívnej činnosti do iného regiónu alebo do iného členského štátu.</w:t>
      </w:r>
    </w:p>
    <w:p w:rsidR="001158BF" w:rsidRDefault="001158BF" w:rsidP="001158BF">
      <w:pPr>
        <w:jc w:val="both"/>
      </w:pPr>
      <w:r>
        <w:lastRenderedPageBreak/>
        <w:t>V prípade poslednej následnej MS projektu prijímateľ uvádza aj zdôvodnenie v prípade nedosiahnutia stanovených hodnôt merateľných ukazovateľov dopadu (uvedené sa týka všetkých merateľných ukazovateľov dopadu).</w:t>
      </w:r>
    </w:p>
    <w:p w:rsidR="001158BF" w:rsidRDefault="001158BF" w:rsidP="001158BF">
      <w:pPr>
        <w:jc w:val="both"/>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6"/>
        <w:gridCol w:w="2451"/>
      </w:tblGrid>
      <w:tr w:rsidR="001158BF" w:rsidRPr="003423CC" w:rsidTr="00EC073B">
        <w:tc>
          <w:tcPr>
            <w:tcW w:w="5000" w:type="pct"/>
            <w:gridSpan w:val="2"/>
            <w:tcBorders>
              <w:bottom w:val="single" w:sz="4" w:space="0" w:color="auto"/>
            </w:tcBorders>
            <w:shd w:val="clear" w:color="auto" w:fill="00CCFF"/>
          </w:tcPr>
          <w:p w:rsidR="001158BF" w:rsidRPr="003423CC" w:rsidRDefault="001158BF" w:rsidP="00EC073B">
            <w:pPr>
              <w:spacing w:after="0" w:line="240" w:lineRule="auto"/>
              <w:ind w:left="360"/>
              <w:rPr>
                <w:rFonts w:ascii="Arial Narrow" w:eastAsia="Times New Roman" w:hAnsi="Arial Narrow" w:cs="Times New Roman"/>
                <w:b/>
                <w:sz w:val="20"/>
                <w:szCs w:val="20"/>
                <w:lang w:eastAsia="sk-SK"/>
              </w:rPr>
            </w:pPr>
            <w:r w:rsidRPr="003423CC">
              <w:rPr>
                <w:rFonts w:ascii="Arial Narrow" w:eastAsia="Times New Roman" w:hAnsi="Arial Narrow" w:cs="Times New Roman"/>
                <w:sz w:val="20"/>
                <w:szCs w:val="20"/>
                <w:lang w:eastAsia="sk-SK"/>
              </w:rPr>
              <w:br w:type="page"/>
            </w:r>
            <w:r w:rsidRPr="003423CC">
              <w:rPr>
                <w:rFonts w:ascii="Arial Narrow" w:eastAsia="Times New Roman" w:hAnsi="Arial Narrow" w:cs="Times New Roman"/>
                <w:b/>
                <w:sz w:val="20"/>
                <w:szCs w:val="20"/>
                <w:lang w:eastAsia="sk-SK"/>
              </w:rPr>
              <w:t>3. Príjmy projektu</w:t>
            </w:r>
            <w:r w:rsidRPr="003423CC">
              <w:rPr>
                <w:rFonts w:ascii="Arial Narrow" w:eastAsia="Times New Roman" w:hAnsi="Arial Narrow" w:cs="Times New Roman"/>
                <w:b/>
                <w:sz w:val="20"/>
                <w:szCs w:val="20"/>
                <w:vertAlign w:val="superscript"/>
                <w:lang w:eastAsia="sk-SK"/>
              </w:rPr>
              <w:footnoteReference w:id="6"/>
            </w:r>
          </w:p>
        </w:tc>
      </w:tr>
      <w:tr w:rsidR="001158BF" w:rsidRPr="003423CC" w:rsidTr="00EC073B">
        <w:trPr>
          <w:trHeight w:val="318"/>
        </w:trPr>
        <w:tc>
          <w:tcPr>
            <w:tcW w:w="3647" w:type="pct"/>
            <w:shd w:val="clear" w:color="auto" w:fill="D9D9D9"/>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Celkové príjmy projektu v monitorovanom období</w:t>
            </w:r>
            <w:r w:rsidRPr="003423CC">
              <w:rPr>
                <w:rFonts w:ascii="Arial Narrow" w:eastAsia="Times New Roman" w:hAnsi="Arial Narrow" w:cs="Times New Roman"/>
                <w:sz w:val="20"/>
                <w:szCs w:val="20"/>
                <w:vertAlign w:val="superscript"/>
                <w:lang w:eastAsia="sk-SK"/>
              </w:rPr>
              <w:footnoteReference w:id="7"/>
            </w:r>
            <w:r w:rsidRPr="003423CC">
              <w:rPr>
                <w:rFonts w:ascii="Arial Narrow" w:eastAsia="Times New Roman" w:hAnsi="Arial Narrow" w:cs="Times New Roman"/>
                <w:sz w:val="20"/>
                <w:szCs w:val="20"/>
                <w:lang w:eastAsia="sk-SK"/>
              </w:rPr>
              <w:t xml:space="preserve"> (v EUR)</w:t>
            </w:r>
          </w:p>
        </w:tc>
        <w:tc>
          <w:tcPr>
            <w:tcW w:w="1353" w:type="pct"/>
            <w:shd w:val="clear" w:color="auto" w:fill="FFFFFF"/>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318"/>
        </w:trPr>
        <w:tc>
          <w:tcPr>
            <w:tcW w:w="3647" w:type="pct"/>
            <w:shd w:val="clear" w:color="auto" w:fill="D9D9D9"/>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Prevádzkové výdavky projektu v monitorovanom období</w:t>
            </w:r>
            <w:r w:rsidRPr="003423CC">
              <w:rPr>
                <w:rFonts w:ascii="Arial Narrow" w:eastAsia="Times New Roman" w:hAnsi="Arial Narrow" w:cs="Times New Roman"/>
                <w:sz w:val="20"/>
                <w:szCs w:val="20"/>
                <w:vertAlign w:val="superscript"/>
                <w:lang w:eastAsia="sk-SK"/>
              </w:rPr>
              <w:footnoteReference w:id="8"/>
            </w:r>
            <w:r w:rsidRPr="003423CC">
              <w:rPr>
                <w:rFonts w:ascii="Arial Narrow" w:eastAsia="Times New Roman" w:hAnsi="Arial Narrow" w:cs="Times New Roman"/>
                <w:sz w:val="20"/>
                <w:szCs w:val="20"/>
                <w:lang w:eastAsia="sk-SK"/>
              </w:rPr>
              <w:t xml:space="preserve"> (v EUR)</w:t>
            </w:r>
          </w:p>
        </w:tc>
        <w:tc>
          <w:tcPr>
            <w:tcW w:w="1353" w:type="pct"/>
            <w:shd w:val="clear" w:color="auto" w:fill="FFFFFF"/>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318"/>
        </w:trPr>
        <w:tc>
          <w:tcPr>
            <w:tcW w:w="3647" w:type="pct"/>
            <w:shd w:val="clear" w:color="auto" w:fill="D9D9D9"/>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Čisté príjmy projektu v monitorovanom období</w:t>
            </w:r>
            <w:r w:rsidRPr="003423CC">
              <w:rPr>
                <w:rFonts w:ascii="Arial Narrow" w:eastAsia="Times New Roman" w:hAnsi="Arial Narrow" w:cs="Times New Roman"/>
                <w:sz w:val="20"/>
                <w:szCs w:val="20"/>
                <w:vertAlign w:val="superscript"/>
                <w:lang w:eastAsia="sk-SK"/>
              </w:rPr>
              <w:footnoteReference w:id="9"/>
            </w:r>
            <w:r w:rsidRPr="003423CC">
              <w:rPr>
                <w:rFonts w:ascii="Arial Narrow" w:eastAsia="Times New Roman" w:hAnsi="Arial Narrow" w:cs="Times New Roman"/>
                <w:sz w:val="20"/>
                <w:szCs w:val="20"/>
                <w:lang w:eastAsia="sk-SK"/>
              </w:rPr>
              <w:t xml:space="preserve"> (v EUR)</w:t>
            </w:r>
          </w:p>
        </w:tc>
        <w:tc>
          <w:tcPr>
            <w:tcW w:w="1353" w:type="pct"/>
            <w:shd w:val="clear" w:color="auto" w:fill="FFFFFF"/>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trHeight w:val="318"/>
        </w:trPr>
        <w:tc>
          <w:tcPr>
            <w:tcW w:w="3647" w:type="pct"/>
            <w:shd w:val="clear" w:color="auto" w:fill="D9D9D9"/>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Kumulované čisté príjmy projektu od začiatku realizácie projektu</w:t>
            </w:r>
            <w:r w:rsidRPr="003423CC">
              <w:rPr>
                <w:rFonts w:ascii="Arial Narrow" w:eastAsia="Times New Roman" w:hAnsi="Arial Narrow" w:cs="Times New Roman"/>
                <w:sz w:val="20"/>
                <w:szCs w:val="20"/>
                <w:vertAlign w:val="superscript"/>
                <w:lang w:eastAsia="sk-SK"/>
              </w:rPr>
              <w:footnoteReference w:id="10"/>
            </w:r>
            <w:r w:rsidRPr="003423CC">
              <w:rPr>
                <w:rFonts w:ascii="Arial Narrow" w:eastAsia="Times New Roman" w:hAnsi="Arial Narrow" w:cs="Times New Roman"/>
                <w:sz w:val="20"/>
                <w:szCs w:val="20"/>
                <w:lang w:eastAsia="sk-SK"/>
              </w:rPr>
              <w:t xml:space="preserve"> (v EUR)</w:t>
            </w:r>
          </w:p>
        </w:tc>
        <w:tc>
          <w:tcPr>
            <w:tcW w:w="1353" w:type="pct"/>
            <w:shd w:val="clear" w:color="auto" w:fill="FFFFFF"/>
            <w:vAlign w:val="center"/>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bl>
    <w:p w:rsidR="001158BF" w:rsidRDefault="001158BF" w:rsidP="001158BF">
      <w:pPr>
        <w:spacing w:before="60"/>
      </w:pPr>
    </w:p>
    <w:p w:rsidR="001158BF" w:rsidRDefault="001158BF" w:rsidP="001158BF">
      <w:pPr>
        <w:spacing w:before="60"/>
      </w:pPr>
      <w:r>
        <w:t>Tabuľka je relevantná len pre projekty generujúce príjmy v zmysle čl. 55 Nariadenia Rady (ES) č. 1083/2006 (netýka sa projektov podliehajúcim pravidlám štátnej pomoci).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3"/>
        <w:gridCol w:w="629"/>
      </w:tblGrid>
      <w:tr w:rsidR="001158BF" w:rsidRPr="003423CC" w:rsidTr="00EC073B">
        <w:tc>
          <w:tcPr>
            <w:tcW w:w="9062" w:type="dxa"/>
            <w:gridSpan w:val="2"/>
            <w:tcBorders>
              <w:bottom w:val="single" w:sz="4" w:space="0" w:color="auto"/>
            </w:tcBorders>
            <w:shd w:val="clear" w:color="auto" w:fill="00CCFF"/>
          </w:tcPr>
          <w:p w:rsidR="001158BF" w:rsidRPr="003423CC" w:rsidRDefault="001158BF" w:rsidP="001158BF">
            <w:pPr>
              <w:pStyle w:val="Odsekzoznamu"/>
              <w:numPr>
                <w:ilvl w:val="0"/>
                <w:numId w:val="4"/>
              </w:numPr>
              <w:spacing w:after="0" w:line="240" w:lineRule="auto"/>
              <w:rPr>
                <w:rFonts w:ascii="Arial Narrow" w:eastAsia="Times New Roman" w:hAnsi="Arial Narrow" w:cs="Times New Roman"/>
                <w:b/>
                <w:sz w:val="20"/>
                <w:szCs w:val="20"/>
                <w:lang w:eastAsia="sk-SK"/>
              </w:rPr>
            </w:pPr>
            <w:r w:rsidRPr="003423CC">
              <w:rPr>
                <w:rFonts w:ascii="Arial Narrow" w:eastAsia="Times New Roman" w:hAnsi="Arial Narrow" w:cs="Times New Roman"/>
                <w:b/>
                <w:sz w:val="20"/>
                <w:szCs w:val="20"/>
                <w:lang w:eastAsia="sk-SK"/>
              </w:rPr>
              <w:t>Zoznam príloh k monitorovacej správe</w:t>
            </w:r>
            <w:r w:rsidRPr="003423CC">
              <w:rPr>
                <w:vertAlign w:val="superscript"/>
                <w:lang w:eastAsia="sk-SK"/>
              </w:rPr>
              <w:footnoteReference w:id="11"/>
            </w:r>
          </w:p>
        </w:tc>
      </w:tr>
      <w:tr w:rsidR="001158BF" w:rsidRPr="003423CC" w:rsidTr="00EC073B">
        <w:trPr>
          <w:gridAfter w:val="1"/>
          <w:wAfter w:w="629" w:type="dxa"/>
        </w:trPr>
        <w:tc>
          <w:tcPr>
            <w:tcW w:w="8433" w:type="dxa"/>
            <w:shd w:val="clear" w:color="auto" w:fill="E0E0E0"/>
          </w:tcPr>
          <w:p w:rsidR="001158BF" w:rsidRPr="003423CC" w:rsidRDefault="001158BF" w:rsidP="00EC073B">
            <w:pPr>
              <w:spacing w:after="0" w:line="240" w:lineRule="auto"/>
              <w:rPr>
                <w:rFonts w:ascii="Arial Narrow" w:eastAsia="Times New Roman" w:hAnsi="Arial Narrow" w:cs="Times New Roman"/>
                <w:sz w:val="20"/>
                <w:szCs w:val="20"/>
                <w:lang w:eastAsia="sk-SK"/>
              </w:rPr>
            </w:pPr>
            <w:r w:rsidRPr="003423CC">
              <w:rPr>
                <w:rFonts w:ascii="Arial Narrow" w:eastAsia="Times New Roman" w:hAnsi="Arial Narrow" w:cs="Times New Roman"/>
                <w:sz w:val="20"/>
                <w:szCs w:val="20"/>
                <w:lang w:eastAsia="sk-SK"/>
              </w:rPr>
              <w:t>Názov prílohy</w:t>
            </w:r>
          </w:p>
        </w:tc>
      </w:tr>
      <w:tr w:rsidR="001158BF" w:rsidRPr="003423CC" w:rsidTr="00EC073B">
        <w:trPr>
          <w:gridAfter w:val="1"/>
          <w:wAfter w:w="629" w:type="dxa"/>
        </w:trPr>
        <w:tc>
          <w:tcPr>
            <w:tcW w:w="8433" w:type="dxa"/>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gridAfter w:val="1"/>
          <w:wAfter w:w="629" w:type="dxa"/>
        </w:trPr>
        <w:tc>
          <w:tcPr>
            <w:tcW w:w="8433" w:type="dxa"/>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gridAfter w:val="1"/>
          <w:wAfter w:w="629" w:type="dxa"/>
        </w:trPr>
        <w:tc>
          <w:tcPr>
            <w:tcW w:w="8433" w:type="dxa"/>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gridAfter w:val="1"/>
          <w:wAfter w:w="629" w:type="dxa"/>
        </w:trPr>
        <w:tc>
          <w:tcPr>
            <w:tcW w:w="8433" w:type="dxa"/>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gridAfter w:val="1"/>
          <w:wAfter w:w="629" w:type="dxa"/>
        </w:trPr>
        <w:tc>
          <w:tcPr>
            <w:tcW w:w="8433" w:type="dxa"/>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gridAfter w:val="1"/>
          <w:wAfter w:w="629" w:type="dxa"/>
        </w:trPr>
        <w:tc>
          <w:tcPr>
            <w:tcW w:w="8433" w:type="dxa"/>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gridAfter w:val="1"/>
          <w:wAfter w:w="629" w:type="dxa"/>
        </w:trPr>
        <w:tc>
          <w:tcPr>
            <w:tcW w:w="8433" w:type="dxa"/>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r w:rsidR="001158BF" w:rsidRPr="003423CC" w:rsidTr="00EC073B">
        <w:trPr>
          <w:gridAfter w:val="1"/>
          <w:wAfter w:w="629" w:type="dxa"/>
        </w:trPr>
        <w:tc>
          <w:tcPr>
            <w:tcW w:w="8433" w:type="dxa"/>
          </w:tcPr>
          <w:p w:rsidR="001158BF" w:rsidRPr="003423CC" w:rsidRDefault="001158BF" w:rsidP="00EC073B">
            <w:pPr>
              <w:spacing w:after="0" w:line="240" w:lineRule="auto"/>
              <w:rPr>
                <w:rFonts w:ascii="Arial Narrow" w:eastAsia="Times New Roman" w:hAnsi="Arial Narrow" w:cs="Times New Roman"/>
                <w:sz w:val="20"/>
                <w:szCs w:val="20"/>
                <w:lang w:eastAsia="sk-SK"/>
              </w:rPr>
            </w:pPr>
          </w:p>
        </w:tc>
      </w:tr>
    </w:tbl>
    <w:p w:rsidR="001158BF" w:rsidRDefault="001158BF" w:rsidP="001158BF"/>
    <w:p w:rsidR="001158BF" w:rsidRDefault="001158BF" w:rsidP="001158BF">
      <w:r>
        <w:t>Prijímateľ zadá do tejto sekcie názvy príloh, ktoré prikladá k MS projektu.</w:t>
      </w:r>
    </w:p>
    <w:p w:rsidR="001158BF" w:rsidRDefault="001158BF" w:rsidP="001158BF"/>
    <w:p w:rsidR="001158BF" w:rsidRDefault="001158BF" w:rsidP="001158BF"/>
    <w:p w:rsidR="001158BF" w:rsidRDefault="001158BF" w:rsidP="001158BF"/>
    <w:p w:rsidR="001158BF" w:rsidRDefault="001158BF" w:rsidP="001158BF"/>
    <w:p w:rsidR="001158BF" w:rsidRDefault="001158BF" w:rsidP="00115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58BF" w:rsidRPr="00F50F0C" w:rsidTr="00EC073B">
        <w:tc>
          <w:tcPr>
            <w:tcW w:w="9062" w:type="dxa"/>
            <w:tcBorders>
              <w:bottom w:val="single" w:sz="4" w:space="0" w:color="auto"/>
            </w:tcBorders>
            <w:shd w:val="clear" w:color="auto" w:fill="00CCFF"/>
          </w:tcPr>
          <w:p w:rsidR="001158BF" w:rsidRPr="00F50F0C" w:rsidRDefault="001158BF" w:rsidP="001158BF">
            <w:pPr>
              <w:pStyle w:val="Odsekzoznamu"/>
              <w:numPr>
                <w:ilvl w:val="0"/>
                <w:numId w:val="3"/>
              </w:numPr>
              <w:spacing w:after="0" w:line="240" w:lineRule="auto"/>
              <w:rPr>
                <w:rFonts w:ascii="Arial Narrow" w:eastAsia="Times New Roman" w:hAnsi="Arial Narrow" w:cs="Times New Roman"/>
                <w:b/>
                <w:sz w:val="20"/>
                <w:szCs w:val="20"/>
                <w:lang w:eastAsia="sk-SK"/>
              </w:rPr>
            </w:pPr>
            <w:r w:rsidRPr="00F50F0C">
              <w:rPr>
                <w:rFonts w:ascii="Arial Narrow" w:eastAsia="Times New Roman" w:hAnsi="Arial Narrow" w:cs="Times New Roman"/>
                <w:b/>
                <w:sz w:val="20"/>
                <w:szCs w:val="20"/>
                <w:lang w:eastAsia="sk-SK"/>
              </w:rPr>
              <w:t>Čestné vyhlásenie prijímateľa</w:t>
            </w:r>
          </w:p>
        </w:tc>
      </w:tr>
      <w:tr w:rsidR="001158BF" w:rsidRPr="00F50F0C" w:rsidTr="00EC073B">
        <w:trPr>
          <w:trHeight w:val="5250"/>
        </w:trPr>
        <w:tc>
          <w:tcPr>
            <w:tcW w:w="9062" w:type="dxa"/>
          </w:tcPr>
          <w:p w:rsidR="001158BF" w:rsidRPr="00F50F0C" w:rsidRDefault="001158BF" w:rsidP="00EC073B">
            <w:pPr>
              <w:spacing w:before="60" w:after="60" w:line="240" w:lineRule="auto"/>
              <w:jc w:val="both"/>
              <w:rPr>
                <w:rFonts w:ascii="Arial Narrow" w:eastAsia="Times New Roman" w:hAnsi="Arial Narrow" w:cs="Arial"/>
                <w:sz w:val="12"/>
                <w:szCs w:val="12"/>
                <w:lang w:eastAsia="sk-SK"/>
              </w:rPr>
            </w:pPr>
            <w:r w:rsidRPr="00F50F0C">
              <w:rPr>
                <w:rFonts w:ascii="Arial Narrow" w:eastAsia="Times New Roman" w:hAnsi="Arial Narrow" w:cs="Times New Roman"/>
                <w:sz w:val="24"/>
                <w:szCs w:val="24"/>
                <w:lang w:eastAsia="sk-SK"/>
              </w:rPr>
              <w:t xml:space="preserve"> </w:t>
            </w:r>
          </w:p>
          <w:p w:rsidR="001158BF" w:rsidRPr="00F50F0C" w:rsidRDefault="001158BF" w:rsidP="00EC073B">
            <w:pPr>
              <w:spacing w:before="60" w:after="60" w:line="240" w:lineRule="auto"/>
              <w:jc w:val="both"/>
              <w:rPr>
                <w:rFonts w:ascii="Arial Narrow" w:eastAsia="Times New Roman" w:hAnsi="Arial Narrow" w:cs="Arial"/>
                <w:lang w:eastAsia="sk-SK"/>
              </w:rPr>
            </w:pPr>
            <w:r w:rsidRPr="00F50F0C">
              <w:rPr>
                <w:rFonts w:ascii="Arial Narrow" w:eastAsia="Times New Roman" w:hAnsi="Arial Narrow" w:cs="Arial"/>
                <w:lang w:eastAsia="sk-SK"/>
              </w:rPr>
              <w:t xml:space="preserve">Ja, dolu podpísaný prijímateľ (štatutárny orgán prijímateľa alebo </w:t>
            </w:r>
            <w:r w:rsidRPr="00F50F0C">
              <w:rPr>
                <w:rFonts w:ascii="Arial Narrow" w:eastAsia="Times New Roman" w:hAnsi="Arial Narrow" w:cs="Times New Roman"/>
                <w:color w:val="000000"/>
                <w:lang w:eastAsia="sk-SK"/>
              </w:rPr>
              <w:t>splnomocnený zástupca</w:t>
            </w:r>
            <w:r w:rsidRPr="00F50F0C">
              <w:rPr>
                <w:rFonts w:ascii="Arial Narrow" w:eastAsia="Times New Roman" w:hAnsi="Arial Narrow" w:cs="Times New Roman"/>
                <w:color w:val="000000"/>
                <w:vertAlign w:val="superscript"/>
                <w:lang w:eastAsia="sk-SK"/>
              </w:rPr>
              <w:footnoteReference w:id="12"/>
            </w:r>
            <w:r w:rsidRPr="00F50F0C">
              <w:rPr>
                <w:rFonts w:ascii="Arial Narrow" w:eastAsia="Times New Roman" w:hAnsi="Arial Narrow" w:cs="Arial"/>
                <w:lang w:eastAsia="sk-SK"/>
              </w:rPr>
              <w:t>) čestne vyhlasujem, že všetky mnou uvedené informácie v predloženej následnej monitorovacej správe, vrátane príloh, sú úplné a pravdivé.</w:t>
            </w:r>
          </w:p>
          <w:p w:rsidR="001158BF" w:rsidRPr="00F50F0C" w:rsidRDefault="001158BF" w:rsidP="00EC073B">
            <w:pPr>
              <w:tabs>
                <w:tab w:val="left" w:pos="3630"/>
              </w:tabs>
              <w:spacing w:after="0" w:line="240" w:lineRule="auto"/>
              <w:jc w:val="both"/>
              <w:rPr>
                <w:rFonts w:ascii="Arial Narrow" w:eastAsia="Times New Roman" w:hAnsi="Arial Narrow" w:cs="Arial"/>
                <w:bCs/>
                <w:lang w:eastAsia="sk-SK"/>
              </w:rPr>
            </w:pPr>
          </w:p>
          <w:p w:rsidR="001158BF" w:rsidRPr="00F50F0C" w:rsidRDefault="001158BF" w:rsidP="00EC073B">
            <w:pPr>
              <w:tabs>
                <w:tab w:val="left" w:pos="3630"/>
              </w:tabs>
              <w:spacing w:after="0" w:line="240" w:lineRule="auto"/>
              <w:jc w:val="both"/>
              <w:rPr>
                <w:rFonts w:ascii="Arial Narrow" w:eastAsia="Times New Roman" w:hAnsi="Arial Narrow" w:cs="Arial"/>
                <w:lang w:eastAsia="sk-SK"/>
              </w:rPr>
            </w:pPr>
            <w:r w:rsidRPr="00F50F0C">
              <w:rPr>
                <w:rFonts w:ascii="Arial Narrow" w:eastAsia="Times New Roman" w:hAnsi="Arial Narrow" w:cs="Arial"/>
                <w:bCs/>
                <w:lang w:eastAsia="sk-SK"/>
              </w:rPr>
              <w:t>Som si vedomý dôsledkov, ktoré môžu vyplynúť z uvedenia nepravdivých alebo neúplných údajov. Zaväzujem sa bezodkladne písomne informovať o všetkých zmenách, ktoré sa týkajú uvedených údajov a skutočností.</w:t>
            </w:r>
          </w:p>
          <w:p w:rsidR="001158BF" w:rsidRPr="00F50F0C" w:rsidRDefault="001158BF" w:rsidP="00EC073B">
            <w:pPr>
              <w:spacing w:before="60" w:after="60" w:line="240" w:lineRule="auto"/>
              <w:jc w:val="both"/>
              <w:rPr>
                <w:rFonts w:ascii="Arial Narrow" w:eastAsia="Times New Roman" w:hAnsi="Arial Narrow" w:cs="Arial"/>
                <w:bCs/>
                <w:lang w:eastAsia="sk-SK"/>
              </w:rPr>
            </w:pPr>
          </w:p>
          <w:p w:rsidR="001158BF" w:rsidRPr="00F50F0C" w:rsidRDefault="001158BF" w:rsidP="00EC073B">
            <w:pPr>
              <w:spacing w:after="0" w:line="240" w:lineRule="auto"/>
              <w:rPr>
                <w:rFonts w:ascii="Arial Narrow" w:eastAsia="Times New Roman" w:hAnsi="Arial Narrow" w:cs="Times New Roman"/>
                <w:bCs/>
                <w:lang w:eastAsia="sk-SK"/>
              </w:rPr>
            </w:pPr>
          </w:p>
          <w:p w:rsidR="001158BF" w:rsidRPr="00F50F0C" w:rsidRDefault="001158BF" w:rsidP="00EC073B">
            <w:pPr>
              <w:spacing w:after="0" w:line="240" w:lineRule="auto"/>
              <w:rPr>
                <w:rFonts w:ascii="Arial Narrow" w:eastAsia="Times New Roman" w:hAnsi="Arial Narrow" w:cs="Times New Roman"/>
                <w:bCs/>
                <w:lang w:eastAsia="sk-SK"/>
              </w:rPr>
            </w:pPr>
            <w:r w:rsidRPr="00F50F0C">
              <w:rPr>
                <w:rFonts w:ascii="Arial Narrow" w:eastAsia="Times New Roman" w:hAnsi="Arial Narrow" w:cs="Times New Roman"/>
                <w:bCs/>
                <w:lang w:eastAsia="sk-SK"/>
              </w:rPr>
              <w:t>Titul, meno a priezvisko</w:t>
            </w:r>
          </w:p>
          <w:p w:rsidR="001158BF" w:rsidRPr="00F50F0C" w:rsidRDefault="001158BF" w:rsidP="00EC073B">
            <w:pPr>
              <w:spacing w:after="0" w:line="240" w:lineRule="auto"/>
              <w:rPr>
                <w:rFonts w:ascii="Arial Narrow" w:eastAsia="Times New Roman" w:hAnsi="Arial Narrow" w:cs="Times New Roman"/>
                <w:bCs/>
                <w:lang w:eastAsia="sk-SK"/>
              </w:rPr>
            </w:pPr>
            <w:r w:rsidRPr="00F50F0C">
              <w:rPr>
                <w:rFonts w:ascii="Arial Narrow" w:eastAsia="Times New Roman" w:hAnsi="Arial Narrow" w:cs="Times New Roman"/>
                <w:bCs/>
                <w:lang w:eastAsia="sk-SK"/>
              </w:rPr>
              <w:t>štatutárneho orgánu prijímateľa: .......................................................................................................</w:t>
            </w:r>
          </w:p>
          <w:p w:rsidR="001158BF" w:rsidRPr="00F50F0C" w:rsidRDefault="001158BF" w:rsidP="00EC073B">
            <w:pPr>
              <w:tabs>
                <w:tab w:val="left" w:pos="3630"/>
              </w:tabs>
              <w:spacing w:after="0" w:line="240" w:lineRule="auto"/>
              <w:jc w:val="both"/>
              <w:rPr>
                <w:rFonts w:ascii="Arial Narrow" w:eastAsia="Times New Roman" w:hAnsi="Arial Narrow" w:cs="Arial"/>
                <w:bCs/>
                <w:lang w:eastAsia="sk-SK"/>
              </w:rPr>
            </w:pPr>
          </w:p>
          <w:p w:rsidR="001158BF" w:rsidRPr="00F50F0C" w:rsidRDefault="001158BF" w:rsidP="00EC073B">
            <w:pPr>
              <w:tabs>
                <w:tab w:val="left" w:pos="3630"/>
              </w:tabs>
              <w:spacing w:after="0" w:line="240" w:lineRule="auto"/>
              <w:jc w:val="both"/>
              <w:rPr>
                <w:rFonts w:ascii="Arial Narrow" w:eastAsia="Times New Roman" w:hAnsi="Arial Narrow" w:cs="Arial"/>
                <w:lang w:eastAsia="sk-SK"/>
              </w:rPr>
            </w:pPr>
            <w:r w:rsidRPr="00F50F0C">
              <w:rPr>
                <w:rFonts w:ascii="Arial Narrow" w:eastAsia="Times New Roman" w:hAnsi="Arial Narrow" w:cs="Arial"/>
                <w:bCs/>
                <w:lang w:eastAsia="sk-SK"/>
              </w:rPr>
              <w:t>Miesto podpisu: .............................................           Dátum podpisu: ..............................................</w:t>
            </w:r>
          </w:p>
          <w:p w:rsidR="001158BF" w:rsidRPr="00F50F0C" w:rsidRDefault="001158BF" w:rsidP="00EC073B">
            <w:pPr>
              <w:tabs>
                <w:tab w:val="left" w:pos="3630"/>
              </w:tabs>
              <w:spacing w:after="0" w:line="240" w:lineRule="auto"/>
              <w:jc w:val="both"/>
              <w:rPr>
                <w:rFonts w:ascii="Arial Narrow" w:eastAsia="Times New Roman" w:hAnsi="Arial Narrow" w:cs="Arial"/>
                <w:bCs/>
                <w:lang w:eastAsia="sk-SK"/>
              </w:rPr>
            </w:pPr>
          </w:p>
          <w:p w:rsidR="001158BF" w:rsidRPr="00F50F0C" w:rsidRDefault="001158BF" w:rsidP="00EC073B">
            <w:pPr>
              <w:spacing w:before="60" w:after="60" w:line="240" w:lineRule="auto"/>
              <w:jc w:val="both"/>
              <w:rPr>
                <w:rFonts w:ascii="Arial Narrow" w:eastAsia="Times New Roman" w:hAnsi="Arial Narrow" w:cs="Arial"/>
                <w:bCs/>
                <w:lang w:eastAsia="sk-SK"/>
              </w:rPr>
            </w:pPr>
            <w:r w:rsidRPr="00F50F0C">
              <w:rPr>
                <w:rFonts w:ascii="Arial Narrow" w:eastAsia="Times New Roman" w:hAnsi="Arial Narrow" w:cs="Arial"/>
                <w:bCs/>
                <w:lang w:eastAsia="sk-SK"/>
              </w:rPr>
              <w:t>Podpis štatutárneho orgánu: .............................................................................................................</w:t>
            </w:r>
          </w:p>
          <w:p w:rsidR="001158BF" w:rsidRPr="00F50F0C" w:rsidRDefault="001158BF" w:rsidP="00EC073B">
            <w:pPr>
              <w:tabs>
                <w:tab w:val="left" w:pos="3630"/>
              </w:tabs>
              <w:spacing w:after="0" w:line="240" w:lineRule="auto"/>
              <w:jc w:val="both"/>
              <w:rPr>
                <w:rFonts w:ascii="Arial Narrow" w:eastAsia="Times New Roman" w:hAnsi="Arial Narrow" w:cs="Arial"/>
                <w:bCs/>
                <w:lang w:eastAsia="sk-SK"/>
              </w:rPr>
            </w:pPr>
          </w:p>
          <w:p w:rsidR="001158BF" w:rsidRPr="00F50F0C" w:rsidRDefault="001158BF" w:rsidP="00EC073B">
            <w:pPr>
              <w:tabs>
                <w:tab w:val="left" w:pos="3630"/>
              </w:tabs>
              <w:spacing w:after="0" w:line="240" w:lineRule="auto"/>
              <w:jc w:val="both"/>
              <w:rPr>
                <w:rFonts w:ascii="Arial Narrow" w:eastAsia="Times New Roman" w:hAnsi="Arial Narrow" w:cs="Arial"/>
                <w:bCs/>
                <w:lang w:eastAsia="sk-SK"/>
              </w:rPr>
            </w:pPr>
          </w:p>
          <w:p w:rsidR="001158BF" w:rsidRPr="00F50F0C" w:rsidRDefault="001158BF" w:rsidP="00EC073B">
            <w:pPr>
              <w:spacing w:before="60" w:after="60" w:line="240" w:lineRule="auto"/>
              <w:jc w:val="both"/>
              <w:rPr>
                <w:rFonts w:ascii="Arial Narrow" w:eastAsia="Times New Roman" w:hAnsi="Arial Narrow" w:cs="Arial"/>
                <w:bCs/>
                <w:lang w:eastAsia="sk-SK"/>
              </w:rPr>
            </w:pPr>
            <w:r w:rsidRPr="00F50F0C">
              <w:rPr>
                <w:rFonts w:ascii="Arial Narrow" w:eastAsia="Times New Roman" w:hAnsi="Arial Narrow" w:cs="Arial"/>
                <w:bCs/>
                <w:lang w:eastAsia="sk-SK"/>
              </w:rPr>
              <w:t>Kontaktné údaje osoby zodpovednej za prípravu monitorovacej správy projektu:</w:t>
            </w:r>
          </w:p>
          <w:p w:rsidR="001158BF" w:rsidRPr="00F50F0C" w:rsidRDefault="001158BF" w:rsidP="00EC073B">
            <w:pPr>
              <w:tabs>
                <w:tab w:val="left" w:pos="3630"/>
              </w:tabs>
              <w:spacing w:after="0" w:line="240" w:lineRule="auto"/>
              <w:jc w:val="both"/>
              <w:rPr>
                <w:rFonts w:ascii="Arial Narrow" w:eastAsia="Times New Roman" w:hAnsi="Arial Narrow" w:cs="Arial"/>
                <w:bCs/>
                <w:sz w:val="8"/>
                <w:szCs w:val="8"/>
                <w:lang w:eastAsia="sk-SK"/>
              </w:rPr>
            </w:pPr>
          </w:p>
          <w:p w:rsidR="001158BF" w:rsidRPr="00F50F0C" w:rsidRDefault="001158BF" w:rsidP="00EC073B">
            <w:pPr>
              <w:spacing w:before="60" w:after="60" w:line="240" w:lineRule="auto"/>
              <w:jc w:val="both"/>
              <w:rPr>
                <w:rFonts w:ascii="Arial Narrow" w:eastAsia="Times New Roman" w:hAnsi="Arial Narrow" w:cs="Arial"/>
                <w:bCs/>
                <w:lang w:eastAsia="sk-SK"/>
              </w:rPr>
            </w:pPr>
            <w:r w:rsidRPr="00F50F0C">
              <w:rPr>
                <w:rFonts w:ascii="Arial Narrow" w:eastAsia="Times New Roman" w:hAnsi="Arial Narrow" w:cs="Arial"/>
                <w:bCs/>
                <w:lang w:eastAsia="sk-SK"/>
              </w:rPr>
              <w:t>E-mail: ...........................................</w:t>
            </w:r>
          </w:p>
          <w:p w:rsidR="001158BF" w:rsidRPr="00F50F0C" w:rsidRDefault="001158BF" w:rsidP="00EC073B">
            <w:pPr>
              <w:spacing w:before="60" w:after="60" w:line="240" w:lineRule="auto"/>
              <w:jc w:val="both"/>
              <w:rPr>
                <w:rFonts w:ascii="Arial Narrow" w:eastAsia="Times New Roman" w:hAnsi="Arial Narrow" w:cs="Arial"/>
                <w:bCs/>
                <w:lang w:eastAsia="sk-SK"/>
              </w:rPr>
            </w:pPr>
            <w:r w:rsidRPr="00F50F0C">
              <w:rPr>
                <w:rFonts w:ascii="Arial Narrow" w:eastAsia="Times New Roman" w:hAnsi="Arial Narrow" w:cs="Arial"/>
                <w:bCs/>
                <w:lang w:eastAsia="sk-SK"/>
              </w:rPr>
              <w:t>Telefón: ..........................................</w:t>
            </w:r>
          </w:p>
          <w:p w:rsidR="001158BF" w:rsidRPr="00F50F0C" w:rsidRDefault="001158BF" w:rsidP="00EC073B">
            <w:pPr>
              <w:spacing w:before="60" w:after="60" w:line="240" w:lineRule="auto"/>
              <w:jc w:val="both"/>
              <w:rPr>
                <w:rFonts w:ascii="Arial Narrow" w:eastAsia="Times New Roman" w:hAnsi="Arial Narrow" w:cs="Arial"/>
                <w:sz w:val="24"/>
                <w:szCs w:val="24"/>
                <w:lang w:eastAsia="sk-SK"/>
              </w:rPr>
            </w:pPr>
          </w:p>
        </w:tc>
      </w:tr>
    </w:tbl>
    <w:p w:rsidR="001158BF" w:rsidRDefault="001158BF" w:rsidP="001158BF"/>
    <w:p w:rsidR="001158BF" w:rsidRDefault="001158BF" w:rsidP="001158BF">
      <w:r>
        <w:t>Je potrebné vyplniť  všetky údaje v tejto Sekcii.</w:t>
      </w:r>
      <w:bookmarkStart w:id="0" w:name="_GoBack"/>
      <w:bookmarkEnd w:id="0"/>
    </w:p>
    <w:p w:rsidR="004F2EA0" w:rsidRDefault="004F2EA0"/>
    <w:sectPr w:rsidR="004F2E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DD" w:rsidRDefault="001673DD" w:rsidP="001158BF">
      <w:pPr>
        <w:spacing w:after="0" w:line="240" w:lineRule="auto"/>
      </w:pPr>
      <w:r>
        <w:separator/>
      </w:r>
    </w:p>
  </w:endnote>
  <w:endnote w:type="continuationSeparator" w:id="0">
    <w:p w:rsidR="001673DD" w:rsidRDefault="001673DD" w:rsidP="0011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strangelo Edessa">
    <w:altName w:val="Ink Free"/>
    <w:panose1 w:val="03080600000000000000"/>
    <w:charset w:val="01"/>
    <w:family w:val="roman"/>
    <w:notTrueType/>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Raleway">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DD" w:rsidRDefault="001673DD" w:rsidP="001158BF">
      <w:pPr>
        <w:spacing w:after="0" w:line="240" w:lineRule="auto"/>
      </w:pPr>
      <w:r>
        <w:separator/>
      </w:r>
    </w:p>
  </w:footnote>
  <w:footnote w:type="continuationSeparator" w:id="0">
    <w:p w:rsidR="001673DD" w:rsidRDefault="001673DD" w:rsidP="001158BF">
      <w:pPr>
        <w:spacing w:after="0" w:line="240" w:lineRule="auto"/>
      </w:pPr>
      <w:r>
        <w:continuationSeparator/>
      </w:r>
    </w:p>
  </w:footnote>
  <w:footnote w:id="1">
    <w:p w:rsidR="001158BF" w:rsidRPr="00C425BB" w:rsidRDefault="001158BF" w:rsidP="001158BF">
      <w:pPr>
        <w:pStyle w:val="Textpoznmkypodiarou"/>
        <w:jc w:val="both"/>
        <w:rPr>
          <w:sz w:val="18"/>
          <w:szCs w:val="18"/>
        </w:rPr>
      </w:pPr>
      <w:r w:rsidRPr="00DF31F5">
        <w:rPr>
          <w:rStyle w:val="Odkaznapoznmkupodiarou"/>
          <w:rFonts w:ascii="Arial Narrow" w:hAnsi="Arial Narrow" w:cs="Arial"/>
        </w:rPr>
        <w:footnoteRef/>
      </w:r>
      <w:r>
        <w:t xml:space="preserve"> </w:t>
      </w:r>
      <w:r w:rsidRPr="00C425BB">
        <w:rPr>
          <w:rFonts w:ascii="Arial Narrow" w:hAnsi="Arial Narrow"/>
          <w:sz w:val="18"/>
          <w:szCs w:val="18"/>
        </w:rPr>
        <w:t>Príspevok projektu vyjadrený prostredníctvom merateľných ukazovateľov v zmysle Zmluvy o poskytnutí NFP v platnom znení.</w:t>
      </w:r>
    </w:p>
  </w:footnote>
  <w:footnote w:id="2">
    <w:p w:rsidR="001158BF" w:rsidRPr="00C425BB" w:rsidRDefault="001158BF" w:rsidP="001158BF">
      <w:pPr>
        <w:pStyle w:val="Textpoznmkypodiarou"/>
        <w:rPr>
          <w:sz w:val="18"/>
          <w:szCs w:val="18"/>
        </w:rPr>
      </w:pPr>
      <w:r w:rsidRPr="00C425BB">
        <w:rPr>
          <w:rStyle w:val="Odkaznapoznmkupodiarou"/>
          <w:rFonts w:ascii="Arial Narrow" w:hAnsi="Arial Narrow"/>
          <w:sz w:val="18"/>
          <w:szCs w:val="18"/>
        </w:rPr>
        <w:footnoteRef/>
      </w:r>
      <w:r w:rsidRPr="00C425BB">
        <w:rPr>
          <w:sz w:val="18"/>
          <w:szCs w:val="18"/>
        </w:rPr>
        <w:t xml:space="preserve"> </w:t>
      </w:r>
      <w:r w:rsidRPr="00C425BB">
        <w:rPr>
          <w:rFonts w:ascii="Arial Narrow" w:hAnsi="Arial Narrow"/>
          <w:sz w:val="18"/>
          <w:szCs w:val="18"/>
        </w:rPr>
        <w:t>V zmysle záverečnej monitorovacej správy projektu.</w:t>
      </w:r>
    </w:p>
  </w:footnote>
  <w:footnote w:id="3">
    <w:p w:rsidR="001158BF" w:rsidRPr="00C425BB" w:rsidRDefault="001158BF" w:rsidP="001158BF">
      <w:pPr>
        <w:pStyle w:val="Textpoznmkypodiarou"/>
        <w:jc w:val="both"/>
        <w:rPr>
          <w:sz w:val="18"/>
          <w:szCs w:val="18"/>
        </w:rPr>
      </w:pPr>
      <w:r w:rsidRPr="00C425BB">
        <w:rPr>
          <w:rStyle w:val="Odkaznapoznmkupodiarou"/>
          <w:rFonts w:ascii="Arial Narrow" w:hAnsi="Arial Narrow"/>
          <w:sz w:val="18"/>
          <w:szCs w:val="18"/>
        </w:rPr>
        <w:footnoteRef/>
      </w:r>
      <w:r w:rsidRPr="00C425BB">
        <w:rPr>
          <w:sz w:val="18"/>
          <w:szCs w:val="18"/>
        </w:rPr>
        <w:t xml:space="preserve"> </w:t>
      </w:r>
      <w:r w:rsidRPr="00C425BB">
        <w:rPr>
          <w:rFonts w:ascii="Arial Narrow" w:hAnsi="Arial Narrow"/>
          <w:sz w:val="18"/>
          <w:szCs w:val="18"/>
        </w:rPr>
        <w:t>Uvádza sa kumulatívna hodnota merateľného ukazovateľa výsledku nameraná ku koncu daného monitorovaného obdobia, t.</w:t>
      </w:r>
      <w:r>
        <w:rPr>
          <w:rFonts w:ascii="Arial Narrow" w:hAnsi="Arial Narrow"/>
          <w:sz w:val="18"/>
          <w:szCs w:val="18"/>
        </w:rPr>
        <w:t xml:space="preserve"> </w:t>
      </w:r>
      <w:r w:rsidRPr="00C425BB">
        <w:rPr>
          <w:rFonts w:ascii="Arial Narrow" w:hAnsi="Arial Narrow"/>
          <w:sz w:val="18"/>
          <w:szCs w:val="18"/>
        </w:rPr>
        <w:t>j. súhrnná hodnota dosiahnutá za obdobie od začiatku realizácie projektu do konca daného monitorovaného obdobia. V prípade merateľných ukazovateľov, ktoré vyjadrujú hodnotu za stanovené referenčné obdobie (napr. rok, mesiac), sa uvádza hodnota merateľného ukazovateľa, ktorá v závislosti od charakteru ukazovateľa vyjadruje absolútnu zmenu stavu (rozdiel) za predchádzajúce stanovené referenčné obdobie alebo priemernú zmenu stavu stanoveného referenčného obdobia za obdobie od začiatku realizácie projektu do konca daného monitorovaného obdobia.</w:t>
      </w:r>
    </w:p>
  </w:footnote>
  <w:footnote w:id="4">
    <w:p w:rsidR="001158BF" w:rsidRPr="00C425BB" w:rsidRDefault="001158BF" w:rsidP="001158BF">
      <w:pPr>
        <w:jc w:val="both"/>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w:t>
      </w:r>
      <w:r w:rsidRPr="00C425BB">
        <w:rPr>
          <w:rFonts w:ascii="Arial Narrow" w:hAnsi="Arial Narrow"/>
          <w:sz w:val="18"/>
          <w:szCs w:val="18"/>
        </w:rPr>
        <w:t>Vypĺňa sa v prípade, ak je označená jedna z možností uvedených nižšie.RO je oprávnený doplniť požiadavku na doplnenie ďalších nevyhnutných informácií od prijímateľa v tejto časti.</w:t>
      </w:r>
    </w:p>
  </w:footnote>
  <w:footnote w:id="5">
    <w:p w:rsidR="001158BF" w:rsidRPr="00C425BB" w:rsidRDefault="001158BF" w:rsidP="001158BF">
      <w:pPr>
        <w:pStyle w:val="Textpoznmkypodiarou"/>
        <w:jc w:val="both"/>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w:t>
      </w:r>
      <w:r w:rsidRPr="00C425BB">
        <w:rPr>
          <w:rFonts w:ascii="Arial Narrow" w:hAnsi="Arial Narrow"/>
          <w:sz w:val="18"/>
          <w:szCs w:val="18"/>
        </w:rPr>
        <w:t>Produktívnou činnosťou sa rozumie aktivita, ktorá produkuje tovary alebo služby. Ukončenie produktívnej činnosti neznamená nevyhnutne ukončenie celej produktívnej činnosti prijímateľa (napr. v prípade, keď prijímateľ vykonáva dve produktívne činnosti a len jedna činnosť súvisí s projektom). V takomto prípade sa ukončením produktívnej činnosti rozumie ukončenie tej činnosti, ktorá súvisí s projektom. Ukončením produktívnej činnosti sa rozumie aj presun produktívnej činnosti do iného regiónu alebo do iného členského štátu.</w:t>
      </w:r>
    </w:p>
    <w:p w:rsidR="001158BF" w:rsidRDefault="001158BF" w:rsidP="001158BF">
      <w:pPr>
        <w:pStyle w:val="Textpoznmkypodiarou"/>
        <w:jc w:val="both"/>
      </w:pPr>
    </w:p>
  </w:footnote>
  <w:footnote w:id="6">
    <w:p w:rsidR="001158BF" w:rsidRPr="00C425BB" w:rsidRDefault="001158BF" w:rsidP="001158BF">
      <w:pPr>
        <w:pStyle w:val="Textpoznmkypodiarou"/>
        <w:rPr>
          <w:rFonts w:ascii="Arial Narrow" w:hAnsi="Arial Narrow"/>
          <w:sz w:val="18"/>
          <w:szCs w:val="18"/>
        </w:rPr>
      </w:pPr>
      <w:r w:rsidRPr="00214249">
        <w:rPr>
          <w:rStyle w:val="Odkaznapoznmkupodiarou"/>
          <w:rFonts w:ascii="Arial Narrow" w:hAnsi="Arial Narrow"/>
          <w:sz w:val="18"/>
          <w:szCs w:val="18"/>
        </w:rPr>
        <w:footnoteRef/>
      </w:r>
      <w:r w:rsidRPr="00214249">
        <w:rPr>
          <w:rFonts w:ascii="Arial Narrow" w:hAnsi="Arial Narrow"/>
          <w:sz w:val="18"/>
          <w:szCs w:val="18"/>
        </w:rPr>
        <w:t xml:space="preserve"> </w:t>
      </w:r>
      <w:r w:rsidRPr="00C425BB">
        <w:rPr>
          <w:rFonts w:ascii="Arial Narrow" w:hAnsi="Arial Narrow"/>
          <w:sz w:val="18"/>
          <w:szCs w:val="18"/>
        </w:rPr>
        <w:t>Relevantné pre projekty generujúce príjmy v zmysle čl. 55 Nariadenia Rady (ES) č. 1083/2006.</w:t>
      </w:r>
    </w:p>
  </w:footnote>
  <w:footnote w:id="7">
    <w:p w:rsidR="001158BF" w:rsidRPr="00C425BB" w:rsidRDefault="001158BF" w:rsidP="001158BF">
      <w:pPr>
        <w:jc w:val="both"/>
        <w:rPr>
          <w:rFonts w:ascii="Arial Narrow" w:hAnsi="Arial Narrow"/>
          <w:b/>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w:t>
      </w:r>
      <w:r w:rsidRPr="00C425BB">
        <w:rPr>
          <w:rFonts w:ascii="Arial Narrow" w:hAnsi="Arial Narrow"/>
          <w:sz w:val="18"/>
          <w:szCs w:val="18"/>
        </w:rPr>
        <w:t>Uvádzajú sa celkové príjmy projektu v pôsobnosti čl. 55 Nariadenia Rady (ES) č. 1083/2006 vytvorené v dôsledku realizácie projektu v monitorovanom období, t.j. peňažné príjmy priamo hradené užívateľmi za tovar a/alebo služby poskytované projektom, napríklad poplatky za používanie infraštruktúry, predaj alebo prenájom pozemkov alebo budov alebo poplatky za poskytovanie služieb. Medzi príjmy projektu patria aj úroky pripísané na projektovom účte. Hodnoty sa udávajú v cenách bez DPH.</w:t>
      </w:r>
    </w:p>
  </w:footnote>
  <w:footnote w:id="8">
    <w:p w:rsidR="001158BF" w:rsidRPr="00C425BB" w:rsidRDefault="001158BF" w:rsidP="001158BF">
      <w:pPr>
        <w:pStyle w:val="Textpoznmkypodiarou"/>
        <w:jc w:val="both"/>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w:t>
      </w:r>
      <w:r w:rsidRPr="00C425BB">
        <w:rPr>
          <w:rFonts w:ascii="Arial Narrow" w:hAnsi="Arial Narrow"/>
          <w:sz w:val="18"/>
          <w:szCs w:val="18"/>
        </w:rPr>
        <w:t>Uvádzajú sa prevádzkové výdavky projektu v monitorovanom období, ktoré zahŕňajú všetky výdavky na nákup tovaru a služieb (priame výrobné náklady, administratívne výdavky, výdavky na tržby a distribúciu). Súčasťou prevádzkových výdavkov môžu byť aj ďalšie výdavky vzniknuté počas prevádzkovej fázy projektu (napr. obnova zariadenia s kratšou životnosťou, výnimočná údržba). Z prevádzkových výdavkov musia byť vyňaté všetky položky, ktoré nezvyšujú efektívne peňažné výdavky – nie sú v cash flow projektu (napr. odpisy, rezervy pre nepredvídané straty, rezervy na budúce náklady) a finančné náklady - platby úrokov. Hodnoty sa udávajú v cenách bez DPH.</w:t>
      </w:r>
    </w:p>
  </w:footnote>
  <w:footnote w:id="9">
    <w:p w:rsidR="001158BF" w:rsidRPr="00C425BB" w:rsidRDefault="001158BF" w:rsidP="001158BF">
      <w:pPr>
        <w:pStyle w:val="Textpoznmkypodiarou"/>
        <w:jc w:val="both"/>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w:t>
      </w:r>
      <w:r w:rsidRPr="00C425BB">
        <w:rPr>
          <w:rFonts w:ascii="Arial Narrow" w:hAnsi="Arial Narrow"/>
          <w:sz w:val="18"/>
          <w:szCs w:val="18"/>
        </w:rPr>
        <w:t xml:space="preserve">Uvádzajú sa čisté príjmy projektu v monitorovanom období, ktoré predstavujú </w:t>
      </w:r>
      <w:r w:rsidRPr="00C425BB">
        <w:rPr>
          <w:rStyle w:val="longtext1"/>
          <w:rFonts w:ascii="Arial Narrow" w:hAnsi="Arial Narrow"/>
          <w:sz w:val="18"/>
          <w:szCs w:val="18"/>
        </w:rPr>
        <w:t>rozdiel medzi celkovými príjmami projektu a prevádzkovými výdavkami projektu.</w:t>
      </w:r>
      <w:r w:rsidRPr="00C425BB">
        <w:rPr>
          <w:rStyle w:val="Hypertextovprepojenie"/>
          <w:rFonts w:ascii="Arial Narrow" w:hAnsi="Arial Narrow"/>
          <w:sz w:val="18"/>
          <w:szCs w:val="18"/>
        </w:rPr>
        <w:t xml:space="preserve"> </w:t>
      </w:r>
      <w:r w:rsidRPr="00C425BB">
        <w:rPr>
          <w:rStyle w:val="longtext1"/>
          <w:rFonts w:ascii="Arial Narrow" w:hAnsi="Arial Narrow"/>
          <w:sz w:val="18"/>
          <w:szCs w:val="18"/>
        </w:rPr>
        <w:t xml:space="preserve">V prípade monitorovaného obdobia, ktoré sa prekrýva s posledným referenčným rokom finančnej analýzy, sa príjmy zvyšujú o prípadnú zostatkovú hodnotu investície. </w:t>
      </w:r>
      <w:r w:rsidRPr="00C425BB">
        <w:rPr>
          <w:rFonts w:ascii="Arial Narrow" w:hAnsi="Arial Narrow"/>
          <w:sz w:val="18"/>
          <w:szCs w:val="18"/>
        </w:rPr>
        <w:t>Hodnoty sa udávajú v cenách bez DPH.</w:t>
      </w:r>
    </w:p>
  </w:footnote>
  <w:footnote w:id="10">
    <w:p w:rsidR="001158BF" w:rsidRPr="00C425BB" w:rsidRDefault="001158BF" w:rsidP="001158BF">
      <w:pPr>
        <w:pStyle w:val="Textpoznmkypodiarou"/>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w:t>
      </w:r>
      <w:r w:rsidRPr="00C425BB">
        <w:rPr>
          <w:rFonts w:ascii="Arial Narrow" w:hAnsi="Arial Narrow"/>
          <w:sz w:val="18"/>
          <w:szCs w:val="18"/>
        </w:rPr>
        <w:t>Uvádzajú sa čisté príjmy projektu za obdobie od začiatku realizácie projektu do konca monitorovaného obdobia. Hodnoty sa udávajú v cenách bez DPH.</w:t>
      </w:r>
    </w:p>
  </w:footnote>
  <w:footnote w:id="11">
    <w:p w:rsidR="001158BF" w:rsidRDefault="001158BF" w:rsidP="001158BF">
      <w:pPr>
        <w:pStyle w:val="Textpoznmkypodiarou"/>
        <w:jc w:val="both"/>
      </w:pPr>
      <w:r w:rsidRPr="00DF03AA">
        <w:rPr>
          <w:rStyle w:val="Odkaznapoznmkupodiarou"/>
          <w:rFonts w:ascii="Arial Narrow" w:hAnsi="Arial Narrow"/>
          <w:sz w:val="18"/>
          <w:szCs w:val="18"/>
        </w:rPr>
        <w:footnoteRef/>
      </w:r>
      <w:r w:rsidRPr="00DF03AA">
        <w:rPr>
          <w:rFonts w:ascii="Arial Narrow" w:hAnsi="Arial Narrow"/>
          <w:sz w:val="18"/>
          <w:szCs w:val="18"/>
        </w:rPr>
        <w:t xml:space="preserve"> </w:t>
      </w:r>
      <w:r w:rsidRPr="00DF03AA">
        <w:rPr>
          <w:rFonts w:ascii="Arial Narrow" w:hAnsi="Arial Narrow"/>
          <w:sz w:val="18"/>
          <w:szCs w:val="18"/>
        </w:rPr>
        <w:t>Definuje riadiaci orgán (napr. dokumenty preukazujúce splnenie pravidiel pre publicitu, dokumenty preukazujúce dosiahnuté hodnoty merateľných ukazovateľov dopadu, doklady preukazujúce vlastnícke práva k nehnuteľnostiam, ktoré boli predmetom projektu v prípade, ak žiadateľ v rámci žiadosti o NFP predložil iba zmluvu o budúcej zmluve).</w:t>
      </w:r>
    </w:p>
  </w:footnote>
  <w:footnote w:id="12">
    <w:p w:rsidR="001158BF" w:rsidRPr="002D69AC" w:rsidRDefault="001158BF" w:rsidP="001158BF">
      <w:pPr>
        <w:pStyle w:val="Textpoznmkypodiarou"/>
        <w:rPr>
          <w:rFonts w:ascii="Arial Narrow" w:hAnsi="Arial Narrow"/>
        </w:rPr>
      </w:pPr>
      <w:r w:rsidRPr="00E50471">
        <w:rPr>
          <w:rStyle w:val="Odkaznapoznmkupodiarou"/>
          <w:rFonts w:ascii="Arial Narrow" w:hAnsi="Arial Narrow"/>
        </w:rPr>
        <w:footnoteRef/>
      </w:r>
      <w:r w:rsidRPr="00E50471">
        <w:rPr>
          <w:rFonts w:ascii="Arial Narrow" w:hAnsi="Arial Narrow"/>
        </w:rPr>
        <w:t xml:space="preserve"> </w:t>
      </w:r>
      <w:r w:rsidRPr="003F5AAE">
        <w:rPr>
          <w:rFonts w:ascii="Arial Narrow" w:hAnsi="Arial Narrow"/>
          <w:sz w:val="18"/>
          <w:szCs w:val="18"/>
        </w:rPr>
        <w:t>Zástupca splnomocnený na základe písomnej plnej moci podpísanej štatutárnym orgánom prijímateľa.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2E5"/>
    <w:multiLevelType w:val="multilevel"/>
    <w:tmpl w:val="440620CA"/>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6BF3FAE"/>
    <w:multiLevelType w:val="hybridMultilevel"/>
    <w:tmpl w:val="87BCD4B4"/>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11C1844"/>
    <w:multiLevelType w:val="hybridMultilevel"/>
    <w:tmpl w:val="E728831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3B2C7C"/>
    <w:multiLevelType w:val="hybridMultilevel"/>
    <w:tmpl w:val="2DFA22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BF"/>
    <w:rsid w:val="001158BF"/>
    <w:rsid w:val="001673DD"/>
    <w:rsid w:val="004F2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37B7E-43AC-4543-A6D5-CB0D26EE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58B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158B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1158BF"/>
    <w:rPr>
      <w:color w:val="0000FF"/>
      <w:u w:val="single"/>
    </w:rPr>
  </w:style>
  <w:style w:type="paragraph" w:styleId="Odsekzoznamu">
    <w:name w:val="List Paragraph"/>
    <w:basedOn w:val="Normlny"/>
    <w:uiPriority w:val="34"/>
    <w:qFormat/>
    <w:rsid w:val="001158BF"/>
    <w:pPr>
      <w:ind w:left="720"/>
      <w:contextualSpacing/>
    </w:pPr>
  </w:style>
  <w:style w:type="table" w:styleId="Mriekatabuky">
    <w:name w:val="Table Grid"/>
    <w:basedOn w:val="Normlnatabuka"/>
    <w:uiPriority w:val="39"/>
    <w:rsid w:val="0011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semiHidden/>
    <w:rsid w:val="001158BF"/>
    <w:rPr>
      <w:vertAlign w:val="superscript"/>
    </w:rPr>
  </w:style>
  <w:style w:type="paragraph" w:styleId="Textpoznmkypodiarou">
    <w:name w:val="footnote text"/>
    <w:aliases w:val="Text poznámky pod čiarou 007"/>
    <w:basedOn w:val="Normlny"/>
    <w:link w:val="TextpoznmkypodiarouChar"/>
    <w:semiHidden/>
    <w:rsid w:val="001158BF"/>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semiHidden/>
    <w:rsid w:val="001158BF"/>
    <w:rPr>
      <w:rFonts w:ascii="Times New Roman" w:eastAsia="Times New Roman" w:hAnsi="Times New Roman" w:cs="Times New Roman"/>
      <w:sz w:val="20"/>
      <w:szCs w:val="20"/>
      <w:lang w:eastAsia="sk-SK"/>
    </w:rPr>
  </w:style>
  <w:style w:type="character" w:customStyle="1" w:styleId="longtext1">
    <w:name w:val="longtext1"/>
    <w:basedOn w:val="Predvolenpsmoodseku"/>
    <w:rsid w:val="0011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Momotjuk Natalia</dc:creator>
  <cp:keywords/>
  <dc:description/>
  <cp:lastModifiedBy>Momotjuk Natalia</cp:lastModifiedBy>
  <cp:revision>1</cp:revision>
  <dcterms:created xsi:type="dcterms:W3CDTF">2021-02-19T09:13:00Z</dcterms:created>
  <dcterms:modified xsi:type="dcterms:W3CDTF">2021-02-19T09:14:00Z</dcterms:modified>
</cp:coreProperties>
</file>